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Engineer &amp; Cloud Automation Architect</w:t>
      </w:r>
    </w:p>
    <w:p>
      <w:r>
        <w:rPr>
          <w:rFonts w:ascii="Calibri" w:hAnsi="Calibri"/>
          <w:b w:val="0"/>
          <w:color w:val="000000"/>
          <w:sz w:val="20"/>
        </w:rPr>
        <w:t>Technical infrastructure professional with 10+ years of experience architecting and automating enterprise-scale systems across cloud and on-premise environments. Specialized in building scalable, API-driven automation frameworks that span VMware, ServiceNow, Infoblox, and Ansible Automation Platform. Expert in Infrastructure as Code, having engineered a global provisioning framework managing 20,000+ virtual machines with 100% compliance. Proven track record of optimizing complex infrastructure for performance and cost efficiency, including $400k in direct savings and the development of resilient, multi-tenant architectures in highly regulated environments.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as Code: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Multi-Cloud Architecture: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CI/CD &amp; Automation: </w:t>
      </w:r>
      <w:r>
        <w:rPr>
          <w:rFonts w:ascii="Calibri" w:hAnsi="Calibri"/>
          <w:b w:val="0"/>
          <w:color w:val="000000"/>
          <w:sz w:val="18"/>
        </w:rPr>
        <w:t>Designed an end-to-end 'Auto-Decommission' workflow with integrated ServiceNow Change Control APIs; automated the generation and closure of audit-compliant paperwork, reducing administrative overhead by 100% per retirement.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Scalable Systems Design: </w:t>
      </w:r>
      <w:r>
        <w:rPr>
          <w:rFonts w:ascii="Calibri" w:hAnsi="Calibri"/>
          <w:b w:val="0"/>
          <w:color w:val="000000"/>
          <w:sz w:val="18"/>
        </w:rPr>
        <w:t>Partnered with Database Architects to automate 'Always-On' MS SQL clusters across three geo-redundant data centers; pioneered an automated firewall rule request system to ensure seamless inter-cluster communication.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&amp; Compliance: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PowerShell, Bash, YAML, Javascript, SQL,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Ansible Automation Platform, CI/CD Pipelines, Gitlab, REST API, GraphQL, ServiceNow, Source Control, Grafana, Time-series Database, Disaster Recovery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Code, VMware vSphere, Azure, Nutanix AHV, Red Hat Linux, Active Directory, Windows Server, Rubrik, Infoblox, Citrix Virtual Apps, NGINX Reverse Proxy, IIS, Artifactory, Group Policy, Server Lifecycle, SSL/TLS, Policy-driven storage tiering, RAID, Datto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Firewall Rules, VPN, DNS, Load Balancing, F5, High Availability, BGP, VRRP, Meraki, Arista, Uptime Monitoring, Intrusion Detection, Vulnerability Scanning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