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Platform &amp; DevEx Engineer | Cloud Infrastructure &amp; Developer Experience</w:t>
      </w:r>
    </w:p>
    <w:p>
      <w:r>
        <w:rPr>
          <w:rFonts w:ascii="Calibri" w:hAnsi="Calibri"/>
          <w:b w:val="0"/>
          <w:color w:val="000000"/>
          <w:sz w:val="20"/>
        </w:rPr>
        <w:t>Enthusiastic technical professional with 10+ years of experience building developer platforms and automating cloud infrastructure at scale. Specialized in enabling engineering teams through self-service infrastructure, having architected a global provisioning framework managing 20,000+ virtual machines with GitOps-driven CI/CD pipelines. Expert in Infrastructure as Code (Terraform), observability stacks (Grafana), and integrating complex API-driven workflows across VMware, Azure, and Ansible Automation Platform to ensure 100% compliance. Proven track record of enhancing developer experience through mentorship, documentation, and platform engineering that balances autonomy with security and reliability.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Hybrid Cloud &amp; GitOps: </w:t>
      </w:r>
      <w:r>
        <w:rPr>
          <w:rFonts w:ascii="Calibri" w:hAnsi="Calibri"/>
          <w:b w:val="0"/>
          <w:color w:val="000000"/>
          <w:sz w:val="18"/>
        </w:rPr>
        <w:t>Architected GitOps-driven CI/CD pipelines using Terraform to automate the deployment of virtual machines to Azure; implemented a pull-request-based workflow that standardized infrastructure changes through automated plan/apply cycles and remote state management.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Abstraction &amp; Redesign: </w:t>
      </w:r>
      <w:r>
        <w:rPr>
          <w:rFonts w:ascii="Calibri" w:hAnsi="Calibri"/>
          <w:b w:val="0"/>
          <w:color w:val="000000"/>
          <w:sz w:val="18"/>
        </w:rPr>
        <w:t>Refactored legacy on-premise automation workflows to be fully cloud-agnostic, enabling seamless deployment to Azure; designed the logic to be transparent to end users, maintaining a consistent interface while abstracting the underlying infrastructure provider.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Technical Leadership: </w:t>
      </w:r>
      <w:r>
        <w:rPr>
          <w:rFonts w:ascii="Calibri" w:hAnsi="Calibri"/>
          <w:b w:val="0"/>
          <w:color w:val="000000"/>
          <w:sz w:val="18"/>
        </w:rPr>
        <w:t>Served as a primary mentor for the Technology Development Program (TDP), setting enterprise-wide standards for naming conventions, Git branching strategies, and unit testing for infrastructure code to ensure code quality and maintainability.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Security Automation: </w:t>
      </w:r>
      <w:r>
        <w:rPr>
          <w:rFonts w:ascii="Calibri" w:hAnsi="Calibri"/>
          <w:b w:val="0"/>
          <w:color w:val="000000"/>
          <w:sz w:val="18"/>
        </w:rPr>
        <w:t>Automated Check Point firewall rule generation and DMZ provisioning; integrated security policy updates into the server build cycle to ensure day-zero network isolation and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Engineered and maintained a highly resilient infrastructure architecture spanning three identical, geo-redundant data centers to ensure maximum uptime and disaster recovery readiness.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Performance Engineering: </w:t>
      </w:r>
      <w:r>
        <w:rPr>
          <w:rFonts w:ascii="Calibri" w:hAnsi="Calibri"/>
          <w:b w:val="0"/>
          <w:color w:val="000000"/>
          <w:sz w:val="18"/>
        </w:rPr>
        <w:t>Diagnosed and resolved a mission-critical server hang by identifying a NUMA architecture mismatch; realigned vCPU/Memory topology to eliminate cross-node latency and restore system stability under heavy load.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Enterprise Mobility: </w:t>
      </w:r>
      <w:r>
        <w:rPr>
          <w:rFonts w:ascii="Calibri" w:hAnsi="Calibri"/>
          <w:b w:val="0"/>
          <w:color w:val="000000"/>
          <w:sz w:val="18"/>
        </w:rPr>
        <w:t>Orchestrated the management of 15,000 iPads via Meraki MDM, implementing automated security protocols including geo-fencing, remote-wipe triggers, and custom in-house application deployment.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YAML, Bash, PowerShell, SQL,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Terraform, CI/CD Pipelines, GitOps, Gitlab, Ansible Automation Platform, Grafana, REST API, GraphQL, ServiceNow, Version Control (Git), Unit Testing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 (IaC), Azure Cloud Services, Hybrid-Cloud Architecture, Cloud Abstraction, VMware vSphere, Rubrik, Active Directory, Red Hat Linux, Nutanix AHV, Check Point Firewalls, NUMA Architecture &amp; Tuning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High Availability, DNS, Load Balancing, VPN, F5, BGP, Intrusion Detection, Meraki MDM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  <w:r>
        <w:rPr>
          <w:rFonts w:ascii="Calibri" w:hAnsi="Calibri"/>
          <w:b w:val="0"/>
          <w:color w:val="000000"/>
          <w:sz w:val="18"/>
        </w:rPr>
        <w:tab/>
        <w:t>12/2012</w:t>
      </w:r>
    </w:p>
    <w:p>
      <w:r>
        <w:rPr>
          <w:rFonts w:ascii="Calibri" w:hAnsi="Calibri"/>
          <w:b w:val="0"/>
          <w:color w:val="000000"/>
          <w:sz w:val="18"/>
        </w:rPr>
        <w:t>SUNY Fredonia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</w:p>
    <w:p>
      <w:r>
        <w:rPr>
          <w:rFonts w:ascii="Calibri" w:hAnsi="Calibri"/>
          <w:b w:val="0"/>
          <w:color w:val="000000"/>
          <w:sz w:val="18"/>
        </w:rPr>
        <w:t>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