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Infrastructure Automation &amp; Network Platform Engineer</w:t>
      </w:r>
    </w:p>
    <w:p>
      <w:r>
        <w:rPr>
          <w:rFonts w:ascii="Calibri" w:hAnsi="Calibri"/>
          <w:b w:val="0"/>
          <w:color w:val="000000"/>
          <w:sz w:val="20"/>
        </w:rPr>
        <w:t>Technical professional with more than 10 years of experience building production-grade orchestration and provisioning systems for enterprise infrastructure. Specializes in designing API-driven middleware, automated lifecycle management workflows, and cloud-agnostic deployment platforms spanning 20,000+ virtual machines. Deep expertise in Python, REST API design, network architecture (BGP, DNS, F5, VPN), and infrastructure-as-code with Terraform and Ansible. Proven track record of architecting multi-tenant provisioning systems with full network isolation, security hardening to CIS/STIG standards, and end-to-end automation from deployment through decommissioning — all within a highly regulated financial services environment.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that serves as middleware between ServiceNow and Ansible Automation Platform; implemented advanced retry logic, auto-remediation of deployment failures, and a future-ready pub/sub queue model for high-volume network and infrastructure provisioning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Provisioning &amp; Lifecycle Management: </w:t>
      </w:r>
      <w:r>
        <w:rPr>
          <w:rFonts w:ascii="Calibri" w:hAnsi="Calibri"/>
          <w:b w:val="0"/>
          <w:color w:val="000000"/>
          <w:sz w:val="18"/>
        </w:rPr>
        <w:t>Developed a zero-touch build workflow that automates end-to-end server provisioning, including network configuration, agent installation, drive formatting, and security hardening for Linux (Ansible) and Windows (GPO) — managing the full resource lifecycle from deployment through decommissioning.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 using Terraform and infrastructure-as-code patterns, enabling seamless deployment to Azure while abstracting the underlying infrastructure provider behind a consistent programmatic API.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 with automated provisioning, enabling a unified DBaaS offering that consolidated fragmented legacy infrastructure and streamlined multi-tenant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Git branching strategies, unit testing for infrastructure code, and governance practices aligned with regulated-industry compliance requirements.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performance bottleneck by identifying a NUMA architecture mismatch; realigned vCPU/memory topology to eliminate cross-node latency — demonstrating deep Linux systems and low-latency troubleshooting expertise applicable to high-performance computing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 &amp; Network Security: </w:t>
      </w:r>
      <w:r>
        <w:rPr>
          <w:rFonts w:ascii="Calibri" w:hAnsi="Calibri"/>
          <w:b w:val="0"/>
          <w:color w:val="000000"/>
          <w:sz w:val="18"/>
        </w:rPr>
        <w:t>Orchestrated the management of 15,000 devices via Meraki MDM, implementing automated security protocols including geofencing, remote wipe triggers, and policy enforcement across a distributed network infrastructure.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Bash, YAML, SQL, PowerShell, Javascript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REST API, Middleware Development, Ansible Automation Platform, CI/CD Pipelines, GitOps, Self-Healing Infrastructure,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Azure Cloud Services, OS Hardening (CIS/STIG), VMware vSphere, Nutanix AHV, DBaaS, NUMA Tuning, Check Point Firewalls, Group Policy Objects (GPO), Active Directory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BGP, DNS, F5 Load Balancing, High Availability, VPN, Intrusion Detection, Meraki MDM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