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Automation Engineer | Linux &amp; Windows | CI/CD &amp; IaC Specialist</w:t>
      </w:r>
    </w:p>
    <w:p>
      <w:r>
        <w:rPr>
          <w:rFonts w:ascii="Calibri" w:hAnsi="Calibri"/>
          <w:b w:val="0"/>
          <w:color w:val="000000"/>
          <w:sz w:val="20"/>
        </w:rPr>
        <w:t>Enthusiastic technical professional with 10+ years of experience managing enterprise Linux and Windows systems. Specialized in Infrastructure as Code and automation, having architected a global provisioning framework managing 20,000+ virtual machines using Terraform, Ansible, and CI/CD pipelines. Expert in integrating complex API-driven workflows across VMware vSphere, ServiceNow, Infoblox, and Rubrik to ensure 100% audit compliance. Proven track record of high-stakes problem-solving, including $400k in direct cost savings and the engineering of first-of-their-kind automated DMZ and high-availability solutions across geo-redundant datacenters.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DevOps &amp; CI/CD: </w:t>
      </w:r>
      <w:r>
        <w:rPr>
          <w:rFonts w:ascii="Calibri" w:hAnsi="Calibri"/>
          <w:b w:val="0"/>
          <w:color w:val="000000"/>
          <w:sz w:val="18"/>
        </w:rPr>
        <w:t>Developed scalable CI/CD pipelines utilizing Terraform automation to standardize environment deployments and reduce configuration drift across the enterprise.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vSphere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Governance &amp; Compliance: </w:t>
      </w:r>
      <w:r>
        <w:rPr>
          <w:rFonts w:ascii="Calibri" w:hAnsi="Calibri"/>
          <w:b w:val="0"/>
          <w:color w:val="000000"/>
          <w:sz w:val="18"/>
        </w:rPr>
        <w:t>Designed an end-to-end 'Auto-Decommission' workflow with integrated ServiceNow Change Control APIs; automated the generation and closure of audit-compliant paperwork, reducing administrative overhead by 100% per retirement.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High-Availability Engineering: </w:t>
      </w:r>
      <w:r>
        <w:rPr>
          <w:rFonts w:ascii="Calibri" w:hAnsi="Calibri"/>
          <w:b w:val="0"/>
          <w:color w:val="000000"/>
          <w:sz w:val="18"/>
        </w:rPr>
        <w:t>Partnered with Database Architects to automate 'Always-On' MS SQL clusters across three geo-redundant data centers; pioneered an automated firewall rule request system to ensure seamless inter-cluster communication.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datacenters to ensure maximum uptime and disaster 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 Privilege permissions and robust rollback protocols for stale object cleanup.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Bash, PowerShell, YAML, SQL,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Ansible Automation Platform, Terraform, CI/CD Pipelines, Gitlab, REST API, GraphQL, ServiceNow, Source Control, Grafana, Time-series Database, Disaster Recovery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VMware vSphere, Nutanix AHV, Azure, Red Hat Linux, Windows Server, Active Directory, Infrastructure as Code, Rubrik, Infoblox, Server Lifecycle, Artifactory, Citrix Virtual Apps, Group Policy, IIS, NGINX Reverse Proxy, Policy-driven storage tiering, RAID, SSL/TLS, Datto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Firewall Rules, DNS, VPN, Load Balancing, High Availability, F5, VRRP, BGP, Arista, Meraki, Intrusion Detection, Vulnerability Scanning, Uptime Monitoring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