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78D4" w:val="clear"/>
        <w:spacing w:after="0" w:before="1440"/>
        <w:ind w:left="0"/>
        <w:jc w:val="center"/>
      </w:pPr>
      <w:r>
        <w:rPr>
          <w:rFonts w:ascii="Calibri" w:cs="Calibri" w:eastAsia="Calibri" w:hAnsi="Calibri"/>
          <w:b/>
          <w:bCs/>
          <w:color w:val="FFFFFF"/>
          <w:sz w:val="64"/>
          <w:szCs w:val="64"/>
        </w:rPr>
        <w:t xml:space="preserve">AZURE CLOUD</w:t>
      </w:r>
    </w:p>
    <w:p>
      <w:pPr>
        <w:shd w:fill="0078D4" w:val="clear"/>
        <w:spacing w:after="0" w:before="0"/>
        <w:jc w:val="center"/>
      </w:pPr>
      <w:r>
        <w:rPr>
          <w:rFonts w:ascii="Calibri" w:cs="Calibri" w:eastAsia="Calibri" w:hAnsi="Calibri"/>
          <w:b/>
          <w:bCs/>
          <w:color w:val="D0E4F5"/>
          <w:sz w:val="32"/>
          <w:szCs w:val="32"/>
        </w:rPr>
        <w:t xml:space="preserve">NAMING STANDARD &amp; CONVENTION GUIDE</w:t>
      </w:r>
    </w:p>
    <w:p>
      <w:pPr>
        <w:shd w:fill="0078D4" w:val="clear"/>
        <w:spacing w:after="1440" w:before="120"/>
        <w:jc w:val="center"/>
      </w:pPr>
      <w:r>
        <w:rPr>
          <w:rFonts w:ascii="Calibri" w:cs="Calibri" w:eastAsia="Calibri" w:hAnsi="Calibri"/>
          <w:i/>
          <w:iCs/>
          <w:color w:val="BDD7EE"/>
          <w:sz w:val="20"/>
          <w:szCs w:val="20"/>
        </w:rPr>
        <w:t xml:space="preserve">Template v1.0 — Replace all [bracketed] placeholders with organisation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gridSpan w:val="2"/>
            <w:tcBorders>
              <w:top w:val="single" w:color="0078D4" w:sz="1"/>
              <w:left w:val="single" w:color="0078D4" w:sz="1"/>
              <w:bottom w:val="single" w:color="0078D4" w:sz="1"/>
              <w:right w:val="single" w:color="0078D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DOCUMENT PROPERTIES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Organisation Name: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[ORGANISATION NAME]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Document Owner: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[CLOUD ARCHITECT / CTO NAME]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Version: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Status: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Draft / Review / Approved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Classification: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Internal Use Only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Created Date: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[DD MMM YYYY]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Last Reviewed: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[DD MMM YYYY]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Next Review: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[DD MMM YYYY]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95959"/>
                <w:sz w:val="22"/>
                <w:szCs w:val="22"/>
              </w:rPr>
              <w:t xml:space="preserve">Approved By: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2E75B6"/>
                <w:sz w:val="22"/>
                <w:szCs w:val="22"/>
              </w:rPr>
              <w:t xml:space="preserve">[NAME, TITLE]</w:t>
            </w:r>
          </w:p>
        </w:tc>
      </w:tr>
    </w:tbl>
    <w:p/>
    <w:p/>
    <w:p>
      <w:pPr>
        <w:pBdr>
          <w:left w:val="single" w:color="2E75B6" w:sz="12" w:space="4"/>
        </w:pBdr>
        <w:shd w:fill="EBF3FB" w:val="clear"/>
        <w:spacing w:after="120" w:before="120"/>
        <w:ind w:left="2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ℹ  Note: 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Update all [bracketed] placeholders with your organisation's specific values before publishing. Values marked with ★ appear in resource names directly.</w:t>
      </w:r>
    </w:p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1. Purpose &amp; Scope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This document defines the Azure resource naming conventions adopted by [ORGANISATION NAME]. Consistent naming enables teams to identify resource ownership, environment, purpose and location at a glance, reduces administrative overhead and supports cost governance.</w:t>
      </w:r>
    </w:p>
    <w:p/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This standard applies to all Azure resources provisioned within the [ORGANISATION NAME] tenant, across all subscriptions and environments, unless explicitly exempted.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1.1 Objectives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Provide a single, authoritative naming reference for all cloud engineers and platform teams.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Ensure names are self-describing, unique within their scope, and compliant with Azure character limits.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Enable consistent tagging, cost allocation, and lifecycle management.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Reduce the risk of naming conflicts across environments and teams.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1.2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Scope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 of Scope / Exceptions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Resource Groups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 – all RGs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 – all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Sandbox subscriptions (relaxed)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Virtual Networks &amp; Subnets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Auto-created vnets by PaaS services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Compute (VMs, VMSS, AKS)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Ephemeral/spot nodes (use prefix only)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Storage &amp; Databases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service internal names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Security &amp; Identity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Auto-generated managed identities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DevOps &amp; CI/CD Resources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Temporary pipeline artefacts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Tags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Yes – mandatory tags defined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system tags (hidden-*)</w:t>
            </w:r>
          </w:p>
        </w:tc>
      </w:tr>
    </w:tbl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2. Naming Components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All names are assembled from a defined set of components in a fixed order. Not every component is required for every resource type — the applicable components per resource type are shown in Section 3.</w:t>
      </w:r>
    </w:p>
    <w:p/>
    <w:p>
      <w:pPr>
        <w:pBdr>
          <w:left w:val="single" w:color="C45911" w:sz="12" w:space="4"/>
        </w:pBdr>
        <w:shd w:fill="FFF2CC" w:val="clear"/>
        <w:spacing w:after="120" w:before="120"/>
        <w:ind w:left="240"/>
      </w:pPr>
      <w:r>
        <w:rPr>
          <w:rFonts w:ascii="Calibri" w:cs="Calibri" w:eastAsia="Calibri" w:hAnsi="Calibri"/>
          <w:b/>
          <w:bCs/>
          <w:color w:val="C45911"/>
          <w:sz w:val="20"/>
          <w:szCs w:val="20"/>
        </w:rPr>
        <w:t xml:space="preserve">⚠  Important: 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Azure enforces strict character limits and character-set restrictions per resource type. Always validate names against the constraints in Section 3 before provisioning.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2.1 Global Format</w:t>
      </w:r>
    </w:p>
    <w:p>
      <w:pPr>
        <w:spacing w:after="160" w:before="160"/>
        <w:jc w:val="center"/>
      </w:pPr>
      <w:r>
        <w:rPr>
          <w:rFonts w:ascii="Courier New" w:cs="Courier New" w:eastAsia="Courier New" w:hAnsi="Courier New"/>
          <w:b/>
          <w:bCs/>
          <w:color w:val="0078D4"/>
          <w:sz w:val="28"/>
          <w:szCs w:val="28"/>
          <w:shd w:fill="EBF3FB" w:val="clear"/>
        </w:rPr>
        <w:t xml:space="preserve">  [org]-[workload]-[env]-[region]-[instance]  </w:t>
      </w:r>
    </w:p>
    <w:p>
      <w:pPr>
        <w:pBdr>
          <w:left w:val="single" w:color="2E75B6" w:sz="12" w:space="4"/>
        </w:pBdr>
        <w:shd w:fill="EBF3FB" w:val="clear"/>
        <w:spacing w:after="120" w:before="120"/>
        <w:ind w:left="2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ℹ  Note: 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Some resources (e.g. storage accounts) do not permit hyphens. Use the hyphen-free variant: [org][workload][env][region][instance].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 Component Definitions — Update these for your organisation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2.2.1  ★ Organisation Abbreviation  [org]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 short, lowercase alphabetical abbreviation that uniquely identifies your organisation. This appears at the start of almost every resource name.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Organisation legal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[FULL ORGANISATION NAME]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Chosen abbreviation (2–4 chars, lowercase)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[org]   e.g.  contoso → cto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Rationale / approval reference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NOTES]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Reserved / conflicting abbreviations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[LIST ANY KNOWN CONFLICTS]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2.2.2  ★ Workload / Application Code  [workload]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 short identifier for the workload, application, system or business domain the resource supports. Agree these with your application portfolio owners.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Workload Name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 (≤8 chars)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 Team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[Application / System 1]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[code1]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[TEAM 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[Application / System 2]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[code2]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[TEAM 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[Application / System 3]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[code3]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[TEAM 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[Shared Platform]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[plat]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[PLATFORM TEAM]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Shared infra resources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[Data Platform]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[data]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[DATA ENGINEERING]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[Security]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[sec]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[SECURITY OPS]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[Management / Operations]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[mgmt]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[CLOUD OPS]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more rows as needed]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2.2.3  ★ Environment  [env]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Identifies the deployment environment. Use the standard abbreviations below — customise tier names to match your SDLC.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800"/>
        <w:gridCol w:w="2700"/>
        <w:gridCol w:w="2160"/>
      </w:tblGrid>
      <w:tr>
        <w:trPr>
          <w:tblHeader/>
        </w:trPr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Standard Code</w:t>
            </w:r>
          </w:p>
        </w:tc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Org Code (update if different)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Production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prd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[prd]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Live, customer-facing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Pre-Production / UAT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ppd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[ppd]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Final acceptance testing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Staging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stg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[stg]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Near-prod mirror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Performance / 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prf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[prf]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Performance testing only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dev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[dev]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Active development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Test / QA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tst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[tst]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QA / integration testing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Sandbox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sbx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[sbx]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Experimentation; relaxed policy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Shared /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shd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[shd]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Shared services, hub, landing zone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2.2.4  ★ Azure Region  [region]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 consistent short code identifying the Azure region. Select from your approved deployment regions and define codes for each.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1800"/>
        <w:gridCol w:w="1800"/>
      </w:tblGrid>
      <w:tr>
        <w:trPr>
          <w:tblHeader/>
        </w:trPr>
        <w:tc>
          <w:tcPr>
            <w:tcW w:type="dxa" w:w="28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Azure Region</w:t>
            </w:r>
          </w:p>
        </w:tc>
        <w:tc>
          <w:tcPr>
            <w:tcW w:type="dxa" w:w="28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Azure Internal Name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Org Code (update)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Primary Use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UK South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uksouth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uks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[PRIMARY]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UK West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ukwest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ukw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[SECONDARY / DR]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North Europe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northeurope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neu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West Europe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westeurope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weu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East US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eastus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East US 2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eastus2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eu2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West US 3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westus3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wus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Australia East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australiaeast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Southeast Asia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southeastasia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sea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if used]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[Custom region]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[azure-name]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[xyz]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[Add rows as needed]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2.2.5  Instance Suffix  [instance]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 zero-padded two or three-digit number used when multiple instances of the same resource type exist for the same workload/env/region combination.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</w:t>
            </w:r>
          </w:p>
        </w:tc>
        <w:tc>
          <w:tcPr>
            <w:tcW w:type="dxa" w:w="6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 / Decision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Instance format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[01 | 001] — choose one and apply consistently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Starting number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[01 or 001]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Max instances before rethink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[99 or 999]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Omit when only one instance exists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[Yes / No — choose org standard]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2.2.6  Resource Type Prefix / Suffix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Azure CAF recommends prepending a resource-type abbreviation. The full list is maintained in Section 3. Decide whether your org uses a prefix or suffix.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Organisation Choice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Position (prefix or suffix)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[PREFIX (recommended) / SUFFIX]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Separator character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[- (hyphen)]  Note: omit for resources that disallow hyphens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Source for abbreviations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[Microsoft CAF standard / custom — if custom, list in Appendix A]</w:t>
            </w:r>
          </w:p>
        </w:tc>
      </w:tr>
    </w:tbl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3. Resource Naming Reference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The tables below provide the naming pattern, character limits, and example names for each Azure resource category. Update the [org] placeholder and example names with your own values.</w:t>
      </w:r>
    </w:p>
    <w:p/>
    <w:p>
      <w:pPr>
        <w:pBdr>
          <w:left w:val="single" w:color="2E75B6" w:sz="12" w:space="4"/>
        </w:pBdr>
        <w:shd w:fill="EBF3FB" w:val="clear"/>
        <w:spacing w:after="120" w:before="120"/>
        <w:ind w:left="2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ℹ  Note: 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Character limits shown are Azure platform maximums. Your org pattern may be shorter — validate total pattern length against the limit for each resource type.</w:t>
      </w:r>
    </w:p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3.1  Management Groups &amp; Subscriptions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80"/>
        <w:gridCol w:w="3120"/>
        <w:gridCol w:w="540"/>
        <w:gridCol w:w="1260"/>
        <w:gridCol w:w="196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10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Prefix/Abbr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9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Management Group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[org]-mg-[scope]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90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cto-mg-platform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Subscription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sub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[org]-sub-[workload]-[env]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 . ()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cto-sub-finance-prd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Resource Group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rg-[org]-[workload]-[env]-[region]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90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()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rg-cto-finance-prd-uks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3.2  Networking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Core Networking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Virtual Network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[org]-vnet-[workload]-[env]-[region]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cto-vnet-finance-prd-uks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Subnet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[org]-snet-[tier]-[env]-[region]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cto-snet-app-prd-uks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Network Security Group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nsg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[org]-nsg-[workload]-[env]-[region]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cto-nsg-finance-prd-uks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Route Table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[org]-rt-[workload]-[env]-[region]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cto-rt-finance-prd-uks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Virtual Network Peering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peer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[org]-peer-[vnet1]-[vnet2]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cto-peer-hub-spoke01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Load Balancing &amp; Gateway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Load Balancer (internal)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lbi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[org]-lbi-[workload]-[env]-[region]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cto-lbi-api-prd-uks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Load Balancer (external)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lbe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[org]-lbe-[workload]-[env]-[region]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cto-lbe-web-prd-uks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Application Gateway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agw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[org]-agw-[workload]-[env]-[region]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cto-agw-web-prd-uks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Front Door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afd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[org]-afd-[workload]-[env]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90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cto-afd-web-prd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Traffic Manager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traf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[org]-traf-[workload]-[env]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cto-traf-api-prd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VPN Gateway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vpng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[org]-vpng-[env]-[region]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cto-vpng-prd-uks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ExpressRoute Circuit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erc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[org]-erc-[provider]-[env]-[region]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cto-erc-equinix-prd-uks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Firewall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afw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[org]-afw-[env]-[region]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cto-afw-prd-uks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Firewall Policy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afwp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[org]-afwp-[env]-[region]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cto-afwp-prd-uks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[org]-ng-[workload]-[env]-[region]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cto-ng-egress-prd-uks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Private Endpoint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[org]-pep-[service]-[env]-[region]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cto-pep-storage-prd-uks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Private DNS Zone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pdns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[org]-pdns-[service].[region].azure.com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253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cto-pdns-blob.uks.azure.com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Public IP Address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pip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[org]-pip-[workload]-[env]-[region]-[inst]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cto-pip-web-prd-uks-01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DDoS Protection Plan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ddos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[org]-ddos-[env]-[region]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cto-ddos-prd-uks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3.3  Compute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Virtual Machines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Windows VM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[org][workload][env][region][inst]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ctoweb01pruks01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Linux VM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[org]-vm-[workload]-[env]-[region]-[inst]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cto-vm-api-prd-uks-01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VM Scale Set (Windows)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vmss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[org][wl][env][reg][inst]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9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ctowebpuks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VM Scale Set (Linux)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vmss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[org]-vmss-[workload]-[env]-[region]-[inst]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cto-vmss-api-prd-uks-01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Availability 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avail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[org]-avail-[workload]-[env]-[region]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cto-avail-sql-prd-uks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Disk (OS)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[org]-dsk-os-[vmname]-[inst]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cto-dsk-os-webvm01-01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Disk (Data)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[org]-dsk-data-[vmname]-[inst]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cto-dsk-data-sqlvm01-01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Proximity Placement Group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ppg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[org]-ppg-[workload]-[env]-[region]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cto-ppg-sql-prd-uks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Containers &amp; Kubernetes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AKS Cluster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[org]-aks-[workload]-[env]-[region]-[inst]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cto-aks-platform-prd-uks-01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AKS Node Pool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np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[workload][env][inst]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sysprd01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Container Registry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[org]cr[workload][env][region]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ctocr platformprduk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Container Instance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[org]-ci-[workload]-[env]-[region]-[inst]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cto-ci-worker-dev-uks-01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Serverless &amp; Integration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Function App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func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[org]-func-[workload]-[env]-[region]-[inst]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cto-func-notify-prd-uks-01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 Service Plan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asp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[org]-asp-[workload]-[env]-[region]-[inst]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cto-asp-api-prd-uks-01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 Service (Web App)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[org]-app-[workload]-[env]-[region]-[inst]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cto-app-portal-prd-uks-01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Logic App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logic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[org]-logic-[workload]-[env]-[region]-[inst]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cto-logic-invoice-prd-uks-01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Service Bus Namespace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sbns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[org]-sbns-[workload]-[env]-[region]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cto-sbns-orders-prd-uks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Service Bus Queue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sbq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[org]-sbq-[topic]-[env]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/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cto-sbq-orderscreated-prd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Event Hub Namespace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evhns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[org]-evhns-[workload]-[env]-[region]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cto-evhns-telemetry-prd-uks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Event Hub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evh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[org]-evh-[topic]-[env]-[region]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256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cto-evh-clickstream-prd-uks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Event Grid Domain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egd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[org]-egd-[workload]-[env]-[region]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cto-egd-events-prd-uks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Event Grid Topic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egt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[org]-egt-[topic]-[env]-[region]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cto-egt-userevents-prd-uks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3.4  Storage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Storage Account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[org]st[workload][env][region][inst]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(no hyphens)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ctostfinanceprduk01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Storage Container (Blob)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[workload]-[purpose]-[env]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finance-invoices-prd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File Share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[workload]-[purpose]-[env]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finance-uploads-prd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Data Lake (Gen2)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[org]dls[workload][env][region]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ctodlsfinanceprduk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Storage (NetApp)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anfvol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[org]-anfvol-[workload]-[env]-[region]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cto-anfvol-nfs-prd-uks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Backup Vault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bkv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[org]-bkv-[workload]-[env]-[region]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cto-bkv-vms-prd-uks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Recovery Services Vault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rsv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[org]-rsv-[workload]-[env]-[region]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cto-rsv-vms-prd-uks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3.5  Databases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Relational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SQL Server (logical)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[org]-sql-[workload]-[env]-[region]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cto-sql-finance-prd-uks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SQL Database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sqldb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[org]-sqldb-[workload]-[env]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, ; : ! @ # ^ &amp; ( ) { }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cto-sqldb-accounts-prd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SQL Elastic Pool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sqlep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[org]-sqlep-[workload]-[env]-[region]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, ; : ! @ # ^ &amp; ( ) { }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cto-sqlep-tenants-prd-uks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SQL Managed Instance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sqlmi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[org]-sqlmi-[workload]-[env]-[region]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cto-sqlmi-erp-prd-uks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psql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[org]-psql-[workload]-[env]-[region]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cto-psql-crm-prd-uks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Database for MySQL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mysql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[org]-mysql-[workload]-[env]-[region]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cto-mysql-cms-prd-uks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NoSQL &amp; Cache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Cosmos DB Account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cosmos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[org]-cosmos-[workload]-[env]-[region]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44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cto-cosmos-events-prd-uks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Cosmos DB Database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[workload]-[purpose]-[env]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255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= . , !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finance-orders-prd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Cache for Redis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redis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[org]-redis-[workload]-[env]-[region]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cto-redis-session-prd-uks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Table Storage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[workload][purpose][env]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financelookupsdev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Analytics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Synapse Workspace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syn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[org]-syn-[workload]-[env]-[region]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cto-syn-analytics-prd-uks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Synapse SQL Pool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syndw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[org]-syndw-[workload]-[env]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_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cto-syndw-warehouse-prd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Data Factory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adf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[org]-adf-[workload]-[env]-[region]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cto-adf-etl-prd-uks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Databricks Workspace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dbw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[org]-dbw-[workload]-[env]-[region]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cto-dbw-analytics-prd-uks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3.6  Security &amp; Identity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Identity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Identity (User)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[org]-id-[workload]-[env]-[region]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cto-id-apprunner-prd-uks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Entra ID App Registration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[org]-app-[workload]-[env]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cto-app-finance-prd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Entra Enterprise App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svc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[org]-svc-[workload]-[env]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cto-svc-finance-prd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Key Management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Key Vault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kv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[org]-kv-[workload]-[env]-[region]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cto-kv-finance-prd-uks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Key Vault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[org]-key-[purpose]-[env]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cto-key-dbencrypt-prd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Key Vault Secret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[org]-sec-[workload]-[purpose]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cto-sec-finance-dbpasswd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Key Vault Certificate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[org]-cert-[workload]-[domain]-[env]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cto-cert-api-contoso-prd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Managed HSM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mhsm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[org]-mhsm-[env]-[region]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cto-mhsm-prd-uks</w:t>
            </w:r>
          </w:p>
        </w:tc>
      </w:tr>
      <w:tr>
        <w:tc>
          <w:tcPr>
            <w:gridSpan w:val="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Monitoring &amp; Governance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Log Analytics Workspace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[org]-log-[workload]-[env]-[region]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cto-log-platform-prd-uks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Application Insights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[org]-appi-[workload]-[env]-[region]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cto-appi-finance-prd-uks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Monitor Action Group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[org]-ag-[team]-[severity]-[env]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cto-ag-ops-critical-prd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Monitor Alert Rule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[org]-ar-[resource]-[condition]-[env]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cto-ar-aks-cpuhigh-prd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Policy Definition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[org]-policy-[scope]-[description]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( 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cto-policy-rg-requiretags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Blueprint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[org]-bp-[scope]-[env]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90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cto-bp-landingzone-prd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Defender for Cloud Plan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(managed by Azure)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—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—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—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3.7  DevOps &amp; CI/CD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DevOps Organisation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contoso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DevOps Project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DevOps Repo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[workload]-[component]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128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finance-api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DevOps Pipeline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[org]-[workload]-[type]-[env]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100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cto-finance-ci-prd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Container Registry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[org]cr[workload][env][region]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ctocr financedevuks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Artifact Feed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[org]-feed-[workload]-[env]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cto-feed-npm-dev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3.8  AI &amp; Machine Learning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OpenAI 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oai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[org]-oai-[workload]-[env]-[region]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cto-oai-copilot-prd-uks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Cognitive Services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[org]-cog-[service]-[env]-[region]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cto-cog-vision-prd-uks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ML Workspace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mlw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[org]-mlw-[workload]-[env]-[region]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33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cto-mlw-churn-prd-uks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ML Compute Cluster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mlc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[org]-mlc-[purpose]-[env]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cto-mlc-train-prd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ML Compute Instance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mlci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[org]-mlci-[user]-[env]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cto-mlci-jsmith-dev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AI Search (Cognitive)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srch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[org]-srch-[workload]-[env]-[region]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60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cto-srch-docs-prd-uks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Bot 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bot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[org]-bot-[workload]-[env]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42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cto-bot-support-prd</w:t>
            </w:r>
          </w:p>
        </w:tc>
      </w:tr>
    </w:tbl>
    <w:p/>
    <w:p>
      <w:pPr>
        <w:pStyle w:val="Heading2"/>
        <w:shd w:fill="2E75B6" w:val="clear"/>
        <w:spacing w:after="160" w:before="300"/>
        <w:ind w:left="20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3.9  Integration &amp; API Management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0"/>
        <w:gridCol w:w="540"/>
        <w:gridCol w:w="1260"/>
        <w:gridCol w:w="124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9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5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Chars</w:t>
            </w:r>
          </w:p>
        </w:tc>
        <w:tc>
          <w:tcPr>
            <w:tcW w:type="dxa" w:w="12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API Management Service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apim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[org]-apim-[workload]-[env]-[region]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cto-apim-platform-prd-uks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API Management API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[workload]-api-v[version]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256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finance-api-v1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Integration Account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[org]-ia-[workload]-[env]-[region]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80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 .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cto-ia-erp-prd-uks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 Configuration Store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appcfg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[org]-appcfg-[workload]-[env]-[region]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cto-appcfg-finance-prd-uks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Notification Hub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ntfns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[org]-ntfns-[workload]-[env]-[region]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50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a-z 0-9 - _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cto-ntfns-mobile-prd-uks</w:t>
            </w:r>
          </w:p>
        </w:tc>
      </w:tr>
    </w:tbl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4. Tagging Policy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Tags complement naming by storing metadata that cannot fit within a resource name. All resources and resource groups must carry the mandatory tags below. Additional optional tags are recommended where relevant.</w:t>
      </w:r>
    </w:p>
    <w:p/>
    <w:p>
      <w:pPr>
        <w:pBdr>
          <w:left w:val="single" w:color="C45911" w:sz="12" w:space="4"/>
        </w:pBdr>
        <w:shd w:fill="FFF2CC" w:val="clear"/>
        <w:spacing w:after="120" w:before="120"/>
        <w:ind w:left="240"/>
      </w:pPr>
      <w:r>
        <w:rPr>
          <w:rFonts w:ascii="Calibri" w:cs="Calibri" w:eastAsia="Calibri" w:hAnsi="Calibri"/>
          <w:b/>
          <w:bCs/>
          <w:color w:val="C45911"/>
          <w:sz w:val="20"/>
          <w:szCs w:val="20"/>
        </w:rPr>
        <w:t xml:space="preserve">⚠  Important: 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Tags are not inherited by child resources automatically. Enforce tag inheritance via Azure Policy to prevent gaps.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4.1 Mandatory Tags — Update values for your organisation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00"/>
        <w:gridCol w:w="2700"/>
        <w:gridCol w:w="1800"/>
      </w:tblGrid>
      <w:tr>
        <w:trPr>
          <w:tblHeader/>
        </w:trPr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Tag Key</w:t>
            </w:r>
          </w:p>
        </w:tc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Allowed Values / Format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Legal entity name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[ORGANISATION NAME]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Contoso Ltd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CostCentre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Finance cost centre for charge-back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[COST CENTRE CODE — e.g. CC-1234]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CC-7890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BusinessUnit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Business unit or division owner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[LIST ALLOWED VALUES]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Finance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Application or workload name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Free text ≤ 128 chars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Finance Portal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WorkloadCode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Matches [workload] component in name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Match Section 2.2.2 code list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finance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Deployment environment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prd | ppd | stg | dev | tst | sbx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Owner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Named individual or team email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cloudops@contoso.com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TechContact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Technical contact for incidents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devops@contoso.com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DataClassification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Data sensitivity classification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[DEFINE: public | internal | confidential | restricted]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confidential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SupportTier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Support tier / SLA tier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[DEFINE: bronze | silver | gold | critical]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gold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CreatedDate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Provisioning date (ISO 8601)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YYYY-MM-DD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2025-01-15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CreatedBy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Person or pipeline that created resource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Email or pipeline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terraform-pipeline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ExpiryDate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Date to review for decommissioning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YYYY-MM-DD | never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2026-01-15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ManagedBy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IaC tool managing the resource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terraform | bicep | manual | arm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terraform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4.2 Optional Tags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Tag Key</w:t>
            </w:r>
          </w:p>
        </w:tc>
        <w:tc>
          <w:tcPr>
            <w:tcW w:type="dxa" w:w="36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6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Project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Project or programme funding the resource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Project Phoenix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ChangeTicket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Change advisory board ticket reference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CHG-20250115-001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Compliance framework(s) applicable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ISO27001 | PCI-DSS | GDPR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MaintenanceWindow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Preferred maintenance window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Sun 02:00-04:00 UTC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DR-Priority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Disaster recovery priority tier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tier1 | tier2 | tier3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BackupPolicy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Backup policy name applied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daily-30d-retain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AlertGroup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Action group for alerts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cto-ag-ops-critical-prd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AutoShutdown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Auto-shutdown schedule for non-prod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20:00 UTC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PatchGroup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Patch management group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group-a-sunday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Repository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Source control repository 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https://dev.azure.com/cto/finance</w:t>
            </w:r>
          </w:p>
        </w:tc>
      </w:tr>
    </w:tbl>
    <w:p/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5. Governance &amp; Compliance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5.1 Enforcement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3060"/>
      </w:tblGrid>
      <w:tr>
        <w:trPr>
          <w:tblHeader/>
        </w:trPr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36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30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Naming convention enforcement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Policy — deny non-compliant names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[PLATFORM TEAM]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Mandatory tag enforcement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Policy — deny/audit missing tags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[PLATFORM TEAM]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Tag inheritance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Policy — inherit tags from RG to child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[PLATFORM TEAM]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New resource review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IaC PR review gate + policy scan in pipeline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[CLOUD OPS]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Naming exception process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Raise exception via [PROCESS / TOOL NAME]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[CLOUD ARCHITECT]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Standard review cadence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[QUARTERLY / BI-ANNUALLY]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[CLOUD ARCHITECT]</w:t>
            </w:r>
          </w:p>
        </w:tc>
      </w:tr>
    </w:tbl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5.2 Exception Process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Where a resource type technically prohibits conformance with this standard (e.g. Windows VM 15-char limit), a documented exception is pre-approved. For all other deviations:</w:t>
      </w:r>
    </w:p>
    <w:p/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Submit a naming exception request via [ITSM TOOL / EMAIL] referencing this document.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The Cloud Architecture team reviews and approves or rejects within [SLA — e.g. 5 business days].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Approved exceptions are recorded in Appendix B of this document.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Exceptions are reviewed at the next standard review cycle.</w:t>
      </w:r>
    </w:p>
    <w:p/>
    <w:p>
      <w:pPr>
        <w:pStyle w:val="Heading3"/>
        <w:pBdr>
          <w:bottom w:val="single" w:color="D0E4F5" w:sz="4" w:space="1"/>
        </w:pBdr>
        <w:spacing w:after="120" w:before="240"/>
      </w:pPr>
      <w:r>
        <w:rPr>
          <w:rFonts w:ascii="Calibri" w:cs="Calibri" w:eastAsia="Calibri" w:hAnsi="Calibri"/>
          <w:b/>
          <w:bCs/>
          <w:color w:val="0078D4"/>
          <w:sz w:val="24"/>
          <w:szCs w:val="24"/>
        </w:rPr>
        <w:t xml:space="preserve">5.3 Change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440"/>
        <w:gridCol w:w="2160"/>
        <w:gridCol w:w="2160"/>
        <w:gridCol w:w="2520"/>
      </w:tblGrid>
      <w:tr>
        <w:trPr>
          <w:tblHeader/>
        </w:trPr>
        <w:tc>
          <w:tcPr>
            <w:tcW w:type="dxa" w:w="10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dxa" w:w="25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Summary of Changes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1.0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 / TITLE]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Initial release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1.1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 / TITLE]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[CHANGE DESCRIPTION]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1.2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[DATE]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[NAME / TITLE]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[CHANGE DESCRIPTION]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/>
            </w:r>
          </w:p>
        </w:tc>
      </w:tr>
    </w:tbl>
    <w:p/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Appendix A – Organisation Custom Abbreviations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If your organisation diverges from the Microsoft CAF resource type abbreviations listed in Section 3, document your custom abbreviations here. All teams must use this list as the authoritative reference.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60"/>
        <w:gridCol w:w="2160"/>
        <w:gridCol w:w="2340"/>
      </w:tblGrid>
      <w:tr>
        <w:trPr>
          <w:tblHeader/>
        </w:trPr>
        <w:tc>
          <w:tcPr>
            <w:tcW w:type="dxa" w:w="27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 Type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CAF Abbreviation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Org Abbreviation</w:t>
            </w:r>
          </w:p>
        </w:tc>
        <w:tc>
          <w:tcPr>
            <w:tcW w:type="dxa" w:w="234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for Change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[Resource Type]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[CAF abbr]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[Org abbr]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[Reason]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[Resource Type]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[CAF abbr]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[Org abbr]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[Reason]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[Resource Type]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[CAF abbr]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[Org abbr]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[Reason]</w:t>
            </w:r>
          </w:p>
        </w:tc>
      </w:tr>
    </w:tbl>
    <w:p/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Appendix B – Approved Naming Exceptions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The following exceptions to this naming standard have been formally approved. All exceptions must be reviewed at each standard revision cycle.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2880"/>
        <w:gridCol w:w="1800"/>
        <w:gridCol w:w="1800"/>
      </w:tblGrid>
      <w:tr>
        <w:trPr>
          <w:tblHeader/>
        </w:trPr>
        <w:tc>
          <w:tcPr>
            <w:tcW w:type="dxa" w:w="72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216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 / Scope</w:t>
            </w:r>
          </w:p>
        </w:tc>
        <w:tc>
          <w:tcPr>
            <w:tcW w:type="dxa" w:w="288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Exception Description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  <w:tc>
          <w:tcPr>
            <w:tcW w:type="dxa" w:w="1800"/>
            <w:gridSpan w:val="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EX-001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Windows VMs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15-char limit — abbreviated pattern [org][wl][env][reg][#]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platform constraint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Pre-approved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EX-002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Storage Accounts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No hyphens — concatenated format [org]st[wl][env][reg][#]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platform constraint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Pre-approved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EX-003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Container Registry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No hyphens — concatenated format [org]cr[wl][env][reg]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Azure platform constraint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Pre-approved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EX-004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[Resource / Scope]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[Describe exception]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[Reason]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[Approver, Date]</w:t>
            </w:r>
          </w:p>
        </w:tc>
      </w:tr>
    </w:tbl>
    <w:p/>
    <w:p>
      <w:r>
        <w:br w:type="page"/>
      </w:r>
    </w:p>
    <w:p>
      <w:pPr>
        <w:pStyle w:val="Heading1"/>
        <w:shd w:fill="0078D4" w:val="clear"/>
        <w:spacing w:after="200" w:before="360"/>
        <w:ind w:left="240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Appendix C – Quick Reference Card</w:t>
      </w:r>
    </w:p>
    <w:p>
      <w:pPr>
        <w:spacing w:after="80" w:before="80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Print or pin this card for quick reference when naming new resources.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gridSpan w:val="2"/>
            <w:tcBorders>
              <w:top w:val="single" w:color="0078D4" w:sz="1"/>
              <w:left w:val="single" w:color="0078D4" w:sz="1"/>
              <w:bottom w:val="single" w:color="0078D4" w:sz="1"/>
              <w:right w:val="single" w:color="0078D4" w:sz="1"/>
            </w:tcBorders>
            <w:shd w:fill="0078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NAMING QUICK REFERENCE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Standard Format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[prefix]-[org]-[workload]-[env]-[region]-[inst]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 </w:t>
            </w:r>
          </w:p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No-Hyphen Format (Storage / CR)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[prefix][org][workload][env][region][inst]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Component Summary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20"/>
                <w:szCs w:val="20"/>
              </w:rPr>
              <w:t xml:space="preserve">★ [org]       → [FILL IN]</w:t>
            </w:r>
          </w:p>
          <w:p>
            <w:r>
              <w:rPr>
                <w:rFonts w:ascii="Courier New" w:cs="Courier New" w:eastAsia="Courier New" w:hAnsi="Courier New"/>
                <w:color w:val="404040"/>
                <w:sz w:val="18"/>
                <w:szCs w:val="18"/>
              </w:rPr>
              <w:t xml:space="preserve">  [env]       → prd | ppd | stg | dev | tst | sbx</w:t>
            </w:r>
          </w:p>
          <w:p>
            <w:r>
              <w:rPr>
                <w:rFonts w:ascii="Courier New" w:cs="Courier New" w:eastAsia="Courier New" w:hAnsi="Courier New"/>
                <w:color w:val="404040"/>
                <w:sz w:val="18"/>
                <w:szCs w:val="18"/>
              </w:rPr>
              <w:t xml:space="preserve">  [region]    → uks | ukw | neu | weu | eus | ...</w:t>
            </w:r>
          </w:p>
          <w:p>
            <w:r>
              <w:rPr>
                <w:rFonts w:ascii="Courier New" w:cs="Courier New" w:eastAsia="Courier New" w:hAnsi="Courier New"/>
                <w:color w:val="404040"/>
                <w:sz w:val="18"/>
                <w:szCs w:val="18"/>
              </w:rPr>
              <w:t xml:space="preserve">  [instance]  → 01 | 02 | ...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Common Prefixes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rg 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Resource Group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vnet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Virtual Network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nsg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Network Security Group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vm 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Virtual Machine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aks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AKS Cluster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func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Function App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app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App Service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kv 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Key Vault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st 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Storage (no-hyphen)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sql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SQL Server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apim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API Management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log      </w:t>
            </w:r>
            <w:r>
              <w:rPr>
                <w:rFonts w:ascii="Calibri" w:cs="Calibri" w:eastAsia="Calibri" w:hAnsi="Calibri"/>
                <w:color w:val="404040"/>
                <w:sz w:val="18"/>
                <w:szCs w:val="18"/>
              </w:rPr>
              <w:t xml:space="preserve">Log Analytics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78D4"/>
                <w:sz w:val="20"/>
                <w:szCs w:val="20"/>
              </w:rPr>
              <w:t xml:space="preserve">Mandatory Tags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Organisation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CostCentre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BusinessUnit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Application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WorkloadCode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Environment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Owner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TechContact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DataClassification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SupportTier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CreatedDate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CreatedBy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ExpiryDate</w:t>
            </w:r>
          </w:p>
          <w:p>
            <w:r>
              <w:rPr>
                <w:rFonts w:ascii="Courier New" w:cs="Courier New" w:eastAsia="Courier New" w:hAnsi="Courier New"/>
                <w:color w:val="C45911"/>
                <w:sz w:val="18"/>
                <w:szCs w:val="18"/>
              </w:rPr>
              <w:t xml:space="preserve">  ManagedBy</w:t>
            </w:r>
          </w:p>
        </w:tc>
      </w:tr>
    </w:tbl>
    <w:p/>
    <w:p>
      <w:pPr>
        <w:spacing w:before="8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Reference: Microsoft Azure CAF Naming Conventions  </w:t>
      </w:r>
      <w:r>
        <w:rPr>
          <w:rFonts w:ascii="Calibri" w:cs="Calibri" w:eastAsia="Calibri" w:hAnsi="Calibri"/>
          <w:color w:val="2E75B6"/>
          <w:sz w:val="18"/>
          <w:szCs w:val="18"/>
        </w:rPr>
        <w:t xml:space="preserve">https://learn.microsoft.com/azure/cloud-adoption-framework/ready/azure-best-practices/resource-naming</w:t>
      </w:r>
    </w:p>
    <w:sectPr>
      <w:headerReference w:type="default" r:id="rId7"/>
      <w:footerReference w:type="default" r:id="rId8"/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360"/>
      </w:tabs>
      <w:spacing w:before="80"/>
    </w:pPr>
    <w:r>
      <w:rPr>
        <w:rFonts w:ascii="Calibri" w:cs="Calibri" w:eastAsia="Calibri" w:hAnsi="Calibri"/>
        <w:color w:val="595959"/>
        <w:sz w:val="16"/>
        <w:szCs w:val="16"/>
      </w:rPr>
      <w:t xml:space="preserve">CONFIDENTIAL – Do not distribute externally</w:t>
    </w:r>
    <w:r>
      <w:rPr>
        <w:rFonts w:ascii="Calibri" w:cs="Calibri" w:eastAsia="Calibri" w:hAnsi="Calibri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spacing w:after="0"/>
    </w:pPr>
    <w:r>
      <w:rPr>
        <w:rFonts w:ascii="Calibri" w:cs="Calibri" w:eastAsia="Calibri" w:hAnsi="Calibri"/>
        <w:color w:val="595959"/>
        <w:sz w:val="18"/>
        <w:szCs w:val="18"/>
      </w:rPr>
      <w:t xml:space="preserve">[Organisation Name] – Azure Naming Standard</w:t>
    </w:r>
    <w:r>
      <w:rPr>
        <w:rFonts w:ascii="Calibri" w:cs="Calibri" w:eastAsia="Calibri" w:hAnsi="Calibri"/>
        <w:color w:val="AAAAAA"/>
        <w:sz w:val="18"/>
        <w:szCs w:val="18"/>
      </w:rPr>
      <w:t xml:space="preserve">     |     v1.0     |    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078D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2026-05-18T12:08:00.756Z</dcterms:created>
  <dcterms:modified xsi:type="dcterms:W3CDTF">2026-05-18T12:08:00.767Z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