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p>
    <w:p>
      <w:pPr>
        <w:spacing w:after="240" w:before="0"/>
        <w:jc w:val="center"/>
      </w:pPr>
      <w:r>
        <w:rPr>
          <w:rFonts w:ascii="Segoe UI" w:cs="Segoe UI" w:eastAsia="Segoe UI" w:hAnsi="Segoe UI"/>
          <w:b/>
          <w:bCs/>
          <w:caps/>
          <w:color w:val="003060"/>
          <w:sz w:val="40"/>
          <w:szCs w:val="40"/>
        </w:rPr>
        <w:t xml:space="preserve">HIGH-LEVEL DESIGN</w:t>
      </w:r>
    </w:p>
    <w:p>
      <w:pPr>
        <w:pBdr>
          <w:bottom w:val="single" w:color="0078D4" w:sz="12" w:space="6"/>
        </w:pBdr>
        <w:spacing w:after="160" w:before="0"/>
        <w:jc w:val="center"/>
      </w:pPr>
      <w:r>
        <w:rPr>
          <w:rFonts w:ascii="Segoe UI" w:cs="Segoe UI" w:eastAsia="Segoe UI" w:hAnsi="Segoe UI"/>
          <w:b/>
          <w:bCs/>
          <w:color w:val="0078D4"/>
          <w:sz w:val="52"/>
          <w:szCs w:val="52"/>
        </w:rPr>
        <w:t xml:space="preserve">Microsoft Enterprise Data Platform</w:t>
      </w:r>
    </w:p>
    <w:p>
      <w:pPr>
        <w:spacing w:after="160" w:before="0"/>
      </w:pPr>
    </w:p>
    <w:p>
      <w:pPr>
        <w:spacing w:after="80" w:before="0"/>
        <w:jc w:val="center"/>
      </w:pPr>
      <w:r>
        <w:rPr>
          <w:rFonts w:ascii="Segoe UI" w:cs="Segoe UI" w:eastAsia="Segoe UI" w:hAnsi="Segoe UI"/>
          <w:i/>
          <w:iCs/>
          <w:color w:val="605E5C"/>
          <w:sz w:val="28"/>
          <w:szCs w:val="28"/>
        </w:rPr>
        <w:t xml:space="preserve">Powered by Microsoft Azure &amp; Microsoft Fabric</w:t>
      </w:r>
    </w:p>
    <w:p>
      <w:pPr>
        <w:spacing w:after="800" w:before="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BDD7EE" w:sz="6"/>
              <w:left w:val="single" w:color="BDD7EE" w:sz="6"/>
              <w:bottom w:val="single" w:color="BDD7EE" w:sz="6"/>
              <w:right w:val="single" w:color="BDD7EE" w:sz="6"/>
            </w:tcBorders>
            <w:shd w:fill="F3F8FD" w:val="clear"/>
            <w:tcMar>
              <w:top w:type="dxa" w:w="100"/>
              <w:left w:type="dxa" w:w="200"/>
              <w:bottom w:type="dxa" w:w="100"/>
              <w:right w:type="dxa" w:w="200"/>
            </w:tcMar>
          </w:tcPr>
          <w:p>
            <w:r>
              <w:rPr>
                <w:rFonts w:ascii="Segoe UI" w:cs="Segoe UI" w:eastAsia="Segoe UI" w:hAnsi="Segoe UI"/>
                <w:b/>
                <w:bCs/>
                <w:color w:val="605E5C"/>
                <w:sz w:val="20"/>
                <w:szCs w:val="20"/>
              </w:rPr>
              <w:t xml:space="preserve">Document Version</w:t>
            </w:r>
          </w:p>
        </w:tc>
        <w:tc>
          <w:tcPr>
            <w:tcW w:type="dxa" w:w="3000"/>
            <w:tcBorders>
              <w:top w:val="single" w:color="BDD7EE" w:sz="6"/>
              <w:left w:val="single" w:color="BDD7EE" w:sz="6"/>
              <w:bottom w:val="single" w:color="BDD7EE" w:sz="6"/>
              <w:right w:val="single" w:color="BDD7EE" w:sz="6"/>
            </w:tcBorders>
            <w:shd w:fill="FFFFFF" w:val="clear"/>
            <w:tcMar>
              <w:top w:type="dxa" w:w="100"/>
              <w:left w:type="dxa" w:w="200"/>
              <w:bottom w:type="dxa" w:w="100"/>
              <w:right w:type="dxa" w:w="200"/>
            </w:tcMar>
          </w:tcPr>
          <w:p>
            <w:r>
              <w:rPr>
                <w:rFonts w:ascii="Segoe UI" w:cs="Segoe UI" w:eastAsia="Segoe UI" w:hAnsi="Segoe UI"/>
                <w:sz w:val="20"/>
                <w:szCs w:val="20"/>
              </w:rPr>
              <w:t xml:space="preserve">v1.0</w:t>
            </w:r>
          </w:p>
        </w:tc>
      </w:tr>
      <w:tr>
        <w:tc>
          <w:tcPr>
            <w:tcW w:type="dxa" w:w="3000"/>
            <w:tcBorders>
              <w:top w:val="single" w:color="BDD7EE" w:sz="6"/>
              <w:left w:val="single" w:color="BDD7EE" w:sz="6"/>
              <w:bottom w:val="single" w:color="BDD7EE" w:sz="6"/>
              <w:right w:val="single" w:color="BDD7EE" w:sz="6"/>
            </w:tcBorders>
            <w:shd w:fill="F3F8FD" w:val="clear"/>
            <w:tcMar>
              <w:top w:type="dxa" w:w="100"/>
              <w:left w:type="dxa" w:w="200"/>
              <w:bottom w:type="dxa" w:w="100"/>
              <w:right w:type="dxa" w:w="200"/>
            </w:tcMar>
          </w:tcPr>
          <w:p>
            <w:r>
              <w:rPr>
                <w:rFonts w:ascii="Segoe UI" w:cs="Segoe UI" w:eastAsia="Segoe UI" w:hAnsi="Segoe UI"/>
                <w:b/>
                <w:bCs/>
                <w:color w:val="605E5C"/>
                <w:sz w:val="20"/>
                <w:szCs w:val="20"/>
              </w:rPr>
              <w:t xml:space="preserve">Date</w:t>
            </w:r>
          </w:p>
        </w:tc>
        <w:tc>
          <w:tcPr>
            <w:tcW w:type="dxa" w:w="3000"/>
            <w:tcBorders>
              <w:top w:val="single" w:color="BDD7EE" w:sz="6"/>
              <w:left w:val="single" w:color="BDD7EE" w:sz="6"/>
              <w:bottom w:val="single" w:color="BDD7EE" w:sz="6"/>
              <w:right w:val="single" w:color="BDD7EE" w:sz="6"/>
            </w:tcBorders>
            <w:shd w:fill="FFFFFF" w:val="clear"/>
            <w:tcMar>
              <w:top w:type="dxa" w:w="100"/>
              <w:left w:type="dxa" w:w="200"/>
              <w:bottom w:type="dxa" w:w="100"/>
              <w:right w:type="dxa" w:w="200"/>
            </w:tcMar>
          </w:tcPr>
          <w:p>
            <w:r>
              <w:rPr>
                <w:rFonts w:ascii="Segoe UI" w:cs="Segoe UI" w:eastAsia="Segoe UI" w:hAnsi="Segoe UI"/>
                <w:sz w:val="20"/>
                <w:szCs w:val="20"/>
              </w:rPr>
              <w:t xml:space="preserve">[DD Month YYYY]</w:t>
            </w:r>
          </w:p>
        </w:tc>
      </w:tr>
      <w:tr>
        <w:tc>
          <w:tcPr>
            <w:tcW w:type="dxa" w:w="3000"/>
            <w:tcBorders>
              <w:top w:val="single" w:color="BDD7EE" w:sz="6"/>
              <w:left w:val="single" w:color="BDD7EE" w:sz="6"/>
              <w:bottom w:val="single" w:color="BDD7EE" w:sz="6"/>
              <w:right w:val="single" w:color="BDD7EE" w:sz="6"/>
            </w:tcBorders>
            <w:shd w:fill="F3F8FD" w:val="clear"/>
            <w:tcMar>
              <w:top w:type="dxa" w:w="100"/>
              <w:left w:type="dxa" w:w="200"/>
              <w:bottom w:type="dxa" w:w="100"/>
              <w:right w:type="dxa" w:w="200"/>
            </w:tcMar>
          </w:tcPr>
          <w:p>
            <w:r>
              <w:rPr>
                <w:rFonts w:ascii="Segoe UI" w:cs="Segoe UI" w:eastAsia="Segoe UI" w:hAnsi="Segoe UI"/>
                <w:b/>
                <w:bCs/>
                <w:color w:val="605E5C"/>
                <w:sz w:val="20"/>
                <w:szCs w:val="20"/>
              </w:rPr>
              <w:t xml:space="preserve">Author(s)</w:t>
            </w:r>
          </w:p>
        </w:tc>
        <w:tc>
          <w:tcPr>
            <w:tcW w:type="dxa" w:w="3000"/>
            <w:tcBorders>
              <w:top w:val="single" w:color="BDD7EE" w:sz="6"/>
              <w:left w:val="single" w:color="BDD7EE" w:sz="6"/>
              <w:bottom w:val="single" w:color="BDD7EE" w:sz="6"/>
              <w:right w:val="single" w:color="BDD7EE" w:sz="6"/>
            </w:tcBorders>
            <w:shd w:fill="FFFFFF" w:val="clear"/>
            <w:tcMar>
              <w:top w:type="dxa" w:w="100"/>
              <w:left w:type="dxa" w:w="200"/>
              <w:bottom w:type="dxa" w:w="100"/>
              <w:right w:type="dxa" w:w="200"/>
            </w:tcMar>
          </w:tcPr>
          <w:p>
            <w:r>
              <w:rPr>
                <w:rFonts w:ascii="Segoe UI" w:cs="Segoe UI" w:eastAsia="Segoe UI" w:hAnsi="Segoe UI"/>
                <w:sz w:val="20"/>
                <w:szCs w:val="20"/>
              </w:rPr>
              <w:t xml:space="preserve">[Author Name(s)]</w:t>
            </w:r>
          </w:p>
        </w:tc>
      </w:tr>
      <w:tr>
        <w:tc>
          <w:tcPr>
            <w:tcW w:type="dxa" w:w="3000"/>
            <w:tcBorders>
              <w:top w:val="single" w:color="BDD7EE" w:sz="6"/>
              <w:left w:val="single" w:color="BDD7EE" w:sz="6"/>
              <w:bottom w:val="single" w:color="BDD7EE" w:sz="6"/>
              <w:right w:val="single" w:color="BDD7EE" w:sz="6"/>
            </w:tcBorders>
            <w:shd w:fill="F3F8FD" w:val="clear"/>
            <w:tcMar>
              <w:top w:type="dxa" w:w="100"/>
              <w:left w:type="dxa" w:w="200"/>
              <w:bottom w:type="dxa" w:w="100"/>
              <w:right w:type="dxa" w:w="200"/>
            </w:tcMar>
          </w:tcPr>
          <w:p>
            <w:r>
              <w:rPr>
                <w:rFonts w:ascii="Segoe UI" w:cs="Segoe UI" w:eastAsia="Segoe UI" w:hAnsi="Segoe UI"/>
                <w:b/>
                <w:bCs/>
                <w:color w:val="605E5C"/>
                <w:sz w:val="20"/>
                <w:szCs w:val="20"/>
              </w:rPr>
              <w:t xml:space="preserve">Project</w:t>
            </w:r>
          </w:p>
        </w:tc>
        <w:tc>
          <w:tcPr>
            <w:tcW w:type="dxa" w:w="3000"/>
            <w:tcBorders>
              <w:top w:val="single" w:color="BDD7EE" w:sz="6"/>
              <w:left w:val="single" w:color="BDD7EE" w:sz="6"/>
              <w:bottom w:val="single" w:color="BDD7EE" w:sz="6"/>
              <w:right w:val="single" w:color="BDD7EE" w:sz="6"/>
            </w:tcBorders>
            <w:shd w:fill="FFFFFF" w:val="clear"/>
            <w:tcMar>
              <w:top w:type="dxa" w:w="100"/>
              <w:left w:type="dxa" w:w="200"/>
              <w:bottom w:type="dxa" w:w="100"/>
              <w:right w:type="dxa" w:w="200"/>
            </w:tcMar>
          </w:tcPr>
          <w:p>
            <w:r>
              <w:rPr>
                <w:rFonts w:ascii="Segoe UI" w:cs="Segoe UI" w:eastAsia="Segoe UI" w:hAnsi="Segoe UI"/>
                <w:sz w:val="20"/>
                <w:szCs w:val="20"/>
              </w:rPr>
              <w:t xml:space="preserve">[Project Name]</w:t>
            </w:r>
          </w:p>
        </w:tc>
      </w:tr>
      <w:tr>
        <w:tc>
          <w:tcPr>
            <w:tcW w:type="dxa" w:w="3000"/>
            <w:tcBorders>
              <w:top w:val="single" w:color="BDD7EE" w:sz="6"/>
              <w:left w:val="single" w:color="BDD7EE" w:sz="6"/>
              <w:bottom w:val="single" w:color="BDD7EE" w:sz="6"/>
              <w:right w:val="single" w:color="BDD7EE" w:sz="6"/>
            </w:tcBorders>
            <w:shd w:fill="F3F8FD" w:val="clear"/>
            <w:tcMar>
              <w:top w:type="dxa" w:w="100"/>
              <w:left w:type="dxa" w:w="200"/>
              <w:bottom w:type="dxa" w:w="100"/>
              <w:right w:type="dxa" w:w="200"/>
            </w:tcMar>
          </w:tcPr>
          <w:p>
            <w:r>
              <w:rPr>
                <w:rFonts w:ascii="Segoe UI" w:cs="Segoe UI" w:eastAsia="Segoe UI" w:hAnsi="Segoe UI"/>
                <w:b/>
                <w:bCs/>
                <w:color w:val="605E5C"/>
                <w:sz w:val="20"/>
                <w:szCs w:val="20"/>
              </w:rPr>
              <w:t xml:space="preserve">Classification</w:t>
            </w:r>
          </w:p>
        </w:tc>
        <w:tc>
          <w:tcPr>
            <w:tcW w:type="dxa" w:w="3000"/>
            <w:tcBorders>
              <w:top w:val="single" w:color="BDD7EE" w:sz="6"/>
              <w:left w:val="single" w:color="BDD7EE" w:sz="6"/>
              <w:bottom w:val="single" w:color="BDD7EE" w:sz="6"/>
              <w:right w:val="single" w:color="BDD7EE" w:sz="6"/>
            </w:tcBorders>
            <w:shd w:fill="FFFFFF" w:val="clear"/>
            <w:tcMar>
              <w:top w:type="dxa" w:w="100"/>
              <w:left w:type="dxa" w:w="200"/>
              <w:bottom w:type="dxa" w:w="100"/>
              <w:right w:type="dxa" w:w="200"/>
            </w:tcMar>
          </w:tcPr>
          <w:p>
            <w:r>
              <w:rPr>
                <w:rFonts w:ascii="Segoe UI" w:cs="Segoe UI" w:eastAsia="Segoe UI" w:hAnsi="Segoe UI"/>
                <w:sz w:val="20"/>
                <w:szCs w:val="20"/>
              </w:rPr>
              <w:t xml:space="preserve">[INTERNAL / CONFIDENTIAL]</w:t>
            </w:r>
          </w:p>
        </w:tc>
      </w:tr>
    </w:tbl>
    <w:p>
      <w:pPr>
        <w:spacing w:after="1000" w:before="0"/>
      </w:pPr>
    </w:p>
    <w:p>
      <w:pPr>
        <w:jc w:val="center"/>
      </w:pPr>
      <w:r>
        <w:rPr>
          <w:rFonts w:ascii="Segoe UI" w:cs="Segoe UI" w:eastAsia="Segoe UI" w:hAnsi="Segoe UI"/>
          <w:caps/>
          <w:color w:val="605E5C"/>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120" w:before="400"/>
      </w:pPr>
      <w:r>
        <w:rPr>
          <w:rFonts w:ascii="Segoe UI" w:cs="Segoe UI" w:eastAsia="Segoe UI" w:hAnsi="Segoe UI"/>
          <w:b/>
          <w:bCs/>
        </w:rPr>
        <w:t xml:space="preserve">Table of Contents</w:t>
      </w:r>
    </w:p>
    <w:sdt>
      <w:sdtPr>
        <w:alias w:val="Table of Contents"/>
      </w:sdtPr>
      <w:sdtContent>
        <w:p>
          <w:r>
            <w:fldChar w:fldCharType="begin" w:dirty="true"/>
            <w:instrText xml:space="preserve">TOC \h \o "1-4" \t "undefined,1,undefined,2,undefined,3,undefined,4"</w:instrText>
            <w:fldChar w:fldCharType="separate"/>
          </w:r>
        </w:p>
        <w:p>
          <w:r>
            <w:fldChar w:fldCharType="end"/>
          </w:r>
        </w:p>
      </w:sdtContent>
    </w:sdt>
    <w:p>
      <w:r>
        <w:br w:type="page"/>
      </w:r>
    </w:p>
    <w:p>
      <w:pPr>
        <w:pStyle w:val="Heading1"/>
        <w:spacing w:after="120" w:before="400"/>
      </w:pPr>
      <w:r>
        <w:rPr>
          <w:rFonts w:ascii="Segoe UI" w:cs="Segoe UI" w:eastAsia="Segoe UI" w:hAnsi="Segoe UI"/>
          <w:b/>
          <w:bCs/>
        </w:rPr>
        <w:t xml:space="preserve">1. Document Control</w:t>
      </w:r>
    </w:p>
    <w:p>
      <w:pPr>
        <w:pStyle w:val="Heading2"/>
        <w:spacing w:after="120" w:before="240"/>
      </w:pPr>
      <w:r>
        <w:rPr>
          <w:rFonts w:ascii="Segoe UI" w:cs="Segoe UI" w:eastAsia="Segoe UI" w:hAnsi="Segoe UI"/>
          <w:b/>
          <w:bCs/>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Version</w:t>
            </w:r>
          </w:p>
        </w:tc>
        <w:tc>
          <w:tcPr>
            <w:tcW w:type="dxa" w:w="2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Date</w:t>
            </w:r>
          </w:p>
        </w:tc>
        <w:tc>
          <w:tcPr>
            <w:tcW w:type="dxa" w:w="2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Author</w:t>
            </w:r>
          </w:p>
        </w:tc>
        <w:tc>
          <w:tcPr>
            <w:tcW w:type="dxa" w:w="33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1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1.0</w:t>
            </w:r>
          </w:p>
        </w:tc>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[DD/MM/YYYY]</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[Name]</w:t>
            </w:r>
          </w:p>
        </w:tc>
        <w:tc>
          <w:tcPr>
            <w:tcW w:type="dxa" w:w="3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Initial draft</w:t>
            </w:r>
          </w:p>
        </w:tc>
      </w:tr>
      <w:tr>
        <w:tc>
          <w:tcPr>
            <w:tcW w:type="dxa" w:w="1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
            </w:r>
          </w:p>
        </w:tc>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
            </w:r>
          </w:p>
        </w:tc>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
            </w:r>
          </w:p>
        </w:tc>
        <w:tc>
          <w:tcPr>
            <w:tcW w:type="dxa" w:w="3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
            </w:r>
          </w:p>
        </w:tc>
      </w:tr>
      <w:tr>
        <w:tc>
          <w:tcPr>
            <w:tcW w:type="dxa" w:w="1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
            </w:r>
          </w:p>
        </w:tc>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
            </w:r>
          </w:p>
        </w:tc>
        <w:tc>
          <w:tcPr>
            <w:tcW w:type="dxa" w:w="3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
            </w:r>
          </w:p>
        </w:tc>
      </w:tr>
    </w:tbl>
    <w:p>
      <w:pPr>
        <w:spacing w:after="120" w:before="0"/>
      </w:pPr>
    </w:p>
    <w:p>
      <w:pPr>
        <w:pStyle w:val="Heading2"/>
        <w:spacing w:after="120" w:before="240"/>
      </w:pPr>
      <w:r>
        <w:rPr>
          <w:rFonts w:ascii="Segoe UI" w:cs="Segoe UI" w:eastAsia="Segoe UI" w:hAnsi="Segoe UI"/>
          <w:b/>
          <w:bCs/>
        </w:rPr>
        <w:t xml:space="preserve">1.2 Reviewers &amp; Approvers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Name</w:t>
            </w:r>
          </w:p>
        </w:tc>
        <w:tc>
          <w:tcPr>
            <w:tcW w:type="dxa" w:w="2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Role</w:t>
            </w:r>
          </w:p>
        </w:tc>
        <w:tc>
          <w:tcPr>
            <w:tcW w:type="dxa" w:w="2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Review Date</w:t>
            </w:r>
          </w:p>
        </w:tc>
        <w:tc>
          <w:tcPr>
            <w:tcW w:type="dxa" w:w="23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Status</w:t>
            </w:r>
          </w:p>
        </w:tc>
      </w:tr>
      <w:tr>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[Name]</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[Solution Architect]</w:t>
            </w:r>
          </w:p>
        </w:tc>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
            </w:r>
          </w:p>
        </w:tc>
        <w:tc>
          <w:tcPr>
            <w:tcW w:type="dxa" w:w="2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Pending</w:t>
            </w:r>
          </w:p>
        </w:tc>
      </w:tr>
      <w:tr>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[Name]</w:t>
            </w:r>
          </w:p>
        </w:tc>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[Platform Lead]</w:t>
            </w:r>
          </w:p>
        </w:tc>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
            </w:r>
          </w:p>
        </w:tc>
        <w:tc>
          <w:tcPr>
            <w:tcW w:type="dxa" w:w="2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Pending</w:t>
            </w:r>
          </w:p>
        </w:tc>
      </w:tr>
      <w:tr>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[Name]</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[Security Architect]</w:t>
            </w:r>
          </w:p>
        </w:tc>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
            </w:r>
          </w:p>
        </w:tc>
        <w:tc>
          <w:tcPr>
            <w:tcW w:type="dxa" w:w="2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Pending</w:t>
            </w:r>
          </w:p>
        </w:tc>
      </w:tr>
      <w:tr>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[Name]</w:t>
            </w:r>
          </w:p>
        </w:tc>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[Business Sponsor]</w:t>
            </w:r>
          </w:p>
        </w:tc>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
            </w:r>
          </w:p>
        </w:tc>
        <w:tc>
          <w:tcPr>
            <w:tcW w:type="dxa" w:w="2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Pending</w:t>
            </w:r>
          </w:p>
        </w:tc>
      </w:tr>
    </w:tbl>
    <w:p>
      <w:pPr>
        <w:spacing w:after="120" w:before="0"/>
      </w:pPr>
    </w:p>
    <w:p>
      <w:pPr>
        <w:pStyle w:val="Heading2"/>
        <w:spacing w:after="120" w:before="240"/>
      </w:pPr>
      <w:r>
        <w:rPr>
          <w:rFonts w:ascii="Segoe UI" w:cs="Segoe UI" w:eastAsia="Segoe UI" w:hAnsi="Segoe UI"/>
          <w:b/>
          <w:bCs/>
        </w:rPr>
        <w:t xml:space="preserve">1.3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Document</w:t>
            </w:r>
          </w:p>
        </w:tc>
        <w:tc>
          <w:tcPr>
            <w:tcW w:type="dxa" w:w="18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Reference</w:t>
            </w:r>
          </w:p>
        </w:tc>
        <w:tc>
          <w:tcPr>
            <w:tcW w:type="dxa" w:w="45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Location</w:t>
            </w:r>
          </w:p>
        </w:tc>
      </w:tr>
      <w:tr>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Requirements Specification</w:t>
            </w:r>
          </w:p>
        </w:tc>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[REF-001]</w:t>
            </w:r>
          </w:p>
        </w:tc>
        <w:tc>
          <w:tcPr>
            <w:tcW w:type="dxa" w:w="4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[Link / SharePoint path]</w:t>
            </w:r>
          </w:p>
        </w:tc>
      </w:tr>
      <w:tr>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Architecture Decision Records</w:t>
            </w:r>
          </w:p>
        </w:tc>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[REF-002]</w:t>
            </w:r>
          </w:p>
        </w:tc>
        <w:tc>
          <w:tcPr>
            <w:tcW w:type="dxa" w:w="4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[Link / SharePoint path]</w:t>
            </w:r>
          </w:p>
        </w:tc>
      </w:tr>
      <w:tr>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Security &amp; Compliance Baseline</w:t>
            </w:r>
          </w:p>
        </w:tc>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[REF-003]</w:t>
            </w:r>
          </w:p>
        </w:tc>
        <w:tc>
          <w:tcPr>
            <w:tcW w:type="dxa" w:w="4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[Link / SharePoint path]</w:t>
            </w:r>
          </w:p>
        </w:tc>
      </w:tr>
      <w:tr>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Low-Level Design (LLD)</w:t>
            </w:r>
          </w:p>
        </w:tc>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[REF-004]</w:t>
            </w:r>
          </w:p>
        </w:tc>
        <w:tc>
          <w:tcPr>
            <w:tcW w:type="dxa" w:w="4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[TBD]</w:t>
            </w:r>
          </w:p>
        </w:tc>
      </w:tr>
      <w:tr>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Data Governance Framework</w:t>
            </w:r>
          </w:p>
        </w:tc>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[REF-005]</w:t>
            </w:r>
          </w:p>
        </w:tc>
        <w:tc>
          <w:tcPr>
            <w:tcW w:type="dxa" w:w="4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[Link / SharePoint path]</w:t>
            </w:r>
          </w:p>
        </w:tc>
      </w:tr>
    </w:tbl>
    <w:p>
      <w:pPr>
        <w:spacing w:after="120" w:before="0"/>
      </w:pPr>
    </w:p>
    <w:p>
      <w:r>
        <w:br w:type="page"/>
      </w:r>
    </w:p>
    <w:p>
      <w:pPr>
        <w:pStyle w:val="Heading1"/>
        <w:spacing w:after="120" w:before="400"/>
      </w:pPr>
      <w:r>
        <w:rPr>
          <w:rFonts w:ascii="Segoe UI" w:cs="Segoe UI" w:eastAsia="Segoe UI" w:hAnsi="Segoe UI"/>
          <w:b/>
          <w:bCs/>
        </w:rPr>
        <w:t xml:space="preserve">2. Executive Summary</w:t>
      </w:r>
    </w:p>
    <w:p>
      <w:pPr>
        <w:spacing w:after="120" w:before="80"/>
      </w:pPr>
      <w:r>
        <w:rPr>
          <w:rFonts w:ascii="Segoe UI" w:cs="Segoe UI" w:eastAsia="Segoe UI" w:hAnsi="Segoe UI"/>
          <w:sz w:val="22"/>
          <w:szCs w:val="22"/>
        </w:rPr>
        <w:t xml:space="preserve">[Replace this paragraph with a 3-5 sentence executive summary describing the purpose and business value of the Enterprise Data Platform. Explain why the organisation is adopting Microsoft Fabric and Azure as the platform foundation, and what outcomes are expected.]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0078D4" w:sz="6"/>
              <w:bottom w:val="single" w:color="0078D4" w:sz="6"/>
              <w:right w:val="single" w:color="0078D4" w:sz="6"/>
            </w:tcBorders>
            <w:shd w:fill="D0E7F8" w:val="clear"/>
            <w:tcMar>
              <w:top w:type="dxa" w:w="100"/>
              <w:left w:type="dxa" w:w="160"/>
              <w:bottom w:type="dxa" w:w="100"/>
              <w:right w:type="dxa" w:w="160"/>
            </w:tcMar>
          </w:tcPr>
          <w:p>
            <w:pPr>
              <w:spacing w:after="40" w:before="40"/>
            </w:pPr>
            <w:r>
              <w:rPr>
                <w:rFonts w:ascii="Segoe UI" w:cs="Segoe UI" w:eastAsia="Segoe UI" w:hAnsi="Segoe UI"/>
                <w:b/>
                <w:bCs/>
                <w:color w:val="003060"/>
                <w:sz w:val="20"/>
                <w:szCs w:val="20"/>
              </w:rPr>
              <w:t xml:space="preserve">Key Outcomes: </w:t>
            </w:r>
            <w:r>
              <w:rPr>
                <w:rFonts w:ascii="Segoe UI" w:cs="Segoe UI" w:eastAsia="Segoe UI" w:hAnsi="Segoe UI"/>
                <w:color w:val="003060"/>
                <w:sz w:val="20"/>
                <w:szCs w:val="20"/>
              </w:rPr>
              <w:t xml:space="preserve">Unified data estate, AI-ready analytics, governed self-service, reduced time-to-insight, and cloud-native scalability.</w:t>
            </w:r>
          </w:p>
        </w:tc>
      </w:tr>
    </w:tbl>
    <w:p>
      <w:pPr>
        <w:spacing w:after="120" w:before="0"/>
      </w:pPr>
    </w:p>
    <w:p>
      <w:pPr>
        <w:pStyle w:val="Heading1"/>
        <w:spacing w:after="120" w:before="400"/>
      </w:pPr>
      <w:r>
        <w:rPr>
          <w:rFonts w:ascii="Segoe UI" w:cs="Segoe UI" w:eastAsia="Segoe UI" w:hAnsi="Segoe UI"/>
          <w:b/>
          <w:bCs/>
        </w:rPr>
        <w:t xml:space="preserve">3. Scope &amp; Objectives</w:t>
      </w:r>
    </w:p>
    <w:p>
      <w:pPr>
        <w:pStyle w:val="Heading2"/>
        <w:spacing w:after="120" w:before="240"/>
      </w:pPr>
      <w:r>
        <w:rPr>
          <w:rFonts w:ascii="Segoe UI" w:cs="Segoe UI" w:eastAsia="Segoe UI" w:hAnsi="Segoe UI"/>
          <w:b/>
          <w:bCs/>
        </w:rPr>
        <w:t xml:space="preserve">3.1 Business Objectives</w:t>
      </w:r>
    </w:p>
    <w:p>
      <w:pPr>
        <w:pStyle w:val="ListParagraph"/>
        <w:numPr>
          <w:ilvl w:val="0"/>
          <w:numId w:val="2"/>
        </w:numPr>
        <w:spacing w:after="60" w:before="60"/>
      </w:pPr>
      <w:r>
        <w:rPr>
          <w:rFonts w:ascii="Segoe UI" w:cs="Segoe UI" w:eastAsia="Segoe UI" w:hAnsi="Segoe UI"/>
          <w:sz w:val="22"/>
          <w:szCs w:val="22"/>
        </w:rPr>
        <w:t xml:space="preserve">Establish a unified, scalable enterprise data platform on Azure using Microsoft Fabric.</w:t>
      </w:r>
    </w:p>
    <w:p>
      <w:pPr>
        <w:pStyle w:val="ListParagraph"/>
        <w:numPr>
          <w:ilvl w:val="0"/>
          <w:numId w:val="2"/>
        </w:numPr>
        <w:spacing w:after="60" w:before="60"/>
      </w:pPr>
      <w:r>
        <w:rPr>
          <w:rFonts w:ascii="Segoe UI" w:cs="Segoe UI" w:eastAsia="Segoe UI" w:hAnsi="Segoe UI"/>
          <w:sz w:val="22"/>
          <w:szCs w:val="22"/>
        </w:rPr>
        <w:t xml:space="preserve">Enable governed self-service analytics for business units across the organisation.</w:t>
      </w:r>
    </w:p>
    <w:p>
      <w:pPr>
        <w:pStyle w:val="ListParagraph"/>
        <w:numPr>
          <w:ilvl w:val="0"/>
          <w:numId w:val="2"/>
        </w:numPr>
        <w:spacing w:after="60" w:before="60"/>
      </w:pPr>
      <w:r>
        <w:rPr>
          <w:rFonts w:ascii="Segoe UI" w:cs="Segoe UI" w:eastAsia="Segoe UI" w:hAnsi="Segoe UI"/>
          <w:sz w:val="22"/>
          <w:szCs w:val="22"/>
        </w:rPr>
        <w:t xml:space="preserve">Reduce data silos and deliver a single source of truth (SSOT) for key business domains.</w:t>
      </w:r>
    </w:p>
    <w:p>
      <w:pPr>
        <w:pStyle w:val="ListParagraph"/>
        <w:numPr>
          <w:ilvl w:val="0"/>
          <w:numId w:val="2"/>
        </w:numPr>
        <w:spacing w:after="60" w:before="60"/>
      </w:pPr>
      <w:r>
        <w:rPr>
          <w:rFonts w:ascii="Segoe UI" w:cs="Segoe UI" w:eastAsia="Segoe UI" w:hAnsi="Segoe UI"/>
          <w:sz w:val="22"/>
          <w:szCs w:val="22"/>
        </w:rPr>
        <w:t xml:space="preserve">Accelerate time-to-insight through real-time and batch analytical capabilities.</w:t>
      </w:r>
    </w:p>
    <w:p>
      <w:pPr>
        <w:pStyle w:val="ListParagraph"/>
        <w:numPr>
          <w:ilvl w:val="0"/>
          <w:numId w:val="2"/>
        </w:numPr>
        <w:spacing w:after="60" w:before="60"/>
      </w:pPr>
      <w:r>
        <w:rPr>
          <w:rFonts w:ascii="Segoe UI" w:cs="Segoe UI" w:eastAsia="Segoe UI" w:hAnsi="Segoe UI"/>
          <w:sz w:val="22"/>
          <w:szCs w:val="22"/>
        </w:rPr>
        <w:t xml:space="preserve">Lay the foundation for AI/ML workloads on trusted, governed data.</w:t>
      </w:r>
    </w:p>
    <w:p>
      <w:pPr>
        <w:pStyle w:val="ListParagraph"/>
        <w:numPr>
          <w:ilvl w:val="0"/>
          <w:numId w:val="2"/>
        </w:numPr>
        <w:spacing w:after="60" w:before="60"/>
      </w:pPr>
      <w:r>
        <w:rPr>
          <w:rFonts w:ascii="Segoe UI" w:cs="Segoe UI" w:eastAsia="Segoe UI" w:hAnsi="Segoe UI"/>
          <w:sz w:val="22"/>
          <w:szCs w:val="22"/>
        </w:rPr>
        <w:t xml:space="preserve">[Add organisation-specific objectives here]</w:t>
      </w:r>
    </w:p>
    <w:p>
      <w:pPr>
        <w:spacing w:after="120" w:before="0"/>
      </w:pPr>
    </w:p>
    <w:p>
      <w:pPr>
        <w:pStyle w:val="Heading2"/>
        <w:spacing w:after="120" w:before="240"/>
      </w:pPr>
      <w:r>
        <w:rPr>
          <w:rFonts w:ascii="Segoe UI" w:cs="Segoe UI" w:eastAsia="Segoe UI" w:hAnsi="Segoe UI"/>
          <w:b/>
          <w:bCs/>
        </w:rPr>
        <w:t xml:space="preserve">3.2 In-Scope</w:t>
      </w:r>
    </w:p>
    <w:p>
      <w:pPr>
        <w:pStyle w:val="ListParagraph"/>
        <w:numPr>
          <w:ilvl w:val="0"/>
          <w:numId w:val="2"/>
        </w:numPr>
        <w:spacing w:after="60" w:before="60"/>
      </w:pPr>
      <w:r>
        <w:rPr>
          <w:rFonts w:ascii="Segoe UI" w:cs="Segoe UI" w:eastAsia="Segoe UI" w:hAnsi="Segoe UI"/>
          <w:sz w:val="22"/>
          <w:szCs w:val="22"/>
        </w:rPr>
        <w:t xml:space="preserve">Microsoft Fabric capacity provisioning and Workspace configuration.</w:t>
      </w:r>
    </w:p>
    <w:p>
      <w:pPr>
        <w:pStyle w:val="ListParagraph"/>
        <w:numPr>
          <w:ilvl w:val="0"/>
          <w:numId w:val="2"/>
        </w:numPr>
        <w:spacing w:after="60" w:before="60"/>
      </w:pPr>
      <w:r>
        <w:rPr>
          <w:rFonts w:ascii="Segoe UI" w:cs="Segoe UI" w:eastAsia="Segoe UI" w:hAnsi="Segoe UI"/>
          <w:sz w:val="22"/>
          <w:szCs w:val="22"/>
        </w:rPr>
        <w:t xml:space="preserve">Data ingestion pipeline design (batch and real-time) from identified source systems.</w:t>
      </w:r>
    </w:p>
    <w:p>
      <w:pPr>
        <w:pStyle w:val="ListParagraph"/>
        <w:numPr>
          <w:ilvl w:val="0"/>
          <w:numId w:val="2"/>
        </w:numPr>
        <w:spacing w:after="60" w:before="60"/>
      </w:pPr>
      <w:r>
        <w:rPr>
          <w:rFonts w:ascii="Segoe UI" w:cs="Segoe UI" w:eastAsia="Segoe UI" w:hAnsi="Segoe UI"/>
          <w:sz w:val="22"/>
          <w:szCs w:val="22"/>
        </w:rPr>
        <w:t xml:space="preserve">Medallion Lakehouse architecture (Bronze / Silver / Gold layers) on OneLake.</w:t>
      </w:r>
    </w:p>
    <w:p>
      <w:pPr>
        <w:pStyle w:val="ListParagraph"/>
        <w:numPr>
          <w:ilvl w:val="0"/>
          <w:numId w:val="2"/>
        </w:numPr>
        <w:spacing w:after="60" w:before="60"/>
      </w:pPr>
      <w:r>
        <w:rPr>
          <w:rFonts w:ascii="Segoe UI" w:cs="Segoe UI" w:eastAsia="Segoe UI" w:hAnsi="Segoe UI"/>
          <w:sz w:val="22"/>
          <w:szCs w:val="22"/>
        </w:rPr>
        <w:t xml:space="preserve">Data Warehouse and Semantic Model (Power BI) layer design.</w:t>
      </w:r>
    </w:p>
    <w:p>
      <w:pPr>
        <w:pStyle w:val="ListParagraph"/>
        <w:numPr>
          <w:ilvl w:val="0"/>
          <w:numId w:val="2"/>
        </w:numPr>
        <w:spacing w:after="60" w:before="60"/>
      </w:pPr>
      <w:r>
        <w:rPr>
          <w:rFonts w:ascii="Segoe UI" w:cs="Segoe UI" w:eastAsia="Segoe UI" w:hAnsi="Segoe UI"/>
          <w:sz w:val="22"/>
          <w:szCs w:val="22"/>
        </w:rPr>
        <w:t xml:space="preserve">Data Governance, Cataloguing, and Lineage via Microsoft Purview.</w:t>
      </w:r>
    </w:p>
    <w:p>
      <w:pPr>
        <w:pStyle w:val="ListParagraph"/>
        <w:numPr>
          <w:ilvl w:val="0"/>
          <w:numId w:val="2"/>
        </w:numPr>
        <w:spacing w:after="60" w:before="60"/>
      </w:pPr>
      <w:r>
        <w:rPr>
          <w:rFonts w:ascii="Segoe UI" w:cs="Segoe UI" w:eastAsia="Segoe UI" w:hAnsi="Segoe UI"/>
          <w:sz w:val="22"/>
          <w:szCs w:val="22"/>
        </w:rPr>
        <w:t xml:space="preserve">Identity, Access Management, and Security baseline.</w:t>
      </w:r>
    </w:p>
    <w:p>
      <w:pPr>
        <w:pStyle w:val="ListParagraph"/>
        <w:numPr>
          <w:ilvl w:val="0"/>
          <w:numId w:val="2"/>
        </w:numPr>
        <w:spacing w:after="60" w:before="60"/>
      </w:pPr>
      <w:r>
        <w:rPr>
          <w:rFonts w:ascii="Segoe UI" w:cs="Segoe UI" w:eastAsia="Segoe UI" w:hAnsi="Segoe UI"/>
          <w:sz w:val="22"/>
          <w:szCs w:val="22"/>
        </w:rPr>
        <w:t xml:space="preserve">Monitoring, alerting, and operational runbook framework.</w:t>
      </w:r>
    </w:p>
    <w:p>
      <w:pPr>
        <w:pStyle w:val="ListParagraph"/>
        <w:numPr>
          <w:ilvl w:val="0"/>
          <w:numId w:val="2"/>
        </w:numPr>
        <w:spacing w:after="60" w:before="60"/>
      </w:pPr>
      <w:r>
        <w:rPr>
          <w:rFonts w:ascii="Segoe UI" w:cs="Segoe UI" w:eastAsia="Segoe UI" w:hAnsi="Segoe UI"/>
          <w:sz w:val="22"/>
          <w:szCs w:val="22"/>
        </w:rPr>
        <w:t xml:space="preserve">[Add additional in-scope items]</w:t>
      </w:r>
    </w:p>
    <w:p>
      <w:pPr>
        <w:spacing w:after="120" w:before="0"/>
      </w:pPr>
    </w:p>
    <w:p>
      <w:pPr>
        <w:pStyle w:val="Heading2"/>
        <w:spacing w:after="120" w:before="240"/>
      </w:pPr>
      <w:r>
        <w:rPr>
          <w:rFonts w:ascii="Segoe UI" w:cs="Segoe UI" w:eastAsia="Segoe UI" w:hAnsi="Segoe UI"/>
          <w:b/>
          <w:bCs/>
        </w:rPr>
        <w:t xml:space="preserve">3.3 Out of Scope</w:t>
      </w:r>
    </w:p>
    <w:p>
      <w:pPr>
        <w:pStyle w:val="ListParagraph"/>
        <w:numPr>
          <w:ilvl w:val="0"/>
          <w:numId w:val="2"/>
        </w:numPr>
        <w:spacing w:after="60" w:before="60"/>
      </w:pPr>
      <w:r>
        <w:rPr>
          <w:rFonts w:ascii="Segoe UI" w:cs="Segoe UI" w:eastAsia="Segoe UI" w:hAnsi="Segoe UI"/>
          <w:sz w:val="22"/>
          <w:szCs w:val="22"/>
        </w:rPr>
        <w:t xml:space="preserve">Legacy on-premises data warehouse decommissioning (separate project).</w:t>
      </w:r>
    </w:p>
    <w:p>
      <w:pPr>
        <w:pStyle w:val="ListParagraph"/>
        <w:numPr>
          <w:ilvl w:val="0"/>
          <w:numId w:val="2"/>
        </w:numPr>
        <w:spacing w:after="60" w:before="60"/>
      </w:pPr>
      <w:r>
        <w:rPr>
          <w:rFonts w:ascii="Segoe UI" w:cs="Segoe UI" w:eastAsia="Segoe UI" w:hAnsi="Segoe UI"/>
          <w:sz w:val="22"/>
          <w:szCs w:val="22"/>
        </w:rPr>
        <w:t xml:space="preserve">Source system ETL / ERP platform changes.</w:t>
      </w:r>
    </w:p>
    <w:p>
      <w:pPr>
        <w:pStyle w:val="ListParagraph"/>
        <w:numPr>
          <w:ilvl w:val="0"/>
          <w:numId w:val="2"/>
        </w:numPr>
        <w:spacing w:after="60" w:before="60"/>
      </w:pPr>
      <w:r>
        <w:rPr>
          <w:rFonts w:ascii="Segoe UI" w:cs="Segoe UI" w:eastAsia="Segoe UI" w:hAnsi="Segoe UI"/>
          <w:sz w:val="22"/>
          <w:szCs w:val="22"/>
        </w:rPr>
        <w:t xml:space="preserve">Low-Level Design (LLD) and detailed implementation specifications.</w:t>
      </w:r>
    </w:p>
    <w:p>
      <w:pPr>
        <w:pStyle w:val="ListParagraph"/>
        <w:numPr>
          <w:ilvl w:val="0"/>
          <w:numId w:val="2"/>
        </w:numPr>
        <w:spacing w:after="60" w:before="60"/>
      </w:pPr>
      <w:r>
        <w:rPr>
          <w:rFonts w:ascii="Segoe UI" w:cs="Segoe UI" w:eastAsia="Segoe UI" w:hAnsi="Segoe UI"/>
          <w:sz w:val="22"/>
          <w:szCs w:val="22"/>
        </w:rPr>
        <w:t xml:space="preserve">[Confirm any additional exclusions with stakeholders]</w:t>
      </w:r>
    </w:p>
    <w:p>
      <w:pPr>
        <w:spacing w:after="120" w:before="0"/>
      </w:pPr>
    </w:p>
    <w:p>
      <w:pPr>
        <w:pStyle w:val="Heading2"/>
        <w:spacing w:after="120" w:before="240"/>
      </w:pPr>
      <w:r>
        <w:rPr>
          <w:rFonts w:ascii="Segoe UI" w:cs="Segoe UI" w:eastAsia="Segoe UI" w:hAnsi="Segoe UI"/>
          <w:b/>
          <w:bCs/>
        </w:rPr>
        <w:t xml:space="preserve">3.4 Assumptions &amp; Dependencies</w:t>
      </w:r>
    </w:p>
    <w:p>
      <w:pPr>
        <w:pStyle w:val="Heading3"/>
        <w:spacing w:after="120" w:before="240"/>
      </w:pPr>
      <w:r>
        <w:rPr>
          <w:rFonts w:ascii="Segoe UI" w:cs="Segoe UI" w:eastAsia="Segoe UI" w:hAnsi="Segoe UI"/>
          <w:b/>
          <w:bCs/>
        </w:rPr>
        <w:t xml:space="preserve">Assumptions</w:t>
      </w:r>
    </w:p>
    <w:p>
      <w:pPr>
        <w:pStyle w:val="ListParagraph"/>
        <w:numPr>
          <w:ilvl w:val="0"/>
          <w:numId w:val="2"/>
        </w:numPr>
        <w:spacing w:after="60" w:before="60"/>
      </w:pPr>
      <w:r>
        <w:rPr>
          <w:rFonts w:ascii="Segoe UI" w:cs="Segoe UI" w:eastAsia="Segoe UI" w:hAnsi="Segoe UI"/>
          <w:sz w:val="22"/>
          <w:szCs w:val="22"/>
        </w:rPr>
        <w:t xml:space="preserve">Organisation has an active Microsoft 365 and Azure subscription.</w:t>
      </w:r>
    </w:p>
    <w:p>
      <w:pPr>
        <w:pStyle w:val="ListParagraph"/>
        <w:numPr>
          <w:ilvl w:val="0"/>
          <w:numId w:val="2"/>
        </w:numPr>
        <w:spacing w:after="60" w:before="60"/>
      </w:pPr>
      <w:r>
        <w:rPr>
          <w:rFonts w:ascii="Segoe UI" w:cs="Segoe UI" w:eastAsia="Segoe UI" w:hAnsi="Segoe UI"/>
          <w:sz w:val="22"/>
          <w:szCs w:val="22"/>
        </w:rPr>
        <w:t xml:space="preserve">Microsoft Fabric capacity (F SKU or Power BI Premium P SKU) will be licensed prior to implementation.</w:t>
      </w:r>
    </w:p>
    <w:p>
      <w:pPr>
        <w:pStyle w:val="ListParagraph"/>
        <w:numPr>
          <w:ilvl w:val="0"/>
          <w:numId w:val="2"/>
        </w:numPr>
        <w:spacing w:after="60" w:before="60"/>
      </w:pPr>
      <w:r>
        <w:rPr>
          <w:rFonts w:ascii="Segoe UI" w:cs="Segoe UI" w:eastAsia="Segoe UI" w:hAnsi="Segoe UI"/>
          <w:sz w:val="22"/>
          <w:szCs w:val="22"/>
        </w:rPr>
        <w:t xml:space="preserve">Source systems have stable, accessible APIs or database connections.</w:t>
      </w:r>
    </w:p>
    <w:p>
      <w:pPr>
        <w:pStyle w:val="ListParagraph"/>
        <w:numPr>
          <w:ilvl w:val="0"/>
          <w:numId w:val="2"/>
        </w:numPr>
        <w:spacing w:after="60" w:before="60"/>
      </w:pPr>
      <w:r>
        <w:rPr>
          <w:rFonts w:ascii="Segoe UI" w:cs="Segoe UI" w:eastAsia="Segoe UI" w:hAnsi="Segoe UI"/>
          <w:sz w:val="22"/>
          <w:szCs w:val="22"/>
        </w:rPr>
        <w:t xml:space="preserve">An Azure Active Directory (Entra ID) tenant is already established.</w:t>
      </w:r>
    </w:p>
    <w:p>
      <w:pPr>
        <w:pStyle w:val="ListParagraph"/>
        <w:numPr>
          <w:ilvl w:val="0"/>
          <w:numId w:val="2"/>
        </w:numPr>
        <w:spacing w:after="60" w:before="60"/>
      </w:pPr>
      <w:r>
        <w:rPr>
          <w:rFonts w:ascii="Segoe UI" w:cs="Segoe UI" w:eastAsia="Segoe UI" w:hAnsi="Segoe UI"/>
          <w:sz w:val="22"/>
          <w:szCs w:val="22"/>
        </w:rPr>
        <w:t xml:space="preserve">[Add further assumptions]</w:t>
      </w:r>
    </w:p>
    <w:p>
      <w:pPr>
        <w:spacing w:after="120" w:before="0"/>
      </w:pPr>
    </w:p>
    <w:p>
      <w:pPr>
        <w:pStyle w:val="Heading3"/>
        <w:spacing w:after="120" w:before="240"/>
      </w:pPr>
      <w:r>
        <w:rPr>
          <w:rFonts w:ascii="Segoe UI" w:cs="Segoe UI" w:eastAsia="Segoe UI" w:hAnsi="Segoe UI"/>
          <w:b/>
          <w:bCs/>
        </w:rP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Dependency</w:t>
            </w:r>
          </w:p>
        </w:tc>
        <w:tc>
          <w:tcPr>
            <w:tcW w:type="dxa" w:w="2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Owner</w:t>
            </w:r>
          </w:p>
        </w:tc>
        <w:tc>
          <w:tcPr>
            <w:tcW w:type="dxa" w:w="33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Required By</w:t>
            </w:r>
          </w:p>
        </w:tc>
      </w:tr>
      <w:tr>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Microsoft Fabric capacity licence</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[Procurement]</w:t>
            </w:r>
          </w:p>
        </w:tc>
        <w:tc>
          <w:tcPr>
            <w:tcW w:type="dxa" w:w="3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[Date]</w:t>
            </w:r>
          </w:p>
        </w:tc>
      </w:tr>
      <w:tr>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Azure subscription with sufficient quota</w:t>
            </w:r>
          </w:p>
        </w:tc>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[Cloud Platform Team]</w:t>
            </w:r>
          </w:p>
        </w:tc>
        <w:tc>
          <w:tcPr>
            <w:tcW w:type="dxa" w:w="3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[Date]</w:t>
            </w:r>
          </w:p>
        </w:tc>
      </w:tr>
      <w:tr>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Network connectivity to source systems</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[Network Team]</w:t>
            </w:r>
          </w:p>
        </w:tc>
        <w:tc>
          <w:tcPr>
            <w:tcW w:type="dxa" w:w="3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[Date]</w:t>
            </w:r>
          </w:p>
        </w:tc>
      </w:tr>
      <w:tr>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Entra ID security groups defined</w:t>
            </w:r>
          </w:p>
        </w:tc>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[IAM Team]</w:t>
            </w:r>
          </w:p>
        </w:tc>
        <w:tc>
          <w:tcPr>
            <w:tcW w:type="dxa" w:w="3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[Date]</w:t>
            </w:r>
          </w:p>
        </w:tc>
      </w:tr>
      <w:tr>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Microsoft Purview account provisioned</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[Data Governance Team]</w:t>
            </w:r>
          </w:p>
        </w:tc>
        <w:tc>
          <w:tcPr>
            <w:tcW w:type="dxa" w:w="3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[Date]</w:t>
            </w:r>
          </w:p>
        </w:tc>
      </w:tr>
    </w:tbl>
    <w:p>
      <w:pPr>
        <w:spacing w:after="120" w:before="0"/>
      </w:pPr>
    </w:p>
    <w:p>
      <w:r>
        <w:br w:type="page"/>
      </w:r>
    </w:p>
    <w:p>
      <w:pPr>
        <w:pStyle w:val="Heading1"/>
        <w:spacing w:after="120" w:before="400"/>
      </w:pPr>
      <w:r>
        <w:rPr>
          <w:rFonts w:ascii="Segoe UI" w:cs="Segoe UI" w:eastAsia="Segoe UI" w:hAnsi="Segoe UI"/>
          <w:b/>
          <w:bCs/>
        </w:rPr>
        <w:t xml:space="preserve">4. Architecture Overview</w:t>
      </w:r>
    </w:p>
    <w:p>
      <w:pPr>
        <w:pStyle w:val="Heading2"/>
        <w:spacing w:after="120" w:before="240"/>
      </w:pPr>
      <w:r>
        <w:rPr>
          <w:rFonts w:ascii="Segoe UI" w:cs="Segoe UI" w:eastAsia="Segoe UI" w:hAnsi="Segoe UI"/>
          <w:b/>
          <w:bCs/>
        </w:rPr>
        <w:t xml:space="preserve">4.1 Architectural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Principle</w:t>
            </w:r>
          </w:p>
        </w:tc>
        <w:tc>
          <w:tcPr>
            <w:tcW w:type="dxa" w:w="63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Cloud-Native First</w:t>
            </w:r>
          </w:p>
        </w:tc>
        <w:tc>
          <w:tcPr>
            <w:tcW w:type="dxa" w:w="6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Leverage PaaS and SaaS services; avoid lift-and-shift patterns.</w:t>
            </w:r>
          </w:p>
        </w:tc>
      </w:tr>
      <w:tr>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Fabric as the Analytical Core</w:t>
            </w:r>
          </w:p>
        </w:tc>
        <w:tc>
          <w:tcPr>
            <w:tcW w:type="dxa" w:w="6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Microsoft Fabric is the primary platform for all analytical and data engineering workloads.</w:t>
            </w:r>
          </w:p>
        </w:tc>
      </w:tr>
      <w:tr>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OneLake as Single Store</w:t>
            </w:r>
          </w:p>
        </w:tc>
        <w:tc>
          <w:tcPr>
            <w:tcW w:type="dxa" w:w="6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All data assets reside in OneLake; no data duplication across workloads.</w:t>
            </w:r>
          </w:p>
        </w:tc>
      </w:tr>
      <w:tr>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Medallion Architecture</w:t>
            </w:r>
          </w:p>
        </w:tc>
        <w:tc>
          <w:tcPr>
            <w:tcW w:type="dxa" w:w="6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Bronze (raw), Silver (cleansed/conformed), Gold (curated/aggregated) layers are the standard.</w:t>
            </w:r>
          </w:p>
        </w:tc>
      </w:tr>
      <w:tr>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Security by Design</w:t>
            </w:r>
          </w:p>
        </w:tc>
        <w:tc>
          <w:tcPr>
            <w:tcW w:type="dxa" w:w="6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Zero-trust, least-privilege, and data classification applied at every layer.</w:t>
            </w:r>
          </w:p>
        </w:tc>
      </w:tr>
      <w:tr>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Governed Self-Service</w:t>
            </w:r>
          </w:p>
        </w:tc>
        <w:tc>
          <w:tcPr>
            <w:tcW w:type="dxa" w:w="6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Business teams can access and consume data within a governed framework via domain workspaces.</w:t>
            </w:r>
          </w:p>
        </w:tc>
      </w:tr>
      <w:tr>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AI-Ready</w:t>
            </w:r>
          </w:p>
        </w:tc>
        <w:tc>
          <w:tcPr>
            <w:tcW w:type="dxa" w:w="6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Data pipelines and semantic models are structured to support Copilot and Azure AI integration.</w:t>
            </w:r>
          </w:p>
        </w:tc>
      </w:tr>
      <w:tr>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Cost Transparency</w:t>
            </w:r>
          </w:p>
        </w:tc>
        <w:tc>
          <w:tcPr>
            <w:tcW w:type="dxa" w:w="6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Workloads are tagged and metered to enable chargeback/showback reporting.</w:t>
            </w:r>
          </w:p>
        </w:tc>
      </w:tr>
    </w:tbl>
    <w:p>
      <w:pPr>
        <w:spacing w:after="120" w:before="0"/>
      </w:pPr>
    </w:p>
    <w:p>
      <w:pPr>
        <w:pStyle w:val="Heading2"/>
        <w:spacing w:after="120" w:before="240"/>
      </w:pPr>
      <w:r>
        <w:rPr>
          <w:rFonts w:ascii="Segoe UI" w:cs="Segoe UI" w:eastAsia="Segoe UI" w:hAnsi="Segoe UI"/>
          <w:b/>
          <w:bCs/>
        </w:rPr>
        <w:t xml:space="preserve">4.2 High-Level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0078D4" w:sz="6"/>
              <w:bottom w:val="single" w:color="0078D4" w:sz="6"/>
              <w:right w:val="single" w:color="0078D4" w:sz="6"/>
            </w:tcBorders>
            <w:shd w:fill="F3E8FF" w:val="clear"/>
            <w:tcMar>
              <w:top w:type="dxa" w:w="100"/>
              <w:left w:type="dxa" w:w="160"/>
              <w:bottom w:type="dxa" w:w="100"/>
              <w:right w:type="dxa" w:w="160"/>
            </w:tcMar>
          </w:tcPr>
          <w:p>
            <w:pPr>
              <w:spacing w:after="40" w:before="40"/>
            </w:pPr>
            <w:r>
              <w:rPr>
                <w:rFonts w:ascii="Segoe UI" w:cs="Segoe UI" w:eastAsia="Segoe UI" w:hAnsi="Segoe UI"/>
                <w:b/>
                <w:bCs/>
                <w:color w:val="003060"/>
                <w:sz w:val="20"/>
                <w:szCs w:val="20"/>
              </w:rPr>
              <w:t xml:space="preserve">Placeholder: </w:t>
            </w:r>
            <w:r>
              <w:rPr>
                <w:rFonts w:ascii="Segoe UI" w:cs="Segoe UI" w:eastAsia="Segoe UI" w:hAnsi="Segoe UI"/>
                <w:color w:val="003060"/>
                <w:sz w:val="20"/>
                <w:szCs w:val="20"/>
              </w:rPr>
              <w:t xml:space="preserve">Insert the high-level architecture diagram here. Recommended tool: Microsoft Visio, Lucidchart, or draw.io. The diagram should illustrate source systems, ingestion layer, OneLake / Fabric workloads, consumption layer, and governance.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6"/>
              <w:left w:val="single" w:color="C8C8C8" w:sz="6"/>
              <w:bottom w:val="single" w:color="C8C8C8" w:sz="6"/>
              <w:right w:val="single" w:color="C8C8C8" w:sz="6"/>
            </w:tcBorders>
            <w:shd w:fill="F9F9F9" w:val="clear"/>
            <w:tcMar>
              <w:top w:type="dxa" w:w="800"/>
              <w:left w:type="dxa" w:w="300"/>
              <w:bottom w:type="dxa" w:w="800"/>
              <w:right w:type="dxa" w:w="300"/>
            </w:tcMar>
            <w:vAlign w:val="center"/>
          </w:tcPr>
          <w:p>
            <w:pPr>
              <w:jc w:val="center"/>
            </w:pPr>
            <w:r>
              <w:rPr>
                <w:rFonts w:ascii="Segoe UI" w:cs="Segoe UI" w:eastAsia="Segoe UI" w:hAnsi="Segoe UI"/>
                <w:i/>
                <w:iCs/>
                <w:color w:val="999999"/>
                <w:sz w:val="24"/>
                <w:szCs w:val="24"/>
              </w:rPr>
              <w:t xml:space="preserve">[ INSERT ARCHITECTURE DIAGRAM ]</w:t>
            </w:r>
          </w:p>
        </w:tc>
      </w:tr>
    </w:tbl>
    <w:p>
      <w:pPr>
        <w:spacing w:after="120" w:before="0"/>
      </w:pPr>
    </w:p>
    <w:p>
      <w:pPr>
        <w:spacing w:after="120" w:before="80"/>
      </w:pPr>
      <w:r>
        <w:rPr>
          <w:rFonts w:ascii="Segoe UI" w:cs="Segoe UI" w:eastAsia="Segoe UI" w:hAnsi="Segoe UI"/>
          <w:i/>
          <w:iCs/>
          <w:color w:val="605E5C"/>
          <w:sz w:val="22"/>
          <w:szCs w:val="22"/>
        </w:rPr>
        <w:t xml:space="preserve">Figure 1: Microsoft Enterprise Data Platform — High-Level Architecture</w:t>
      </w:r>
    </w:p>
    <w:p>
      <w:pPr>
        <w:spacing w:after="120" w:before="0"/>
      </w:pPr>
    </w:p>
    <w:p>
      <w:pPr>
        <w:pStyle w:val="Heading2"/>
        <w:spacing w:after="120" w:before="240"/>
      </w:pPr>
      <w:r>
        <w:rPr>
          <w:rFonts w:ascii="Segoe UI" w:cs="Segoe UI" w:eastAsia="Segoe UI" w:hAnsi="Segoe UI"/>
          <w:b/>
          <w:bCs/>
        </w:rPr>
        <w:t xml:space="preserve">4.3 Architecture Layers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Layer</w:t>
            </w:r>
          </w:p>
        </w:tc>
        <w:tc>
          <w:tcPr>
            <w:tcW w:type="dxa" w:w="3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c>
          <w:tcPr>
            <w:tcW w:type="dxa" w:w="36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Key Services</w:t>
            </w:r>
          </w:p>
        </w:tc>
      </w:tr>
      <w:tr>
        <w:tc>
          <w:tcPr>
            <w:tcW w:type="dxa" w:w="2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Ingestion</w:t>
            </w:r>
          </w:p>
        </w:tc>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Ingests data from source systems in batch and real-time modes.</w:t>
            </w:r>
          </w:p>
        </w:tc>
        <w:tc>
          <w:tcPr>
            <w:tcW w:type="dxa" w:w="36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Fabric Data Factory, Azure Event Hubs, Kafka</w:t>
            </w:r>
          </w:p>
        </w:tc>
      </w:tr>
      <w:tr>
        <w:tc>
          <w:tcPr>
            <w:tcW w:type="dxa" w:w="22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Storage (OneLake)</w:t>
            </w:r>
          </w:p>
        </w:tc>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Central data lake underpinning all Fabric workloads using Delta Parquet format.</w:t>
            </w:r>
          </w:p>
        </w:tc>
        <w:tc>
          <w:tcPr>
            <w:tcW w:type="dxa" w:w="36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OneLake, ADLS Gen2 shortcuts</w:t>
            </w:r>
          </w:p>
        </w:tc>
      </w:tr>
      <w:tr>
        <w:tc>
          <w:tcPr>
            <w:tcW w:type="dxa" w:w="2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Processing</w:t>
            </w:r>
          </w:p>
        </w:tc>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Data cleansing, transformation, and enrichment across medallion layers.</w:t>
            </w:r>
          </w:p>
        </w:tc>
        <w:tc>
          <w:tcPr>
            <w:tcW w:type="dxa" w:w="36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Fabric Notebooks (Spark), Fabric Dataflows Gen2, T-SQL</w:t>
            </w:r>
          </w:p>
        </w:tc>
      </w:tr>
      <w:tr>
        <w:tc>
          <w:tcPr>
            <w:tcW w:type="dxa" w:w="22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Warehouse &amp; Serving</w:t>
            </w:r>
          </w:p>
        </w:tc>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Curated analytical data accessible via SQL endpoints.</w:t>
            </w:r>
          </w:p>
        </w:tc>
        <w:tc>
          <w:tcPr>
            <w:tcW w:type="dxa" w:w="36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Fabric Data Warehouse, Lakehouse SQL Endpoint</w:t>
            </w:r>
          </w:p>
        </w:tc>
      </w:tr>
      <w:tr>
        <w:tc>
          <w:tcPr>
            <w:tcW w:type="dxa" w:w="2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Semantic Layer</w:t>
            </w:r>
          </w:p>
        </w:tc>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Business-friendly data models and metrics.</w:t>
            </w:r>
          </w:p>
        </w:tc>
        <w:tc>
          <w:tcPr>
            <w:tcW w:type="dxa" w:w="36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Fabric Power BI Semantic Models, Direct Lake</w:t>
            </w:r>
          </w:p>
        </w:tc>
      </w:tr>
      <w:tr>
        <w:tc>
          <w:tcPr>
            <w:tcW w:type="dxa" w:w="22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Visualisation</w:t>
            </w:r>
          </w:p>
        </w:tc>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Self-service and operational dashboards.</w:t>
            </w:r>
          </w:p>
        </w:tc>
        <w:tc>
          <w:tcPr>
            <w:tcW w:type="dxa" w:w="36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Power BI, Fabric Real-Time Dashboards</w:t>
            </w:r>
          </w:p>
        </w:tc>
      </w:tr>
      <w:tr>
        <w:tc>
          <w:tcPr>
            <w:tcW w:type="dxa" w:w="2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Governance</w:t>
            </w:r>
          </w:p>
        </w:tc>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Cataloguing, lineage, classification, and access policy.</w:t>
            </w:r>
          </w:p>
        </w:tc>
        <w:tc>
          <w:tcPr>
            <w:tcW w:type="dxa" w:w="36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Microsoft Purview, Fabric Admin Portal</w:t>
            </w:r>
          </w:p>
        </w:tc>
      </w:tr>
      <w:tr>
        <w:tc>
          <w:tcPr>
            <w:tcW w:type="dxa" w:w="22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AI &amp; ML</w:t>
            </w:r>
          </w:p>
        </w:tc>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Predictive analytics and Copilot integration.</w:t>
            </w:r>
          </w:p>
        </w:tc>
        <w:tc>
          <w:tcPr>
            <w:tcW w:type="dxa" w:w="36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Azure ML, Fabric Data Science (MLflow), Copilot</w:t>
            </w:r>
          </w:p>
        </w:tc>
      </w:tr>
    </w:tbl>
    <w:p>
      <w:pPr>
        <w:spacing w:after="120" w:before="0"/>
      </w:pPr>
    </w:p>
    <w:p>
      <w:r>
        <w:br w:type="page"/>
      </w:r>
    </w:p>
    <w:p>
      <w:pPr>
        <w:pStyle w:val="Heading1"/>
        <w:spacing w:after="120" w:before="400"/>
      </w:pPr>
      <w:r>
        <w:rPr>
          <w:rFonts w:ascii="Segoe UI" w:cs="Segoe UI" w:eastAsia="Segoe UI" w:hAnsi="Segoe UI"/>
          <w:b/>
          <w:bCs/>
        </w:rPr>
        <w:t xml:space="preserve">5. Microsoft Fabric Platform Design</w:t>
      </w:r>
    </w:p>
    <w:p>
      <w:pPr>
        <w:pStyle w:val="Heading2"/>
        <w:spacing w:after="120" w:before="240"/>
      </w:pPr>
      <w:r>
        <w:rPr>
          <w:rFonts w:ascii="Segoe UI" w:cs="Segoe UI" w:eastAsia="Segoe UI" w:hAnsi="Segoe UI"/>
          <w:b/>
          <w:bCs/>
        </w:rPr>
        <w:t xml:space="preserve">5.1 Fabric Capacity &amp; Licensing</w:t>
      </w:r>
    </w:p>
    <w:p>
      <w:pPr>
        <w:spacing w:after="120" w:before="80"/>
      </w:pPr>
      <w:r>
        <w:rPr>
          <w:rFonts w:ascii="Segoe UI" w:cs="Segoe UI" w:eastAsia="Segoe UI" w:hAnsi="Segoe UI"/>
          <w:sz w:val="22"/>
          <w:szCs w:val="22"/>
        </w:rPr>
        <w:t xml:space="preserve">Microsoft Fabric operates on a capacity-based model. The appropriate SKU must be selected based on workload concurrency, compute requirements, and budget constraints.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Parameter</w:t>
            </w:r>
          </w:p>
        </w:tc>
        <w:tc>
          <w:tcPr>
            <w:tcW w:type="dxa" w:w="58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Recommendation / Value</w:t>
            </w:r>
          </w:p>
        </w:tc>
      </w:tr>
      <w:tr>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Capacity SKU</w:t>
            </w:r>
          </w:p>
        </w:tc>
        <w:tc>
          <w:tcPr>
            <w:tcW w:type="dxa" w:w="58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[F64 / F128 / P1 — specify per environment]</w:t>
            </w:r>
          </w:p>
        </w:tc>
      </w:tr>
      <w:tr>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Capacity Region</w:t>
            </w:r>
          </w:p>
        </w:tc>
        <w:tc>
          <w:tcPr>
            <w:tcW w:type="dxa" w:w="58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[e.g., UK South — align with data residency requirements]</w:t>
            </w:r>
          </w:p>
        </w:tc>
      </w:tr>
      <w:tr>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Number of Capacities</w:t>
            </w:r>
          </w:p>
        </w:tc>
        <w:tc>
          <w:tcPr>
            <w:tcW w:type="dxa" w:w="58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[e.g., 2 — Production, Non-Production]</w:t>
            </w:r>
          </w:p>
        </w:tc>
      </w:tr>
      <w:tr>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Capacity Admin</w:t>
            </w:r>
          </w:p>
        </w:tc>
        <w:tc>
          <w:tcPr>
            <w:tcW w:type="dxa" w:w="58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[Entra ID Security Group — e.g., sg-fabric-capacity-admins]</w:t>
            </w:r>
          </w:p>
        </w:tc>
      </w:tr>
      <w:tr>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Auto-Scale</w:t>
            </w:r>
          </w:p>
        </w:tc>
        <w:tc>
          <w:tcPr>
            <w:tcW w:type="dxa" w:w="58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[Enabled / Disabled — specify burst handling strategy]</w:t>
            </w:r>
          </w:p>
        </w:tc>
      </w:tr>
      <w:tr>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Bursting Policy</w:t>
            </w:r>
          </w:p>
        </w:tc>
        <w:tc>
          <w:tcPr>
            <w:tcW w:type="dxa" w:w="58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[e.g., 10-minute smoothing; alert at 80% CU utilisation]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0078D4" w:sz="6"/>
              <w:bottom w:val="single" w:color="0078D4" w:sz="6"/>
              <w:right w:val="single" w:color="0078D4" w:sz="6"/>
            </w:tcBorders>
            <w:shd w:fill="D0E7F8" w:val="clear"/>
            <w:tcMar>
              <w:top w:type="dxa" w:w="100"/>
              <w:left w:type="dxa" w:w="160"/>
              <w:bottom w:type="dxa" w:w="100"/>
              <w:right w:type="dxa" w:w="160"/>
            </w:tcMar>
          </w:tcPr>
          <w:p>
            <w:pPr>
              <w:spacing w:after="40" w:before="40"/>
            </w:pPr>
            <w:r>
              <w:rPr>
                <w:rFonts w:ascii="Segoe UI" w:cs="Segoe UI" w:eastAsia="Segoe UI" w:hAnsi="Segoe UI"/>
                <w:b/>
                <w:bCs/>
                <w:color w:val="003060"/>
                <w:sz w:val="20"/>
                <w:szCs w:val="20"/>
              </w:rPr>
              <w:t xml:space="preserve">Note: </w:t>
            </w:r>
            <w:r>
              <w:rPr>
                <w:rFonts w:ascii="Segoe UI" w:cs="Segoe UI" w:eastAsia="Segoe UI" w:hAnsi="Segoe UI"/>
                <w:color w:val="003060"/>
                <w:sz w:val="20"/>
                <w:szCs w:val="20"/>
              </w:rPr>
              <w:t xml:space="preserve">F-SKU capacities are charged per second and can be paused in non-production environments to reduce cost. P-SKU requires Power BI Premium Per Capacity licence and does not support pause/resume.</w:t>
            </w:r>
          </w:p>
        </w:tc>
      </w:tr>
    </w:tbl>
    <w:p>
      <w:pPr>
        <w:spacing w:after="120" w:before="0"/>
      </w:pPr>
    </w:p>
    <w:p>
      <w:pPr>
        <w:pStyle w:val="Heading2"/>
        <w:spacing w:after="120" w:before="240"/>
      </w:pPr>
      <w:r>
        <w:rPr>
          <w:rFonts w:ascii="Segoe UI" w:cs="Segoe UI" w:eastAsia="Segoe UI" w:hAnsi="Segoe UI"/>
          <w:b/>
          <w:bCs/>
        </w:rPr>
        <w:t xml:space="preserve">5.2 Workspace Design</w:t>
      </w:r>
    </w:p>
    <w:p>
      <w:pPr>
        <w:spacing w:after="120" w:before="80"/>
      </w:pPr>
      <w:r>
        <w:rPr>
          <w:rFonts w:ascii="Segoe UI" w:cs="Segoe UI" w:eastAsia="Segoe UI" w:hAnsi="Segoe UI"/>
          <w:sz w:val="22"/>
          <w:szCs w:val="22"/>
        </w:rPr>
        <w:t xml:space="preserve">Workspaces are the primary unit of collaboration and isolation in Microsoft Fabric. A workspace topology should align with organisational structure, data domains, and environment requirements.</w:t>
      </w:r>
    </w:p>
    <w:p>
      <w:pPr>
        <w:spacing w:after="120" w:before="0"/>
      </w:pPr>
    </w:p>
    <w:p>
      <w:pPr>
        <w:pStyle w:val="Heading3"/>
        <w:spacing w:after="120" w:before="240"/>
      </w:pPr>
      <w:r>
        <w:rPr>
          <w:rFonts w:ascii="Segoe UI" w:cs="Segoe UI" w:eastAsia="Segoe UI" w:hAnsi="Segoe UI"/>
          <w:b/>
          <w:bCs/>
        </w:rPr>
        <w:t xml:space="preserve">Workspace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rPr>
          <w:tblHeader/>
        </w:trPr>
        <w:tc>
          <w:tcPr>
            <w:tcW w:type="dxa" w:w="24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Workspace</w:t>
            </w:r>
          </w:p>
        </w:tc>
        <w:tc>
          <w:tcPr>
            <w:tcW w:type="dxa" w:w="28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Purpose</w:t>
            </w:r>
          </w:p>
        </w:tc>
        <w:tc>
          <w:tcPr>
            <w:tcW w:type="dxa" w:w="18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Environment</w:t>
            </w:r>
          </w:p>
        </w:tc>
        <w:tc>
          <w:tcPr>
            <w:tcW w:type="dxa" w:w="23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Access Group</w:t>
            </w:r>
          </w:p>
        </w:tc>
      </w:tr>
      <w:tr>
        <w:tc>
          <w:tcPr>
            <w:tcW w:type="dxa" w:w="24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ws-platform-dev</w:t>
            </w:r>
          </w:p>
        </w:tc>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Platform / shared engineering workspace</w:t>
            </w:r>
          </w:p>
        </w:tc>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Development</w:t>
            </w:r>
          </w:p>
        </w:tc>
        <w:tc>
          <w:tcPr>
            <w:tcW w:type="dxa" w:w="2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sg-fabric-platform-dev</w:t>
            </w:r>
          </w:p>
        </w:tc>
      </w:tr>
      <w:tr>
        <w:tc>
          <w:tcPr>
            <w:tcW w:type="dxa" w:w="24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ws-platform-prod</w:t>
            </w:r>
          </w:p>
        </w:tc>
        <w:tc>
          <w:tcPr>
            <w:tcW w:type="dxa" w:w="2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Platform / shared engineering workspace</w:t>
            </w:r>
          </w:p>
        </w:tc>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Production</w:t>
            </w:r>
          </w:p>
        </w:tc>
        <w:tc>
          <w:tcPr>
            <w:tcW w:type="dxa" w:w="2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sg-fabric-platform-prod</w:t>
            </w:r>
          </w:p>
        </w:tc>
      </w:tr>
      <w:tr>
        <w:tc>
          <w:tcPr>
            <w:tcW w:type="dxa" w:w="24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ws-[domain]-dev</w:t>
            </w:r>
          </w:p>
        </w:tc>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Domain data team workspace (e.g., Finance, HR)</w:t>
            </w:r>
          </w:p>
        </w:tc>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Development</w:t>
            </w:r>
          </w:p>
        </w:tc>
        <w:tc>
          <w:tcPr>
            <w:tcW w:type="dxa" w:w="2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sg-fabric-[domain]-dev</w:t>
            </w:r>
          </w:p>
        </w:tc>
      </w:tr>
      <w:tr>
        <w:tc>
          <w:tcPr>
            <w:tcW w:type="dxa" w:w="24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ws-[domain]-prod</w:t>
            </w:r>
          </w:p>
        </w:tc>
        <w:tc>
          <w:tcPr>
            <w:tcW w:type="dxa" w:w="2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Domain data team workspace</w:t>
            </w:r>
          </w:p>
        </w:tc>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Production</w:t>
            </w:r>
          </w:p>
        </w:tc>
        <w:tc>
          <w:tcPr>
            <w:tcW w:type="dxa" w:w="2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sg-fabric-[domain]-prod</w:t>
            </w:r>
          </w:p>
        </w:tc>
      </w:tr>
      <w:tr>
        <w:tc>
          <w:tcPr>
            <w:tcW w:type="dxa" w:w="24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ws-analytics-dev</w:t>
            </w:r>
          </w:p>
        </w:tc>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Consumer / reporting workspace</w:t>
            </w:r>
          </w:p>
        </w:tc>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Development</w:t>
            </w:r>
          </w:p>
        </w:tc>
        <w:tc>
          <w:tcPr>
            <w:tcW w:type="dxa" w:w="2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sg-fabric-analytics-dev</w:t>
            </w:r>
          </w:p>
        </w:tc>
      </w:tr>
      <w:tr>
        <w:tc>
          <w:tcPr>
            <w:tcW w:type="dxa" w:w="24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ws-analytics-prod</w:t>
            </w:r>
          </w:p>
        </w:tc>
        <w:tc>
          <w:tcPr>
            <w:tcW w:type="dxa" w:w="2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Consumer / reporting workspace</w:t>
            </w:r>
          </w:p>
        </w:tc>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Production</w:t>
            </w:r>
          </w:p>
        </w:tc>
        <w:tc>
          <w:tcPr>
            <w:tcW w:type="dxa" w:w="2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sg-fabric-analytics-prod</w:t>
            </w:r>
          </w:p>
        </w:tc>
      </w:tr>
    </w:tbl>
    <w:p>
      <w:pPr>
        <w:spacing w:after="120" w:before="0"/>
      </w:pPr>
    </w:p>
    <w:p>
      <w:pPr>
        <w:pStyle w:val="Heading3"/>
        <w:spacing w:after="120" w:before="240"/>
      </w:pPr>
      <w:r>
        <w:rPr>
          <w:rFonts w:ascii="Segoe UI" w:cs="Segoe UI" w:eastAsia="Segoe UI" w:hAnsi="Segoe UI"/>
          <w:b/>
          <w:bCs/>
        </w:rPr>
        <w:t xml:space="preserve">Workspace Roles &amp;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Role</w:t>
            </w:r>
          </w:p>
        </w:tc>
        <w:tc>
          <w:tcPr>
            <w:tcW w:type="dxa" w:w="4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Permissions</w:t>
            </w:r>
          </w:p>
        </w:tc>
        <w:tc>
          <w:tcPr>
            <w:tcW w:type="dxa" w:w="35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Assigned To</w:t>
            </w:r>
          </w:p>
        </w:tc>
      </w:tr>
      <w:tr>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Admin</w:t>
            </w:r>
          </w:p>
        </w:tc>
        <w:tc>
          <w:tcPr>
            <w:tcW w:type="dxa" w:w="4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Full control of workspace, items, and settings</w:t>
            </w:r>
          </w:p>
        </w:tc>
        <w:tc>
          <w:tcPr>
            <w:tcW w:type="dxa" w:w="3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Platform Admins, Data Engineering Lead</w:t>
            </w:r>
          </w:p>
        </w:tc>
      </w:tr>
      <w:tr>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Member</w:t>
            </w:r>
          </w:p>
        </w:tc>
        <w:tc>
          <w:tcPr>
            <w:tcW w:type="dxa" w:w="4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Create, edit, delete Fabric items; manage access</w:t>
            </w:r>
          </w:p>
        </w:tc>
        <w:tc>
          <w:tcPr>
            <w:tcW w:type="dxa" w:w="3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Senior Data Engineers, Domain Leads</w:t>
            </w:r>
          </w:p>
        </w:tc>
      </w:tr>
      <w:tr>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Contributor</w:t>
            </w:r>
          </w:p>
        </w:tc>
        <w:tc>
          <w:tcPr>
            <w:tcW w:type="dxa" w:w="4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Create and edit items; cannot manage access</w:t>
            </w:r>
          </w:p>
        </w:tc>
        <w:tc>
          <w:tcPr>
            <w:tcW w:type="dxa" w:w="3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Data Engineers, Data Analysts (authoring)</w:t>
            </w:r>
          </w:p>
        </w:tc>
      </w:tr>
      <w:tr>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Viewer</w:t>
            </w:r>
          </w:p>
        </w:tc>
        <w:tc>
          <w:tcPr>
            <w:tcW w:type="dxa" w:w="4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Read-only access to reports and dashboards</w:t>
            </w:r>
          </w:p>
        </w:tc>
        <w:tc>
          <w:tcPr>
            <w:tcW w:type="dxa" w:w="3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Business Users, Report Consumers</w:t>
            </w:r>
          </w:p>
        </w:tc>
      </w:tr>
    </w:tbl>
    <w:p>
      <w:pPr>
        <w:spacing w:after="120" w:before="0"/>
      </w:pPr>
    </w:p>
    <w:p>
      <w:pPr>
        <w:pStyle w:val="Heading2"/>
        <w:spacing w:after="120" w:before="240"/>
      </w:pPr>
      <w:r>
        <w:rPr>
          <w:rFonts w:ascii="Segoe UI" w:cs="Segoe UI" w:eastAsia="Segoe UI" w:hAnsi="Segoe UI"/>
          <w:b/>
          <w:bCs/>
        </w:rPr>
        <w:t xml:space="preserve">5.3 OneLake Design</w:t>
      </w:r>
    </w:p>
    <w:p>
      <w:pPr>
        <w:spacing w:after="120" w:before="80"/>
      </w:pPr>
      <w:r>
        <w:rPr>
          <w:rFonts w:ascii="Segoe UI" w:cs="Segoe UI" w:eastAsia="Segoe UI" w:hAnsi="Segoe UI"/>
          <w:sz w:val="22"/>
          <w:szCs w:val="22"/>
        </w:rPr>
        <w:t xml:space="preserve">OneLake is the single, unified, multi-tenant data lake for the Microsoft Fabric tenant. All Fabric workloads automatically store data in OneLake using the Delta Lake open format. No data egress is required between workloads.</w:t>
      </w:r>
    </w:p>
    <w:p>
      <w:pPr>
        <w:spacing w:after="120" w:before="0"/>
      </w:pPr>
    </w:p>
    <w:p>
      <w:pPr>
        <w:pStyle w:val="Heading3"/>
        <w:spacing w:after="120" w:before="240"/>
      </w:pPr>
      <w:r>
        <w:rPr>
          <w:rFonts w:ascii="Segoe UI" w:cs="Segoe UI" w:eastAsia="Segoe UI" w:hAnsi="Segoe UI"/>
          <w:b/>
          <w:bCs/>
        </w:rPr>
        <w:t xml:space="preserve">Medallion Folder Hierarchy (Lakehouse)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00"/>
        <w:gridCol w:w="3060"/>
      </w:tblGrid>
      <w:tr>
        <w:trPr>
          <w:tblHeader/>
        </w:trPr>
        <w:tc>
          <w:tcPr>
            <w:tcW w:type="dxa" w:w="18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Layer</w:t>
            </w:r>
          </w:p>
        </w:tc>
        <w:tc>
          <w:tcPr>
            <w:tcW w:type="dxa" w:w="3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Folder Path</w:t>
            </w:r>
          </w:p>
        </w:tc>
        <w:tc>
          <w:tcPr>
            <w:tcW w:type="dxa" w:w="1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Format</w:t>
            </w:r>
          </w:p>
        </w:tc>
        <w:tc>
          <w:tcPr>
            <w:tcW w:type="dxa" w:w="30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Bronze (Raw)</w:t>
            </w:r>
          </w:p>
        </w:tc>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Tables/bronze/&lt;source&gt;/&lt;entity&gt;/</w:t>
            </w:r>
          </w:p>
        </w:tc>
        <w:tc>
          <w:tcPr>
            <w:tcW w:type="dxa" w:w="1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Delta (append-only)</w:t>
            </w:r>
          </w:p>
        </w:tc>
        <w:tc>
          <w:tcPr>
            <w:tcW w:type="dxa" w:w="30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Raw data as-landed from source systems. No transformations.</w:t>
            </w:r>
          </w:p>
        </w:tc>
      </w:tr>
      <w:tr>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Silver (Cleansed)</w:t>
            </w:r>
          </w:p>
        </w:tc>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Tables/silver/&lt;domain&gt;/&lt;entity&gt;/</w:t>
            </w:r>
          </w:p>
        </w:tc>
        <w:tc>
          <w:tcPr>
            <w:tcW w:type="dxa" w:w="1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Delta</w:t>
            </w:r>
          </w:p>
        </w:tc>
        <w:tc>
          <w:tcPr>
            <w:tcW w:type="dxa" w:w="30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Deduplication, type casting, schema standardisation, PII masking applied.</w:t>
            </w:r>
          </w:p>
        </w:tc>
      </w:tr>
      <w:tr>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Gold (Curated)</w:t>
            </w:r>
          </w:p>
        </w:tc>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Tables/gold/&lt;subject_area&gt;/&lt;mart&gt;/</w:t>
            </w:r>
          </w:p>
        </w:tc>
        <w:tc>
          <w:tcPr>
            <w:tcW w:type="dxa" w:w="1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Delta</w:t>
            </w:r>
          </w:p>
        </w:tc>
        <w:tc>
          <w:tcPr>
            <w:tcW w:type="dxa" w:w="30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Business-ready aggregated and conformed data models. Optimised for consumption.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0078D4" w:sz="6"/>
              <w:bottom w:val="single" w:color="0078D4" w:sz="6"/>
              <w:right w:val="single" w:color="0078D4" w:sz="6"/>
            </w:tcBorders>
            <w:shd w:fill="D0E7F8" w:val="clear"/>
            <w:tcMar>
              <w:top w:type="dxa" w:w="100"/>
              <w:left w:type="dxa" w:w="160"/>
              <w:bottom w:type="dxa" w:w="100"/>
              <w:right w:type="dxa" w:w="160"/>
            </w:tcMar>
          </w:tcPr>
          <w:p>
            <w:pPr>
              <w:spacing w:after="40" w:before="40"/>
            </w:pPr>
            <w:r>
              <w:rPr>
                <w:rFonts w:ascii="Segoe UI" w:cs="Segoe UI" w:eastAsia="Segoe UI" w:hAnsi="Segoe UI"/>
                <w:b/>
                <w:bCs/>
                <w:color w:val="003060"/>
                <w:sz w:val="20"/>
                <w:szCs w:val="20"/>
              </w:rPr>
              <w:t xml:space="preserve">Best Practice: </w:t>
            </w:r>
            <w:r>
              <w:rPr>
                <w:rFonts w:ascii="Segoe UI" w:cs="Segoe UI" w:eastAsia="Segoe UI" w:hAnsi="Segoe UI"/>
                <w:color w:val="003060"/>
                <w:sz w:val="20"/>
                <w:szCs w:val="20"/>
              </w:rPr>
              <w:t xml:space="preserve">Use partitioning on date columns in Bronze and Silver layers. Apply Z-ORDER optimisation on high-cardinality filter columns in Gold layer tables.</w:t>
            </w:r>
          </w:p>
        </w:tc>
      </w:tr>
    </w:tbl>
    <w:p>
      <w:pPr>
        <w:spacing w:after="120" w:before="0"/>
      </w:pPr>
    </w:p>
    <w:p>
      <w:pPr>
        <w:pStyle w:val="Heading2"/>
        <w:spacing w:after="120" w:before="240"/>
      </w:pPr>
      <w:r>
        <w:rPr>
          <w:rFonts w:ascii="Segoe UI" w:cs="Segoe UI" w:eastAsia="Segoe UI" w:hAnsi="Segoe UI"/>
          <w:b/>
          <w:bCs/>
        </w:rPr>
        <w:t xml:space="preserve">5.4 Data Engineering — Pipelines &amp; Notebooks</w:t>
      </w:r>
    </w:p>
    <w:p>
      <w:pPr>
        <w:pStyle w:val="Heading3"/>
        <w:spacing w:after="120" w:before="240"/>
      </w:pPr>
      <w:r>
        <w:rPr>
          <w:rFonts w:ascii="Segoe UI" w:cs="Segoe UI" w:eastAsia="Segoe UI" w:hAnsi="Segoe UI"/>
          <w:b/>
          <w:bCs/>
        </w:rPr>
        <w:t xml:space="preserve">Ingestion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Pattern</w:t>
            </w:r>
          </w:p>
        </w:tc>
        <w:tc>
          <w:tcPr>
            <w:tcW w:type="dxa" w:w="3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Technology</w:t>
            </w:r>
          </w:p>
        </w:tc>
        <w:tc>
          <w:tcPr>
            <w:tcW w:type="dxa" w:w="39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Use Case</w:t>
            </w:r>
          </w:p>
        </w:tc>
      </w:tr>
      <w:tr>
        <w:tc>
          <w:tcPr>
            <w:tcW w:type="dxa" w:w="24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Batch Full Load</w:t>
            </w:r>
          </w:p>
        </w:tc>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Fabric Data Factory (Copy Activity)</w:t>
            </w:r>
          </w:p>
        </w:tc>
        <w:tc>
          <w:tcPr>
            <w:tcW w:type="dxa" w:w="39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Initial data load; daily full refresh of small-to-medium datasets.</w:t>
            </w:r>
          </w:p>
        </w:tc>
      </w:tr>
      <w:tr>
        <w:tc>
          <w:tcPr>
            <w:tcW w:type="dxa" w:w="24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Batch Incremental</w:t>
            </w:r>
          </w:p>
        </w:tc>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Fabric Data Factory + Watermark Table</w:t>
            </w:r>
          </w:p>
        </w:tc>
        <w:tc>
          <w:tcPr>
            <w:tcW w:type="dxa" w:w="39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Incremental load using Last Modified / CDC timestamps.</w:t>
            </w:r>
          </w:p>
        </w:tc>
      </w:tr>
      <w:tr>
        <w:tc>
          <w:tcPr>
            <w:tcW w:type="dxa" w:w="24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Streaming (Event-driven)</w:t>
            </w:r>
          </w:p>
        </w:tc>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Azure Event Hubs + Fabric Eventstream</w:t>
            </w:r>
          </w:p>
        </w:tc>
        <w:tc>
          <w:tcPr>
            <w:tcW w:type="dxa" w:w="39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Real-time telemetry, IoT, transactional events.</w:t>
            </w:r>
          </w:p>
        </w:tc>
      </w:tr>
      <w:tr>
        <w:tc>
          <w:tcPr>
            <w:tcW w:type="dxa" w:w="24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File Drop (SFTP/Blob)</w:t>
            </w:r>
          </w:p>
        </w:tc>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Fabric Data Factory + Azure Blob trigger</w:t>
            </w:r>
          </w:p>
        </w:tc>
        <w:tc>
          <w:tcPr>
            <w:tcW w:type="dxa" w:w="39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Third-party file-based data delivery.</w:t>
            </w:r>
          </w:p>
        </w:tc>
      </w:tr>
      <w:tr>
        <w:tc>
          <w:tcPr>
            <w:tcW w:type="dxa" w:w="24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Database Replication (CDC)</w:t>
            </w:r>
          </w:p>
        </w:tc>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Azure Database Migration Service or Debezium</w:t>
            </w:r>
          </w:p>
        </w:tc>
        <w:tc>
          <w:tcPr>
            <w:tcW w:type="dxa" w:w="39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Near-real-time CDC from SQL Server / Oracle / PostgreSQL.</w:t>
            </w:r>
          </w:p>
        </w:tc>
      </w:tr>
    </w:tbl>
    <w:p>
      <w:pPr>
        <w:spacing w:after="120" w:before="0"/>
      </w:pPr>
    </w:p>
    <w:p>
      <w:pPr>
        <w:pStyle w:val="Heading3"/>
        <w:spacing w:after="120" w:before="240"/>
      </w:pPr>
      <w:r>
        <w:rPr>
          <w:rFonts w:ascii="Segoe UI" w:cs="Segoe UI" w:eastAsia="Segoe UI" w:hAnsi="Segoe UI"/>
          <w:b/>
          <w:bCs/>
        </w:rPr>
        <w:t xml:space="preserve">Transformation Standards</w:t>
      </w:r>
    </w:p>
    <w:p>
      <w:pPr>
        <w:pStyle w:val="ListParagraph"/>
        <w:numPr>
          <w:ilvl w:val="0"/>
          <w:numId w:val="2"/>
        </w:numPr>
        <w:spacing w:after="60" w:before="60"/>
      </w:pPr>
      <w:r>
        <w:rPr>
          <w:rFonts w:ascii="Segoe UI" w:cs="Segoe UI" w:eastAsia="Segoe UI" w:hAnsi="Segoe UI"/>
          <w:sz w:val="22"/>
          <w:szCs w:val="22"/>
        </w:rPr>
        <w:t xml:space="preserve">Bronze-to-Silver transformations are implemented in PySpark Notebooks orchestrated by Fabric Data Factory.</w:t>
      </w:r>
    </w:p>
    <w:p>
      <w:pPr>
        <w:pStyle w:val="ListParagraph"/>
        <w:numPr>
          <w:ilvl w:val="0"/>
          <w:numId w:val="2"/>
        </w:numPr>
        <w:spacing w:after="60" w:before="60"/>
      </w:pPr>
      <w:r>
        <w:rPr>
          <w:rFonts w:ascii="Segoe UI" w:cs="Segoe UI" w:eastAsia="Segoe UI" w:hAnsi="Segoe UI"/>
          <w:sz w:val="22"/>
          <w:szCs w:val="22"/>
        </w:rPr>
        <w:t xml:space="preserve">Silver-to-Gold transformations may use Dataflows Gen2 (low-code) or Notebooks (complex logic).</w:t>
      </w:r>
    </w:p>
    <w:p>
      <w:pPr>
        <w:pStyle w:val="ListParagraph"/>
        <w:numPr>
          <w:ilvl w:val="0"/>
          <w:numId w:val="2"/>
        </w:numPr>
        <w:spacing w:after="60" w:before="60"/>
      </w:pPr>
      <w:r>
        <w:rPr>
          <w:rFonts w:ascii="Segoe UI" w:cs="Segoe UI" w:eastAsia="Segoe UI" w:hAnsi="Segoe UI"/>
          <w:sz w:val="22"/>
          <w:szCs w:val="22"/>
        </w:rPr>
        <w:t xml:space="preserve">All transformation code is version-controlled in Azure DevOps / GitHub.</w:t>
      </w:r>
    </w:p>
    <w:p>
      <w:pPr>
        <w:pStyle w:val="ListParagraph"/>
        <w:numPr>
          <w:ilvl w:val="0"/>
          <w:numId w:val="2"/>
        </w:numPr>
        <w:spacing w:after="60" w:before="60"/>
      </w:pPr>
      <w:r>
        <w:rPr>
          <w:rFonts w:ascii="Segoe UI" w:cs="Segoe UI" w:eastAsia="Segoe UI" w:hAnsi="Segoe UI"/>
          <w:sz w:val="22"/>
          <w:szCs w:val="22"/>
        </w:rPr>
        <w:t xml:space="preserve">Notebooks follow a standard template: configuration cell, utility imports, data read, transform, data write, logging.</w:t>
      </w:r>
    </w:p>
    <w:p>
      <w:pPr>
        <w:pStyle w:val="ListParagraph"/>
        <w:numPr>
          <w:ilvl w:val="0"/>
          <w:numId w:val="2"/>
        </w:numPr>
        <w:spacing w:after="60" w:before="60"/>
      </w:pPr>
      <w:r>
        <w:rPr>
          <w:rFonts w:ascii="Segoe UI" w:cs="Segoe UI" w:eastAsia="Segoe UI" w:hAnsi="Segoe UI"/>
          <w:sz w:val="22"/>
          <w:szCs w:val="22"/>
        </w:rPr>
        <w:t xml:space="preserve">Delta table operations use MERGE (upsert) for Silver and OVERWRITE/APPEND for Bronze.</w:t>
      </w:r>
    </w:p>
    <w:p>
      <w:pPr>
        <w:spacing w:after="120" w:before="0"/>
      </w:pPr>
    </w:p>
    <w:p>
      <w:pPr>
        <w:pStyle w:val="Heading2"/>
        <w:spacing w:after="120" w:before="240"/>
      </w:pPr>
      <w:r>
        <w:rPr>
          <w:rFonts w:ascii="Segoe UI" w:cs="Segoe UI" w:eastAsia="Segoe UI" w:hAnsi="Segoe UI"/>
          <w:b/>
          <w:bCs/>
        </w:rPr>
        <w:t xml:space="preserve">5.5 Data Warehouse &amp; Semantic Layer</w:t>
      </w:r>
    </w:p>
    <w:p>
      <w:pPr>
        <w:pStyle w:val="Heading3"/>
        <w:spacing w:after="120" w:before="240"/>
      </w:pPr>
      <w:r>
        <w:rPr>
          <w:rFonts w:ascii="Segoe UI" w:cs="Segoe UI" w:eastAsia="Segoe UI" w:hAnsi="Segoe UI"/>
          <w:b/>
          <w:bCs/>
        </w:rPr>
        <w:t xml:space="preserve">Fabric Data Warehouse</w:t>
      </w:r>
    </w:p>
    <w:p>
      <w:pPr>
        <w:spacing w:after="120" w:before="80"/>
      </w:pPr>
      <w:r>
        <w:rPr>
          <w:rFonts w:ascii="Segoe UI" w:cs="Segoe UI" w:eastAsia="Segoe UI" w:hAnsi="Segoe UI"/>
          <w:sz w:val="22"/>
          <w:szCs w:val="22"/>
        </w:rPr>
        <w:t xml:space="preserve">The Fabric Data Warehouse provides a fully managed T-SQL analytical engine on top of OneLake. It is used for curated, complex queries and workloads that require full ANSI SQL compliance and multi-table joins at scale.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Parameter</w:t>
            </w:r>
          </w:p>
        </w:tc>
        <w:tc>
          <w:tcPr>
            <w:tcW w:type="dxa" w:w="63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Design Decision</w:t>
            </w:r>
          </w:p>
        </w:tc>
      </w:tr>
      <w:tr>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Warehouse Type</w:t>
            </w:r>
          </w:p>
        </w:tc>
        <w:tc>
          <w:tcPr>
            <w:tcW w:type="dxa" w:w="6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Fabric Warehouse (T-SQL) for Gold layer serving; Lakehouse SQL Endpoint for ad-hoc querying.</w:t>
            </w:r>
          </w:p>
        </w:tc>
      </w:tr>
      <w:tr>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Schema Pattern</w:t>
            </w:r>
          </w:p>
        </w:tc>
        <w:tc>
          <w:tcPr>
            <w:tcW w:type="dxa" w:w="6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Star schema (fact + dimension tables) for analytical workloads.</w:t>
            </w:r>
          </w:p>
        </w:tc>
      </w:tr>
      <w:tr>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Security</w:t>
            </w:r>
          </w:p>
        </w:tc>
        <w:tc>
          <w:tcPr>
            <w:tcW w:type="dxa" w:w="6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Row-Level Security (RLS) and Column-Level Security (CLS) enforced via SQL views.</w:t>
            </w:r>
          </w:p>
        </w:tc>
      </w:tr>
      <w:tr>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Performance</w:t>
            </w:r>
          </w:p>
        </w:tc>
        <w:tc>
          <w:tcPr>
            <w:tcW w:type="dxa" w:w="6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Result set caching enabled; statistics auto-update; clustered columnstore indexes on large fact tables.</w:t>
            </w:r>
          </w:p>
        </w:tc>
      </w:tr>
    </w:tbl>
    <w:p>
      <w:pPr>
        <w:spacing w:after="120" w:before="0"/>
      </w:pPr>
    </w:p>
    <w:p>
      <w:pPr>
        <w:pStyle w:val="Heading3"/>
        <w:spacing w:after="120" w:before="240"/>
      </w:pPr>
      <w:r>
        <w:rPr>
          <w:rFonts w:ascii="Segoe UI" w:cs="Segoe UI" w:eastAsia="Segoe UI" w:hAnsi="Segoe UI"/>
          <w:b/>
          <w:bCs/>
        </w:rPr>
        <w:t xml:space="preserve">Semantic Models (Power BI)</w:t>
      </w:r>
    </w:p>
    <w:p>
      <w:pPr>
        <w:pStyle w:val="ListParagraph"/>
        <w:numPr>
          <w:ilvl w:val="0"/>
          <w:numId w:val="2"/>
        </w:numPr>
        <w:spacing w:after="60" w:before="60"/>
      </w:pPr>
      <w:r>
        <w:rPr>
          <w:rFonts w:ascii="Segoe UI" w:cs="Segoe UI" w:eastAsia="Segoe UI" w:hAnsi="Segoe UI"/>
          <w:sz w:val="22"/>
          <w:szCs w:val="22"/>
        </w:rPr>
        <w:t xml:space="preserve">Enterprise semantic models are published in Direct Lake mode against Gold layer Lakehouse tables for maximum performance.</w:t>
      </w:r>
    </w:p>
    <w:p>
      <w:pPr>
        <w:pStyle w:val="ListParagraph"/>
        <w:numPr>
          <w:ilvl w:val="0"/>
          <w:numId w:val="2"/>
        </w:numPr>
        <w:spacing w:after="60" w:before="60"/>
      </w:pPr>
      <w:r>
        <w:rPr>
          <w:rFonts w:ascii="Segoe UI" w:cs="Segoe UI" w:eastAsia="Segoe UI" w:hAnsi="Segoe UI"/>
          <w:sz w:val="22"/>
          <w:szCs w:val="22"/>
        </w:rPr>
        <w:t xml:space="preserve">A single certified enterprise model per business domain (Finance, HR, Sales, Operations, etc.) is maintained by the Platform team.</w:t>
      </w:r>
    </w:p>
    <w:p>
      <w:pPr>
        <w:pStyle w:val="ListParagraph"/>
        <w:numPr>
          <w:ilvl w:val="0"/>
          <w:numId w:val="2"/>
        </w:numPr>
        <w:spacing w:after="60" w:before="60"/>
      </w:pPr>
      <w:r>
        <w:rPr>
          <w:rFonts w:ascii="Segoe UI" w:cs="Segoe UI" w:eastAsia="Segoe UI" w:hAnsi="Segoe UI"/>
          <w:sz w:val="22"/>
          <w:szCs w:val="22"/>
        </w:rPr>
        <w:t xml:space="preserve">Downstream team models inherit from the enterprise model using Composite or Live Connection.</w:t>
      </w:r>
    </w:p>
    <w:p>
      <w:pPr>
        <w:pStyle w:val="ListParagraph"/>
        <w:numPr>
          <w:ilvl w:val="0"/>
          <w:numId w:val="2"/>
        </w:numPr>
        <w:spacing w:after="60" w:before="60"/>
      </w:pPr>
      <w:r>
        <w:rPr>
          <w:rFonts w:ascii="Segoe UI" w:cs="Segoe UI" w:eastAsia="Segoe UI" w:hAnsi="Segoe UI"/>
          <w:sz w:val="22"/>
          <w:szCs w:val="22"/>
        </w:rPr>
        <w:t xml:space="preserve">DAX measures follow a consistent naming and documentation convention (see Data Standards documentation).</w:t>
      </w:r>
    </w:p>
    <w:p>
      <w:pPr>
        <w:spacing w:after="120" w:before="0"/>
      </w:pPr>
    </w:p>
    <w:p>
      <w:r>
        <w:br w:type="page"/>
      </w:r>
    </w:p>
    <w:p>
      <w:pPr>
        <w:pStyle w:val="Heading1"/>
        <w:spacing w:after="120" w:before="400"/>
      </w:pPr>
      <w:r>
        <w:rPr>
          <w:rFonts w:ascii="Segoe UI" w:cs="Segoe UI" w:eastAsia="Segoe UI" w:hAnsi="Segoe UI"/>
          <w:b/>
          <w:bCs/>
        </w:rPr>
        <w:t xml:space="preserve">6. Data Architecture</w:t>
      </w:r>
    </w:p>
    <w:p>
      <w:pPr>
        <w:pStyle w:val="Heading2"/>
        <w:spacing w:after="120" w:before="240"/>
      </w:pPr>
      <w:r>
        <w:rPr>
          <w:rFonts w:ascii="Segoe UI" w:cs="Segoe UI" w:eastAsia="Segoe UI" w:hAnsi="Segoe UI"/>
          <w:b/>
          <w:bCs/>
        </w:rPr>
        <w:t xml:space="preserve">6.1 Source Systems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800"/>
        <w:gridCol w:w="1760"/>
      </w:tblGrid>
      <w:tr>
        <w:trPr>
          <w:tblHeader/>
        </w:trPr>
        <w:tc>
          <w:tcPr>
            <w:tcW w:type="dxa" w:w="2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Source System</w:t>
            </w:r>
          </w:p>
        </w:tc>
        <w:tc>
          <w:tcPr>
            <w:tcW w:type="dxa" w:w="18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Type</w:t>
            </w:r>
          </w:p>
        </w:tc>
        <w:tc>
          <w:tcPr>
            <w:tcW w:type="dxa" w:w="2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Ingestion Pattern</w:t>
            </w:r>
          </w:p>
        </w:tc>
        <w:tc>
          <w:tcPr>
            <w:tcW w:type="dxa" w:w="18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Domain</w:t>
            </w:r>
          </w:p>
        </w:tc>
        <w:tc>
          <w:tcPr>
            <w:tcW w:type="dxa" w:w="17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Priority</w:t>
            </w:r>
          </w:p>
        </w:tc>
      </w:tr>
      <w:tr>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[ERP System]</w:t>
            </w:r>
          </w:p>
        </w:tc>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SQL Database</w:t>
            </w:r>
          </w:p>
        </w:tc>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Incremental CDC</w:t>
            </w:r>
          </w:p>
        </w:tc>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Finance / Operations</w:t>
            </w:r>
          </w:p>
        </w:tc>
        <w:tc>
          <w:tcPr>
            <w:tcW w:type="dxa" w:w="17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High</w:t>
            </w:r>
          </w:p>
        </w:tc>
      </w:tr>
      <w:tr>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[CRM System]</w:t>
            </w:r>
          </w:p>
        </w:tc>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REST API</w:t>
            </w:r>
          </w:p>
        </w:tc>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Daily Batch</w:t>
            </w:r>
          </w:p>
        </w:tc>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Sales / Customer</w:t>
            </w:r>
          </w:p>
        </w:tc>
        <w:tc>
          <w:tcPr>
            <w:tcW w:type="dxa" w:w="17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High</w:t>
            </w:r>
          </w:p>
        </w:tc>
      </w:tr>
      <w:tr>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[HR System]</w:t>
            </w:r>
          </w:p>
        </w:tc>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SFTP File</w:t>
            </w:r>
          </w:p>
        </w:tc>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Daily Batch</w:t>
            </w:r>
          </w:p>
        </w:tc>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HR</w:t>
            </w:r>
          </w:p>
        </w:tc>
        <w:tc>
          <w:tcPr>
            <w:tcW w:type="dxa" w:w="17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Medium</w:t>
            </w:r>
          </w:p>
        </w:tc>
      </w:tr>
      <w:tr>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[IoT Platform]</w:t>
            </w:r>
          </w:p>
        </w:tc>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Event Hub / MQTT</w:t>
            </w:r>
          </w:p>
        </w:tc>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Real-Time Streaming</w:t>
            </w:r>
          </w:p>
        </w:tc>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Operations</w:t>
            </w:r>
          </w:p>
        </w:tc>
        <w:tc>
          <w:tcPr>
            <w:tcW w:type="dxa" w:w="17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Medium</w:t>
            </w:r>
          </w:p>
        </w:tc>
      </w:tr>
      <w:tr>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[Marketing Platform]</w:t>
            </w:r>
          </w:p>
        </w:tc>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REST API</w:t>
            </w:r>
          </w:p>
        </w:tc>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Daily Batch</w:t>
            </w:r>
          </w:p>
        </w:tc>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Marketing</w:t>
            </w:r>
          </w:p>
        </w:tc>
        <w:tc>
          <w:tcPr>
            <w:tcW w:type="dxa" w:w="17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Low</w:t>
            </w:r>
          </w:p>
        </w:tc>
      </w:tr>
      <w:tr>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[Add source]</w:t>
            </w:r>
          </w:p>
        </w:tc>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
            </w:r>
          </w:p>
        </w:tc>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
            </w:r>
          </w:p>
        </w:tc>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
            </w:r>
          </w:p>
        </w:tc>
        <w:tc>
          <w:tcPr>
            <w:tcW w:type="dxa" w:w="17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
            </w:r>
          </w:p>
        </w:tc>
      </w:tr>
    </w:tbl>
    <w:p>
      <w:pPr>
        <w:spacing w:after="120" w:before="0"/>
      </w:pPr>
    </w:p>
    <w:p>
      <w:pPr>
        <w:pStyle w:val="Heading2"/>
        <w:spacing w:after="120" w:before="240"/>
      </w:pPr>
      <w:r>
        <w:rPr>
          <w:rFonts w:ascii="Segoe UI" w:cs="Segoe UI" w:eastAsia="Segoe UI" w:hAnsi="Segoe UI"/>
          <w:b/>
          <w:bCs/>
        </w:rPr>
        <w:t xml:space="preserve">6.2 Data Domains &amp; Ownership</w:t>
      </w:r>
    </w:p>
    <w:p>
      <w:pPr>
        <w:spacing w:after="120" w:before="80"/>
      </w:pPr>
      <w:r>
        <w:rPr>
          <w:rFonts w:ascii="Segoe UI" w:cs="Segoe UI" w:eastAsia="Segoe UI" w:hAnsi="Segoe UI"/>
          <w:sz w:val="22"/>
          <w:szCs w:val="22"/>
        </w:rPr>
        <w:t xml:space="preserve">The platform adopts a Data Mesh-inspired federated governance model. Each domain has a designated Data Owner accountable for data quality, access, and lifecycle within their domain workspace.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Domain</w:t>
            </w:r>
          </w:p>
        </w:tc>
        <w:tc>
          <w:tcPr>
            <w:tcW w:type="dxa" w:w="2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Data Owner</w:t>
            </w:r>
          </w:p>
        </w:tc>
        <w:tc>
          <w:tcPr>
            <w:tcW w:type="dxa" w:w="22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Workspace</w:t>
            </w:r>
          </w:p>
        </w:tc>
        <w:tc>
          <w:tcPr>
            <w:tcW w:type="dxa" w:w="33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Key Entities</w:t>
            </w:r>
          </w:p>
        </w:tc>
      </w:tr>
      <w:tr>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Finance</w:t>
            </w:r>
          </w:p>
        </w:tc>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[Name / Role]</w:t>
            </w:r>
          </w:p>
        </w:tc>
        <w:tc>
          <w:tcPr>
            <w:tcW w:type="dxa" w:w="2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ws-finance-prod</w:t>
            </w:r>
          </w:p>
        </w:tc>
        <w:tc>
          <w:tcPr>
            <w:tcW w:type="dxa" w:w="3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GL, Cost Centres, Budgets, AP/AR</w:t>
            </w:r>
          </w:p>
        </w:tc>
      </w:tr>
      <w:tr>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Sales &amp; CRM</w:t>
            </w:r>
          </w:p>
        </w:tc>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[Name / Role]</w:t>
            </w:r>
          </w:p>
        </w:tc>
        <w:tc>
          <w:tcPr>
            <w:tcW w:type="dxa" w:w="22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ws-sales-prod</w:t>
            </w:r>
          </w:p>
        </w:tc>
        <w:tc>
          <w:tcPr>
            <w:tcW w:type="dxa" w:w="3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Customers, Opportunities, Orders, Forecasts</w:t>
            </w:r>
          </w:p>
        </w:tc>
      </w:tr>
      <w:tr>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HR &amp; Workforce</w:t>
            </w:r>
          </w:p>
        </w:tc>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[Name / Role]</w:t>
            </w:r>
          </w:p>
        </w:tc>
        <w:tc>
          <w:tcPr>
            <w:tcW w:type="dxa" w:w="2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ws-hr-prod</w:t>
            </w:r>
          </w:p>
        </w:tc>
        <w:tc>
          <w:tcPr>
            <w:tcW w:type="dxa" w:w="3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Employees, Positions, Payroll (masked)</w:t>
            </w:r>
          </w:p>
        </w:tc>
      </w:tr>
      <w:tr>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Operations</w:t>
            </w:r>
          </w:p>
        </w:tc>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[Name / Role]</w:t>
            </w:r>
          </w:p>
        </w:tc>
        <w:tc>
          <w:tcPr>
            <w:tcW w:type="dxa" w:w="22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ws-operations-prod</w:t>
            </w:r>
          </w:p>
        </w:tc>
        <w:tc>
          <w:tcPr>
            <w:tcW w:type="dxa" w:w="3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Assets, Work Orders, Inventory, Telemetry</w:t>
            </w:r>
          </w:p>
        </w:tc>
      </w:tr>
      <w:tr>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Marketing</w:t>
            </w:r>
          </w:p>
        </w:tc>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[Name / Role]</w:t>
            </w:r>
          </w:p>
        </w:tc>
        <w:tc>
          <w:tcPr>
            <w:tcW w:type="dxa" w:w="2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ws-marketing-prod</w:t>
            </w:r>
          </w:p>
        </w:tc>
        <w:tc>
          <w:tcPr>
            <w:tcW w:type="dxa" w:w="3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Campaigns, Leads, Segmentation</w:t>
            </w:r>
          </w:p>
        </w:tc>
      </w:tr>
      <w:tr>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[Add domain]</w:t>
            </w:r>
          </w:p>
        </w:tc>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
            </w:r>
          </w:p>
        </w:tc>
        <w:tc>
          <w:tcPr>
            <w:tcW w:type="dxa" w:w="22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
            </w:r>
          </w:p>
        </w:tc>
        <w:tc>
          <w:tcPr>
            <w:tcW w:type="dxa" w:w="3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
            </w:r>
          </w:p>
        </w:tc>
      </w:tr>
    </w:tbl>
    <w:p>
      <w:pPr>
        <w:spacing w:after="120" w:before="0"/>
      </w:pPr>
    </w:p>
    <w:p>
      <w:pPr>
        <w:pStyle w:val="Heading2"/>
        <w:spacing w:after="120" w:before="240"/>
      </w:pPr>
      <w:r>
        <w:rPr>
          <w:rFonts w:ascii="Segoe UI" w:cs="Segoe UI" w:eastAsia="Segoe UI" w:hAnsi="Segoe UI"/>
          <w:b/>
          <w:bCs/>
        </w:rPr>
        <w:t xml:space="preserve">6.3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Classification</w:t>
            </w:r>
          </w:p>
        </w:tc>
        <w:tc>
          <w:tcPr>
            <w:tcW w:type="dxa" w:w="3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c>
          <w:tcPr>
            <w:tcW w:type="dxa" w:w="43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Handling Requirements</w:t>
            </w:r>
          </w:p>
        </w:tc>
      </w:tr>
      <w:tr>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Public</w:t>
            </w:r>
          </w:p>
        </w:tc>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Non-sensitive, publicly shareable data.</w:t>
            </w:r>
          </w:p>
        </w:tc>
        <w:tc>
          <w:tcPr>
            <w:tcW w:type="dxa" w:w="4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No restriction. May be shared externally.</w:t>
            </w:r>
          </w:p>
        </w:tc>
      </w:tr>
      <w:tr>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Internal</w:t>
            </w:r>
          </w:p>
        </w:tc>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General business data not intended for public release.</w:t>
            </w:r>
          </w:p>
        </w:tc>
        <w:tc>
          <w:tcPr>
            <w:tcW w:type="dxa" w:w="4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Internal sharing only; standard access controls.</w:t>
            </w:r>
          </w:p>
        </w:tc>
      </w:tr>
      <w:tr>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Confidential</w:t>
            </w:r>
          </w:p>
        </w:tc>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Sensitive business data including financial results, strategic plans.</w:t>
            </w:r>
          </w:p>
        </w:tc>
        <w:tc>
          <w:tcPr>
            <w:tcW w:type="dxa" w:w="4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Restricted access; encryption at rest and in transit; audit logging.</w:t>
            </w:r>
          </w:p>
        </w:tc>
      </w:tr>
      <w:tr>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Highly Confidential</w:t>
            </w:r>
          </w:p>
        </w:tc>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Personally identifiable information (PII), payment data, health data.</w:t>
            </w:r>
          </w:p>
        </w:tc>
        <w:tc>
          <w:tcPr>
            <w:tcW w:type="dxa" w:w="4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Minimum access; Purview sensitivity labels; data masking/tokenisation applied at Silver layer; DLP policies enforced.</w:t>
            </w:r>
          </w:p>
        </w:tc>
      </w:tr>
    </w:tbl>
    <w:p>
      <w:pPr>
        <w:spacing w:after="120" w:before="0"/>
      </w:pPr>
    </w:p>
    <w:p>
      <w:pPr>
        <w:pStyle w:val="Heading2"/>
        <w:spacing w:after="120" w:before="240"/>
      </w:pPr>
      <w:r>
        <w:rPr>
          <w:rFonts w:ascii="Segoe UI" w:cs="Segoe UI" w:eastAsia="Segoe UI" w:hAnsi="Segoe UI"/>
          <w:b/>
          <w:bCs/>
        </w:rPr>
        <w:t xml:space="preserve">6.4 Data Quality Framework</w:t>
      </w:r>
    </w:p>
    <w:p>
      <w:pPr>
        <w:pStyle w:val="Heading3"/>
        <w:spacing w:after="120" w:before="240"/>
      </w:pPr>
      <w:r>
        <w:rPr>
          <w:rFonts w:ascii="Segoe UI" w:cs="Segoe UI" w:eastAsia="Segoe UI" w:hAnsi="Segoe UI"/>
          <w:b/>
          <w:bCs/>
        </w:rPr>
        <w:t xml:space="preserve">Quality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Dimension</w:t>
            </w:r>
          </w:p>
        </w:tc>
        <w:tc>
          <w:tcPr>
            <w:tcW w:type="dxa" w:w="28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Definition</w:t>
            </w:r>
          </w:p>
        </w:tc>
        <w:tc>
          <w:tcPr>
            <w:tcW w:type="dxa" w:w="45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Implementation</w:t>
            </w:r>
          </w:p>
        </w:tc>
      </w:tr>
      <w:tr>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Completeness</w:t>
            </w:r>
          </w:p>
        </w:tc>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All required fields are populated.</w:t>
            </w:r>
          </w:p>
        </w:tc>
        <w:tc>
          <w:tcPr>
            <w:tcW w:type="dxa" w:w="4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NOT NULL checks in Silver notebooks; DQ metric tables in Gold.</w:t>
            </w:r>
          </w:p>
        </w:tc>
      </w:tr>
      <w:tr>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Accuracy</w:t>
            </w:r>
          </w:p>
        </w:tc>
        <w:tc>
          <w:tcPr>
            <w:tcW w:type="dxa" w:w="2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Values conform to business rules and reference data.</w:t>
            </w:r>
          </w:p>
        </w:tc>
        <w:tc>
          <w:tcPr>
            <w:tcW w:type="dxa" w:w="4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Lookup validation against reference tables; range checks.</w:t>
            </w:r>
          </w:p>
        </w:tc>
      </w:tr>
      <w:tr>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Consistency</w:t>
            </w:r>
          </w:p>
        </w:tc>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Data is consistent across systems and domains.</w:t>
            </w:r>
          </w:p>
        </w:tc>
        <w:tc>
          <w:tcPr>
            <w:tcW w:type="dxa" w:w="4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Cross-domain reconciliation checks; row count validation.</w:t>
            </w:r>
          </w:p>
        </w:tc>
      </w:tr>
      <w:tr>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Timeliness</w:t>
            </w:r>
          </w:p>
        </w:tc>
        <w:tc>
          <w:tcPr>
            <w:tcW w:type="dxa" w:w="2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Data is available within agreed SLA windows.</w:t>
            </w:r>
          </w:p>
        </w:tc>
        <w:tc>
          <w:tcPr>
            <w:tcW w:type="dxa" w:w="4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Pipeline execution time tracking; SLA breach alerting via Azure Monitor.</w:t>
            </w:r>
          </w:p>
        </w:tc>
      </w:tr>
      <w:tr>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Uniqueness</w:t>
            </w:r>
          </w:p>
        </w:tc>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No unintended duplicate records.</w:t>
            </w:r>
          </w:p>
        </w:tc>
        <w:tc>
          <w:tcPr>
            <w:tcW w:type="dxa" w:w="4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Duplicate detection during Silver transforms; MERGE deduplication.</w:t>
            </w:r>
          </w:p>
        </w:tc>
      </w:tr>
    </w:tbl>
    <w:p>
      <w:pPr>
        <w:spacing w:after="120" w:before="0"/>
      </w:pPr>
    </w:p>
    <w:p>
      <w:pPr>
        <w:pStyle w:val="ListParagraph"/>
        <w:numPr>
          <w:ilvl w:val="0"/>
          <w:numId w:val="2"/>
        </w:numPr>
        <w:spacing w:after="60" w:before="60"/>
      </w:pPr>
      <w:r>
        <w:rPr>
          <w:rFonts w:ascii="Segoe UI" w:cs="Segoe UI" w:eastAsia="Segoe UI" w:hAnsi="Segoe UI"/>
          <w:sz w:val="22"/>
          <w:szCs w:val="22"/>
        </w:rPr>
        <w:t xml:space="preserve">Data Quality results are persisted to a dedicated DQ Gold table and surfaced via a Power BI Data Quality dashboard.</w:t>
      </w:r>
    </w:p>
    <w:p>
      <w:pPr>
        <w:pStyle w:val="ListParagraph"/>
        <w:numPr>
          <w:ilvl w:val="0"/>
          <w:numId w:val="2"/>
        </w:numPr>
        <w:spacing w:after="60" w:before="60"/>
      </w:pPr>
      <w:r>
        <w:rPr>
          <w:rFonts w:ascii="Segoe UI" w:cs="Segoe UI" w:eastAsia="Segoe UI" w:hAnsi="Segoe UI"/>
          <w:sz w:val="22"/>
          <w:szCs w:val="22"/>
        </w:rPr>
        <w:t xml:space="preserve">Failed DQ thresholds trigger alerting and may halt downstream pipeline execution.</w:t>
      </w:r>
    </w:p>
    <w:p>
      <w:pPr>
        <w:pStyle w:val="ListParagraph"/>
        <w:numPr>
          <w:ilvl w:val="0"/>
          <w:numId w:val="2"/>
        </w:numPr>
        <w:spacing w:after="60" w:before="60"/>
      </w:pPr>
      <w:r>
        <w:rPr>
          <w:rFonts w:ascii="Segoe UI" w:cs="Segoe UI" w:eastAsia="Segoe UI" w:hAnsi="Segoe UI"/>
          <w:sz w:val="22"/>
          <w:szCs w:val="22"/>
        </w:rPr>
        <w:t xml:space="preserve">[Specify acceptable DQ thresholds per domain — e.g., Completeness &gt; 99%]</w:t>
      </w:r>
    </w:p>
    <w:p>
      <w:pPr>
        <w:spacing w:after="120" w:before="0"/>
      </w:pPr>
    </w:p>
    <w:p>
      <w:r>
        <w:br w:type="page"/>
      </w:r>
    </w:p>
    <w:p>
      <w:pPr>
        <w:pStyle w:val="Heading1"/>
        <w:spacing w:after="120" w:before="400"/>
      </w:pPr>
      <w:r>
        <w:rPr>
          <w:rFonts w:ascii="Segoe UI" w:cs="Segoe UI" w:eastAsia="Segoe UI" w:hAnsi="Segoe UI"/>
          <w:b/>
          <w:bCs/>
        </w:rPr>
        <w:t xml:space="preserve">7. Security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0078D4" w:sz="6"/>
              <w:bottom w:val="single" w:color="0078D4" w:sz="6"/>
              <w:right w:val="single" w:color="0078D4" w:sz="6"/>
            </w:tcBorders>
            <w:shd w:fill="D0E7F8" w:val="clear"/>
            <w:tcMar>
              <w:top w:type="dxa" w:w="100"/>
              <w:left w:type="dxa" w:w="160"/>
              <w:bottom w:type="dxa" w:w="100"/>
              <w:right w:type="dxa" w:w="160"/>
            </w:tcMar>
          </w:tcPr>
          <w:p>
            <w:pPr>
              <w:spacing w:after="40" w:before="40"/>
            </w:pPr>
            <w:r>
              <w:rPr>
                <w:rFonts w:ascii="Segoe UI" w:cs="Segoe UI" w:eastAsia="Segoe UI" w:hAnsi="Segoe UI"/>
                <w:b/>
                <w:bCs/>
                <w:color w:val="003060"/>
                <w:sz w:val="20"/>
                <w:szCs w:val="20"/>
              </w:rPr>
              <w:t xml:space="preserve">Compliance Requirement: </w:t>
            </w:r>
            <w:r>
              <w:rPr>
                <w:rFonts w:ascii="Segoe UI" w:cs="Segoe UI" w:eastAsia="Segoe UI" w:hAnsi="Segoe UI"/>
                <w:color w:val="003060"/>
                <w:sz w:val="20"/>
                <w:szCs w:val="20"/>
              </w:rPr>
              <w:t xml:space="preserve">This design must align with [ISO 27001 / GDPR / SOC 2 / NHS DSP Toolkit — specify applicable standards]. Security architecture decisions are subject to review by the Information Security team.</w:t>
            </w:r>
          </w:p>
        </w:tc>
      </w:tr>
    </w:tbl>
    <w:p>
      <w:pPr>
        <w:spacing w:after="120" w:before="0"/>
      </w:pPr>
    </w:p>
    <w:p>
      <w:pPr>
        <w:pStyle w:val="Heading2"/>
        <w:spacing w:after="120" w:before="240"/>
      </w:pPr>
      <w:r>
        <w:rPr>
          <w:rFonts w:ascii="Segoe UI" w:cs="Segoe UI" w:eastAsia="Segoe UI" w:hAnsi="Segoe UI"/>
          <w:b/>
          <w:bCs/>
        </w:rPr>
        <w:t xml:space="preserve">7.1 Identity &amp; Access Management</w:t>
      </w:r>
    </w:p>
    <w:p>
      <w:pPr>
        <w:pStyle w:val="ListParagraph"/>
        <w:numPr>
          <w:ilvl w:val="0"/>
          <w:numId w:val="2"/>
        </w:numPr>
        <w:spacing w:after="60" w:before="60"/>
      </w:pPr>
      <w:r>
        <w:rPr>
          <w:rFonts w:ascii="Segoe UI" w:cs="Segoe UI" w:eastAsia="Segoe UI" w:hAnsi="Segoe UI"/>
          <w:sz w:val="22"/>
          <w:szCs w:val="22"/>
        </w:rPr>
        <w:t xml:space="preserve">All authentication uses Microsoft Entra ID (formerly Azure Active Directory).</w:t>
      </w:r>
    </w:p>
    <w:p>
      <w:pPr>
        <w:pStyle w:val="ListParagraph"/>
        <w:numPr>
          <w:ilvl w:val="0"/>
          <w:numId w:val="2"/>
        </w:numPr>
        <w:spacing w:after="60" w:before="60"/>
      </w:pPr>
      <w:r>
        <w:rPr>
          <w:rFonts w:ascii="Segoe UI" w:cs="Segoe UI" w:eastAsia="Segoe UI" w:hAnsi="Segoe UI"/>
          <w:sz w:val="22"/>
          <w:szCs w:val="22"/>
        </w:rPr>
        <w:t xml:space="preserve">Multi-Factor Authentication (MFA) is mandatory for all platform access.</w:t>
      </w:r>
    </w:p>
    <w:p>
      <w:pPr>
        <w:pStyle w:val="ListParagraph"/>
        <w:numPr>
          <w:ilvl w:val="0"/>
          <w:numId w:val="2"/>
        </w:numPr>
        <w:spacing w:after="60" w:before="60"/>
      </w:pPr>
      <w:r>
        <w:rPr>
          <w:rFonts w:ascii="Segoe UI" w:cs="Segoe UI" w:eastAsia="Segoe UI" w:hAnsi="Segoe UI"/>
          <w:sz w:val="22"/>
          <w:szCs w:val="22"/>
        </w:rPr>
        <w:t xml:space="preserve">Service Principals with Managed Identity are used for pipeline and workload authentication; no stored credentials or passwords in pipeline configurations.</w:t>
      </w:r>
    </w:p>
    <w:p>
      <w:pPr>
        <w:pStyle w:val="ListParagraph"/>
        <w:numPr>
          <w:ilvl w:val="0"/>
          <w:numId w:val="2"/>
        </w:numPr>
        <w:spacing w:after="60" w:before="60"/>
      </w:pPr>
      <w:r>
        <w:rPr>
          <w:rFonts w:ascii="Segoe UI" w:cs="Segoe UI" w:eastAsia="Segoe UI" w:hAnsi="Segoe UI"/>
          <w:sz w:val="22"/>
          <w:szCs w:val="22"/>
        </w:rPr>
        <w:t xml:space="preserve">Privileged Identity Management (PIM) is enforced for administrative roles; just-in-time access with approval workflow.</w:t>
      </w:r>
    </w:p>
    <w:p>
      <w:pPr>
        <w:pStyle w:val="ListParagraph"/>
        <w:numPr>
          <w:ilvl w:val="0"/>
          <w:numId w:val="2"/>
        </w:numPr>
        <w:spacing w:after="60" w:before="60"/>
      </w:pPr>
      <w:r>
        <w:rPr>
          <w:rFonts w:ascii="Segoe UI" w:cs="Segoe UI" w:eastAsia="Segoe UI" w:hAnsi="Segoe UI"/>
          <w:sz w:val="22"/>
          <w:szCs w:val="22"/>
        </w:rPr>
        <w:t xml:space="preserve">Conditional Access policies restrict access to compliant, corporate-managed devices.</w:t>
      </w:r>
    </w:p>
    <w:p>
      <w:pPr>
        <w:spacing w:after="120" w:before="0"/>
      </w:pPr>
    </w:p>
    <w:p>
      <w:pPr>
        <w:pStyle w:val="Heading2"/>
        <w:spacing w:after="120" w:before="240"/>
      </w:pPr>
      <w:r>
        <w:rPr>
          <w:rFonts w:ascii="Segoe UI" w:cs="Segoe UI" w:eastAsia="Segoe UI" w:hAnsi="Segoe UI"/>
          <w:b/>
          <w:bCs/>
        </w:rPr>
        <w:t xml:space="preserve">7.2 Fabric &amp; Azure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Role</w:t>
            </w:r>
          </w:p>
        </w:tc>
        <w:tc>
          <w:tcPr>
            <w:tcW w:type="dxa" w:w="2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Scope</w:t>
            </w:r>
          </w:p>
        </w:tc>
        <w:tc>
          <w:tcPr>
            <w:tcW w:type="dxa" w:w="45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Assigned To</w:t>
            </w:r>
          </w:p>
        </w:tc>
      </w:tr>
      <w:tr>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Fabric Administrator</w:t>
            </w:r>
          </w:p>
        </w:tc>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Tenant</w:t>
            </w:r>
          </w:p>
        </w:tc>
        <w:tc>
          <w:tcPr>
            <w:tcW w:type="dxa" w:w="4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Platform Admin Team (sg-fabric-tenant-admins)</w:t>
            </w:r>
          </w:p>
        </w:tc>
      </w:tr>
      <w:tr>
        <w:tc>
          <w:tcPr>
            <w:tcW w:type="dxa" w:w="2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Capacity Administrator</w:t>
            </w:r>
          </w:p>
        </w:tc>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Capacity</w:t>
            </w:r>
          </w:p>
        </w:tc>
        <w:tc>
          <w:tcPr>
            <w:tcW w:type="dxa" w:w="4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Senior Platform Engineers (sg-fabric-capacity-admins)</w:t>
            </w:r>
          </w:p>
        </w:tc>
      </w:tr>
      <w:tr>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Workspace Admin</w:t>
            </w:r>
          </w:p>
        </w:tc>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Workspace</w:t>
            </w:r>
          </w:p>
        </w:tc>
        <w:tc>
          <w:tcPr>
            <w:tcW w:type="dxa" w:w="4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Domain Engineering Leads</w:t>
            </w:r>
          </w:p>
        </w:tc>
      </w:tr>
      <w:tr>
        <w:tc>
          <w:tcPr>
            <w:tcW w:type="dxa" w:w="2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Workspace Member</w:t>
            </w:r>
          </w:p>
        </w:tc>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Workspace</w:t>
            </w:r>
          </w:p>
        </w:tc>
        <w:tc>
          <w:tcPr>
            <w:tcW w:type="dxa" w:w="4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Data Engineers</w:t>
            </w:r>
          </w:p>
        </w:tc>
      </w:tr>
      <w:tr>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Workspace Contributor</w:t>
            </w:r>
          </w:p>
        </w:tc>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Workspace</w:t>
            </w:r>
          </w:p>
        </w:tc>
        <w:tc>
          <w:tcPr>
            <w:tcW w:type="dxa" w:w="4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Data Analysts (authoring workspaces only)</w:t>
            </w:r>
          </w:p>
        </w:tc>
      </w:tr>
      <w:tr>
        <w:tc>
          <w:tcPr>
            <w:tcW w:type="dxa" w:w="2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Workspace Viewer</w:t>
            </w:r>
          </w:p>
        </w:tc>
        <w:tc>
          <w:tcPr>
            <w:tcW w:type="dxa" w:w="2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Workspace</w:t>
            </w:r>
          </w:p>
        </w:tc>
        <w:tc>
          <w:tcPr>
            <w:tcW w:type="dxa" w:w="4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Business Users (via Entra security groups)</w:t>
            </w:r>
          </w:p>
        </w:tc>
      </w:tr>
      <w:tr>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OneLake Storage Reader</w:t>
            </w:r>
          </w:p>
        </w:tc>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Storage Account</w:t>
            </w:r>
          </w:p>
        </w:tc>
        <w:tc>
          <w:tcPr>
            <w:tcW w:type="dxa" w:w="4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External tool integrations (read-only)</w:t>
            </w:r>
          </w:p>
        </w:tc>
      </w:tr>
    </w:tbl>
    <w:p>
      <w:pPr>
        <w:spacing w:after="120" w:before="0"/>
      </w:pPr>
    </w:p>
    <w:p>
      <w:pPr>
        <w:pStyle w:val="Heading2"/>
        <w:spacing w:after="120" w:before="240"/>
      </w:pPr>
      <w:r>
        <w:rPr>
          <w:rFonts w:ascii="Segoe UI" w:cs="Segoe UI" w:eastAsia="Segoe UI" w:hAnsi="Segoe UI"/>
          <w:b/>
          <w:bCs/>
        </w:rPr>
        <w:t xml:space="preserve">7.3 Data Protection</w:t>
      </w:r>
    </w:p>
    <w:p>
      <w:pPr>
        <w:pStyle w:val="ListParagraph"/>
        <w:numPr>
          <w:ilvl w:val="0"/>
          <w:numId w:val="2"/>
        </w:numPr>
        <w:spacing w:after="60" w:before="60"/>
      </w:pPr>
      <w:r>
        <w:rPr>
          <w:rFonts w:ascii="Segoe UI" w:cs="Segoe UI" w:eastAsia="Segoe UI" w:hAnsi="Segoe UI"/>
          <w:sz w:val="22"/>
          <w:szCs w:val="22"/>
        </w:rPr>
        <w:t xml:space="preserve">Encryption at rest: AES-256 via Microsoft-managed keys (default). Customer-Managed Keys (CMK) via Azure Key Vault for Highly Confidential data — validate Fabric CMK support per service.</w:t>
      </w:r>
    </w:p>
    <w:p>
      <w:pPr>
        <w:pStyle w:val="ListParagraph"/>
        <w:numPr>
          <w:ilvl w:val="0"/>
          <w:numId w:val="2"/>
        </w:numPr>
        <w:spacing w:after="60" w:before="60"/>
      </w:pPr>
      <w:r>
        <w:rPr>
          <w:rFonts w:ascii="Segoe UI" w:cs="Segoe UI" w:eastAsia="Segoe UI" w:hAnsi="Segoe UI"/>
          <w:sz w:val="22"/>
          <w:szCs w:val="22"/>
        </w:rPr>
        <w:t xml:space="preserve">Encryption in transit: TLS 1.2 minimum enforced on all endpoints.</w:t>
      </w:r>
    </w:p>
    <w:p>
      <w:pPr>
        <w:pStyle w:val="ListParagraph"/>
        <w:numPr>
          <w:ilvl w:val="0"/>
          <w:numId w:val="2"/>
        </w:numPr>
        <w:spacing w:after="60" w:before="60"/>
      </w:pPr>
      <w:r>
        <w:rPr>
          <w:rFonts w:ascii="Segoe UI" w:cs="Segoe UI" w:eastAsia="Segoe UI" w:hAnsi="Segoe UI"/>
          <w:sz w:val="22"/>
          <w:szCs w:val="22"/>
        </w:rPr>
        <w:t xml:space="preserve">PII data is masked or tokenised at the Silver transformation layer; raw PII only accessible to authorised roles with a documented business need.</w:t>
      </w:r>
    </w:p>
    <w:p>
      <w:pPr>
        <w:pStyle w:val="ListParagraph"/>
        <w:numPr>
          <w:ilvl w:val="0"/>
          <w:numId w:val="2"/>
        </w:numPr>
        <w:spacing w:after="60" w:before="60"/>
      </w:pPr>
      <w:r>
        <w:rPr>
          <w:rFonts w:ascii="Segoe UI" w:cs="Segoe UI" w:eastAsia="Segoe UI" w:hAnsi="Segoe UI"/>
          <w:sz w:val="22"/>
          <w:szCs w:val="22"/>
        </w:rPr>
        <w:t xml:space="preserve">Microsoft Purview sensitivity labels are applied to all data assets and inherited by downstream Power BI reports.</w:t>
      </w:r>
    </w:p>
    <w:p>
      <w:pPr>
        <w:pStyle w:val="ListParagraph"/>
        <w:numPr>
          <w:ilvl w:val="0"/>
          <w:numId w:val="2"/>
        </w:numPr>
        <w:spacing w:after="60" w:before="60"/>
      </w:pPr>
      <w:r>
        <w:rPr>
          <w:rFonts w:ascii="Segoe UI" w:cs="Segoe UI" w:eastAsia="Segoe UI" w:hAnsi="Segoe UI"/>
          <w:sz w:val="22"/>
          <w:szCs w:val="22"/>
        </w:rPr>
        <w:t xml:space="preserve">Data Loss Prevention (DLP) policies are configured in Microsoft Purview to prevent export of Highly Confidential data.</w:t>
      </w:r>
    </w:p>
    <w:p>
      <w:pPr>
        <w:spacing w:after="120" w:before="0"/>
      </w:pPr>
    </w:p>
    <w:p>
      <w:pPr>
        <w:pStyle w:val="Heading2"/>
        <w:spacing w:after="120" w:before="240"/>
      </w:pPr>
      <w:r>
        <w:rPr>
          <w:rFonts w:ascii="Segoe UI" w:cs="Segoe UI" w:eastAsia="Segoe UI" w:hAnsi="Segoe UI"/>
          <w:b/>
          <w:bCs/>
        </w:rPr>
        <w:t xml:space="preserve">7.4 Network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Control</w:t>
            </w:r>
          </w:p>
        </w:tc>
        <w:tc>
          <w:tcPr>
            <w:tcW w:type="dxa" w:w="65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Design Decision</w:t>
            </w:r>
          </w:p>
        </w:tc>
      </w:tr>
      <w:tr>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Private Endpoints</w:t>
            </w:r>
          </w:p>
        </w:tc>
        <w:tc>
          <w:tcPr>
            <w:tcW w:type="dxa" w:w="6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Azure Private Endpoints used for all Fabric and supporting Azure services in production.</w:t>
            </w:r>
          </w:p>
        </w:tc>
      </w:tr>
      <w:tr>
        <w:tc>
          <w:tcPr>
            <w:tcW w:type="dxa" w:w="2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Virtual Network (VNet) Integration</w:t>
            </w:r>
          </w:p>
        </w:tc>
        <w:tc>
          <w:tcPr>
            <w:tcW w:type="dxa" w:w="6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Fabric workloads connect to on-premises via Expressroute / Site-to-Site VPN via On-Premises Data Gateway or Fabric Gateway.</w:t>
            </w:r>
          </w:p>
        </w:tc>
      </w:tr>
      <w:tr>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Public Network Access</w:t>
            </w:r>
          </w:p>
        </w:tc>
        <w:tc>
          <w:tcPr>
            <w:tcW w:type="dxa" w:w="6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Disabled on storage accounts and Azure SQL databases in production. Fabric admin portal access restricted by IP allowlist.</w:t>
            </w:r>
          </w:p>
        </w:tc>
      </w:tr>
      <w:tr>
        <w:tc>
          <w:tcPr>
            <w:tcW w:type="dxa" w:w="2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Firewall / NSG</w:t>
            </w:r>
          </w:p>
        </w:tc>
        <w:tc>
          <w:tcPr>
            <w:tcW w:type="dxa" w:w="6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NSG rules restrict inbound/outbound traffic to known CIDRs. Azure Firewall Premium for egress inspection in production.</w:t>
            </w:r>
          </w:p>
        </w:tc>
      </w:tr>
      <w:tr>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On-Premises Data Gateway</w:t>
            </w:r>
          </w:p>
        </w:tc>
        <w:tc>
          <w:tcPr>
            <w:tcW w:type="dxa" w:w="6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Deployed in HA pair for hybrid connectivity to on-premises sources. Maintained by Cloud Platform team.</w:t>
            </w:r>
          </w:p>
        </w:tc>
      </w:tr>
    </w:tbl>
    <w:p>
      <w:pPr>
        <w:spacing w:after="120" w:before="0"/>
      </w:pPr>
    </w:p>
    <w:p>
      <w:pPr>
        <w:pStyle w:val="Heading2"/>
        <w:spacing w:after="120" w:before="240"/>
      </w:pPr>
      <w:r>
        <w:rPr>
          <w:rFonts w:ascii="Segoe UI" w:cs="Segoe UI" w:eastAsia="Segoe UI" w:hAnsi="Segoe UI"/>
          <w:b/>
          <w:bCs/>
        </w:rPr>
        <w:t xml:space="preserve">7.5 Audit &amp; Compliance</w:t>
      </w:r>
    </w:p>
    <w:p>
      <w:pPr>
        <w:pStyle w:val="ListParagraph"/>
        <w:numPr>
          <w:ilvl w:val="0"/>
          <w:numId w:val="2"/>
        </w:numPr>
        <w:spacing w:after="60" w:before="60"/>
      </w:pPr>
      <w:r>
        <w:rPr>
          <w:rFonts w:ascii="Segoe UI" w:cs="Segoe UI" w:eastAsia="Segoe UI" w:hAnsi="Segoe UI"/>
          <w:sz w:val="22"/>
          <w:szCs w:val="22"/>
        </w:rPr>
        <w:t xml:space="preserve">Microsoft Fabric unified audit log is enabled and forwarded to Log Analytics Workspace for 90-day retention (production).</w:t>
      </w:r>
    </w:p>
    <w:p>
      <w:pPr>
        <w:pStyle w:val="ListParagraph"/>
        <w:numPr>
          <w:ilvl w:val="0"/>
          <w:numId w:val="2"/>
        </w:numPr>
        <w:spacing w:after="60" w:before="60"/>
      </w:pPr>
      <w:r>
        <w:rPr>
          <w:rFonts w:ascii="Segoe UI" w:cs="Segoe UI" w:eastAsia="Segoe UI" w:hAnsi="Segoe UI"/>
          <w:sz w:val="22"/>
          <w:szCs w:val="22"/>
        </w:rPr>
        <w:t xml:space="preserve">Azure Monitor Diagnostic Settings enabled on all supporting Azure resources.</w:t>
      </w:r>
    </w:p>
    <w:p>
      <w:pPr>
        <w:pStyle w:val="ListParagraph"/>
        <w:numPr>
          <w:ilvl w:val="0"/>
          <w:numId w:val="2"/>
        </w:numPr>
        <w:spacing w:after="60" w:before="60"/>
      </w:pPr>
      <w:r>
        <w:rPr>
          <w:rFonts w:ascii="Segoe UI" w:cs="Segoe UI" w:eastAsia="Segoe UI" w:hAnsi="Segoe UI"/>
          <w:sz w:val="22"/>
          <w:szCs w:val="22"/>
        </w:rPr>
        <w:t xml:space="preserve">Purview Data Audit provides query-level lineage and access logging for sensitive data assets.</w:t>
      </w:r>
    </w:p>
    <w:p>
      <w:pPr>
        <w:pStyle w:val="ListParagraph"/>
        <w:numPr>
          <w:ilvl w:val="0"/>
          <w:numId w:val="2"/>
        </w:numPr>
        <w:spacing w:after="60" w:before="60"/>
      </w:pPr>
      <w:r>
        <w:rPr>
          <w:rFonts w:ascii="Segoe UI" w:cs="Segoe UI" w:eastAsia="Segoe UI" w:hAnsi="Segoe UI"/>
          <w:sz w:val="22"/>
          <w:szCs w:val="22"/>
        </w:rPr>
        <w:t xml:space="preserve">Quarterly access reviews are conducted for all workspace roles using Entra ID Access Reviews.</w:t>
      </w:r>
    </w:p>
    <w:p>
      <w:pPr>
        <w:spacing w:after="120" w:before="0"/>
      </w:pPr>
    </w:p>
    <w:p>
      <w:r>
        <w:br w:type="page"/>
      </w:r>
    </w:p>
    <w:p>
      <w:pPr>
        <w:pStyle w:val="Heading1"/>
        <w:spacing w:after="120" w:before="400"/>
      </w:pPr>
      <w:r>
        <w:rPr>
          <w:rFonts w:ascii="Segoe UI" w:cs="Segoe UI" w:eastAsia="Segoe UI" w:hAnsi="Segoe UI"/>
          <w:b/>
          <w:bCs/>
        </w:rPr>
        <w:t xml:space="preserve">8. Data Governance</w:t>
      </w:r>
    </w:p>
    <w:p>
      <w:pPr>
        <w:pStyle w:val="Heading2"/>
        <w:spacing w:after="120" w:before="240"/>
      </w:pPr>
      <w:r>
        <w:rPr>
          <w:rFonts w:ascii="Segoe UI" w:cs="Segoe UI" w:eastAsia="Segoe UI" w:hAnsi="Segoe UI"/>
          <w:b/>
          <w:bCs/>
        </w:rPr>
        <w:t xml:space="preserve">8.1 Microsoft Purview Integration</w:t>
      </w:r>
    </w:p>
    <w:p>
      <w:pPr>
        <w:spacing w:after="120" w:before="80"/>
      </w:pPr>
      <w:r>
        <w:rPr>
          <w:rFonts w:ascii="Segoe UI" w:cs="Segoe UI" w:eastAsia="Segoe UI" w:hAnsi="Segoe UI"/>
          <w:sz w:val="22"/>
          <w:szCs w:val="22"/>
        </w:rPr>
        <w:t xml:space="preserve">Microsoft Purview is the enterprise data governance platform integrated with Microsoft Fabric. It provides automated lineage, data cataloguing, classification, and access policy management.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Purview Capability</w:t>
            </w:r>
          </w:p>
        </w:tc>
        <w:tc>
          <w:tcPr>
            <w:tcW w:type="dxa" w:w="63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Use</w:t>
            </w:r>
          </w:p>
        </w:tc>
      </w:tr>
      <w:tr>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Data Map &amp; Scanning</w:t>
            </w:r>
          </w:p>
        </w:tc>
        <w:tc>
          <w:tcPr>
            <w:tcW w:type="dxa" w:w="6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Automated scanning of OneLake, Fabric Lakehouse, and Fabric Data Warehouse items.</w:t>
            </w:r>
          </w:p>
        </w:tc>
      </w:tr>
      <w:tr>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Data Catalog</w:t>
            </w:r>
          </w:p>
        </w:tc>
        <w:tc>
          <w:tcPr>
            <w:tcW w:type="dxa" w:w="6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Business glossary and curated collection of certified data assets for self-service discovery.</w:t>
            </w:r>
          </w:p>
        </w:tc>
      </w:tr>
      <w:tr>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Data Lineage</w:t>
            </w:r>
          </w:p>
        </w:tc>
        <w:tc>
          <w:tcPr>
            <w:tcW w:type="dxa" w:w="6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End-to-end lineage from source system through Bronze / Silver / Gold to Power BI report.</w:t>
            </w:r>
          </w:p>
        </w:tc>
      </w:tr>
      <w:tr>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Sensitivity Labels</w:t>
            </w:r>
          </w:p>
        </w:tc>
        <w:tc>
          <w:tcPr>
            <w:tcW w:type="dxa" w:w="6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Microsoft Information Protection (MIP) labels applied to assets and inherited by Fabric items.</w:t>
            </w:r>
          </w:p>
        </w:tc>
      </w:tr>
      <w:tr>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Data Quality (Purview)</w:t>
            </w:r>
          </w:p>
        </w:tc>
        <w:tc>
          <w:tcPr>
            <w:tcW w:type="dxa" w:w="6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Integration with Fabric DQ results for a unified quality view.</w:t>
            </w:r>
          </w:p>
        </w:tc>
      </w:tr>
      <w:tr>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Access Policies</w:t>
            </w:r>
          </w:p>
        </w:tc>
        <w:tc>
          <w:tcPr>
            <w:tcW w:type="dxa" w:w="6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Self-service data access requests managed via Purview access policies.</w:t>
            </w:r>
          </w:p>
        </w:tc>
      </w:tr>
    </w:tbl>
    <w:p>
      <w:pPr>
        <w:spacing w:after="120" w:before="0"/>
      </w:pPr>
    </w:p>
    <w:p>
      <w:pPr>
        <w:pStyle w:val="Heading2"/>
        <w:spacing w:after="120" w:before="240"/>
      </w:pPr>
      <w:r>
        <w:rPr>
          <w:rFonts w:ascii="Segoe UI" w:cs="Segoe UI" w:eastAsia="Segoe UI" w:hAnsi="Segoe UI"/>
          <w:b/>
          <w:bCs/>
        </w:rPr>
        <w:t xml:space="preserve">8.2 Business Glossary</w:t>
      </w:r>
    </w:p>
    <w:p>
      <w:pPr>
        <w:pStyle w:val="ListParagraph"/>
        <w:numPr>
          <w:ilvl w:val="0"/>
          <w:numId w:val="2"/>
        </w:numPr>
        <w:spacing w:after="60" w:before="60"/>
      </w:pPr>
      <w:r>
        <w:rPr>
          <w:rFonts w:ascii="Segoe UI" w:cs="Segoe UI" w:eastAsia="Segoe UI" w:hAnsi="Segoe UI"/>
          <w:sz w:val="22"/>
          <w:szCs w:val="22"/>
        </w:rPr>
        <w:t xml:space="preserve">A centralised business glossary is maintained in Microsoft Purview.</w:t>
      </w:r>
    </w:p>
    <w:p>
      <w:pPr>
        <w:pStyle w:val="ListParagraph"/>
        <w:numPr>
          <w:ilvl w:val="0"/>
          <w:numId w:val="2"/>
        </w:numPr>
        <w:spacing w:after="60" w:before="60"/>
      </w:pPr>
      <w:r>
        <w:rPr>
          <w:rFonts w:ascii="Segoe UI" w:cs="Segoe UI" w:eastAsia="Segoe UI" w:hAnsi="Segoe UI"/>
          <w:sz w:val="22"/>
          <w:szCs w:val="22"/>
        </w:rPr>
        <w:t xml:space="preserve">Each certified term includes: definition, owner, data steward, associated assets, and related terms.</w:t>
      </w:r>
    </w:p>
    <w:p>
      <w:pPr>
        <w:pStyle w:val="ListParagraph"/>
        <w:numPr>
          <w:ilvl w:val="0"/>
          <w:numId w:val="2"/>
        </w:numPr>
        <w:spacing w:after="60" w:before="60"/>
      </w:pPr>
      <w:r>
        <w:rPr>
          <w:rFonts w:ascii="Segoe UI" w:cs="Segoe UI" w:eastAsia="Segoe UI" w:hAnsi="Segoe UI"/>
          <w:sz w:val="22"/>
          <w:szCs w:val="22"/>
        </w:rPr>
        <w:t xml:space="preserve">Gold layer entities and Power BI semantic model measures must have a corresponding glossary term before certification.</w:t>
      </w:r>
    </w:p>
    <w:p>
      <w:pPr>
        <w:pStyle w:val="ListParagraph"/>
        <w:numPr>
          <w:ilvl w:val="0"/>
          <w:numId w:val="2"/>
        </w:numPr>
        <w:spacing w:after="60" w:before="60"/>
      </w:pPr>
      <w:r>
        <w:rPr>
          <w:rFonts w:ascii="Segoe UI" w:cs="Segoe UI" w:eastAsia="Segoe UI" w:hAnsi="Segoe UI"/>
          <w:sz w:val="22"/>
          <w:szCs w:val="22"/>
        </w:rPr>
        <w:t xml:space="preserve">[Define glossary governance process and review cadence]</w:t>
      </w:r>
    </w:p>
    <w:p>
      <w:pPr>
        <w:spacing w:after="120" w:before="0"/>
      </w:pPr>
    </w:p>
    <w:p>
      <w:pPr>
        <w:pStyle w:val="Heading2"/>
        <w:spacing w:after="120" w:before="240"/>
      </w:pPr>
      <w:r>
        <w:rPr>
          <w:rFonts w:ascii="Segoe UI" w:cs="Segoe UI" w:eastAsia="Segoe UI" w:hAnsi="Segoe UI"/>
          <w:b/>
          <w:bCs/>
        </w:rPr>
        <w:t xml:space="preserve">8.3 Data Certification &amp; Endorsement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Endorsement Level</w:t>
            </w:r>
          </w:p>
        </w:tc>
        <w:tc>
          <w:tcPr>
            <w:tcW w:type="dxa" w:w="4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Criteria</w:t>
            </w:r>
          </w:p>
        </w:tc>
        <w:tc>
          <w:tcPr>
            <w:tcW w:type="dxa" w:w="28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Granted By</w:t>
            </w:r>
          </w:p>
        </w:tc>
      </w:tr>
      <w:tr>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Promoted</w:t>
            </w:r>
          </w:p>
        </w:tc>
        <w:tc>
          <w:tcPr>
            <w:tcW w:type="dxa" w:w="4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Data asset is usable and maintained by the publishing team.</w:t>
            </w:r>
          </w:p>
        </w:tc>
        <w:tc>
          <w:tcPr>
            <w:tcW w:type="dxa" w:w="28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Asset Owner</w:t>
            </w:r>
          </w:p>
        </w:tc>
      </w:tr>
      <w:tr>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Certified</w:t>
            </w:r>
          </w:p>
        </w:tc>
        <w:tc>
          <w:tcPr>
            <w:tcW w:type="dxa" w:w="4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Asset meets enterprise quality, security, and documentation standards.</w:t>
            </w:r>
          </w:p>
        </w:tc>
        <w:tc>
          <w:tcPr>
            <w:tcW w:type="dxa" w:w="28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Data Governance Committee / Central Team</w:t>
            </w:r>
          </w:p>
        </w:tc>
      </w:tr>
    </w:tbl>
    <w:p>
      <w:pPr>
        <w:spacing w:after="120" w:before="0"/>
      </w:pPr>
    </w:p>
    <w:p>
      <w:pPr>
        <w:pStyle w:val="Heading2"/>
        <w:spacing w:after="120" w:before="240"/>
      </w:pPr>
      <w:r>
        <w:rPr>
          <w:rFonts w:ascii="Segoe UI" w:cs="Segoe UI" w:eastAsia="Segoe UI" w:hAnsi="Segoe UI"/>
          <w:b/>
          <w:bCs/>
        </w:rPr>
        <w:t xml:space="preserve">8.4 Data Lifecycle Management</w:t>
      </w:r>
    </w:p>
    <w:p>
      <w:pPr>
        <w:pStyle w:val="ListParagraph"/>
        <w:numPr>
          <w:ilvl w:val="0"/>
          <w:numId w:val="2"/>
        </w:numPr>
        <w:spacing w:after="60" w:before="60"/>
      </w:pPr>
      <w:r>
        <w:rPr>
          <w:rFonts w:ascii="Segoe UI" w:cs="Segoe UI" w:eastAsia="Segoe UI" w:hAnsi="Segoe UI"/>
          <w:sz w:val="22"/>
          <w:szCs w:val="22"/>
        </w:rPr>
        <w:t xml:space="preserve">Retention policies are defined per data classification and regulatory requirement.</w:t>
      </w:r>
    </w:p>
    <w:p>
      <w:pPr>
        <w:pStyle w:val="ListParagraph"/>
        <w:numPr>
          <w:ilvl w:val="0"/>
          <w:numId w:val="2"/>
        </w:numPr>
        <w:spacing w:after="60" w:before="60"/>
      </w:pPr>
      <w:r>
        <w:rPr>
          <w:rFonts w:ascii="Segoe UI" w:cs="Segoe UI" w:eastAsia="Segoe UI" w:hAnsi="Segoe UI"/>
          <w:sz w:val="22"/>
          <w:szCs w:val="22"/>
        </w:rPr>
        <w:t xml:space="preserve">OneLake data lifecycle is managed via Azure Blob Storage lifecycle rules (Hot &gt; Cool &gt; Archive &gt; Delete).</w:t>
      </w:r>
    </w:p>
    <w:p>
      <w:pPr>
        <w:pStyle w:val="ListParagraph"/>
        <w:numPr>
          <w:ilvl w:val="0"/>
          <w:numId w:val="2"/>
        </w:numPr>
        <w:spacing w:after="60" w:before="60"/>
      </w:pPr>
      <w:r>
        <w:rPr>
          <w:rFonts w:ascii="Segoe UI" w:cs="Segoe UI" w:eastAsia="Segoe UI" w:hAnsi="Segoe UI"/>
          <w:sz w:val="22"/>
          <w:szCs w:val="22"/>
        </w:rPr>
        <w:t xml:space="preserve">Delta table VACUUM runs on a scheduled basis to remove stale files (default 7-day retention applied; extend for regulated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Layer</w:t>
            </w:r>
          </w:p>
        </w:tc>
        <w:tc>
          <w:tcPr>
            <w:tcW w:type="dxa" w:w="68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Retention Period</w:t>
            </w:r>
          </w:p>
        </w:tc>
      </w:tr>
      <w:tr>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Bronze (Raw)</w:t>
            </w:r>
          </w:p>
        </w:tc>
        <w:tc>
          <w:tcPr>
            <w:tcW w:type="dxa" w:w="68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[e.g., 7 years for finance data; 2 years for operational logs]</w:t>
            </w:r>
          </w:p>
        </w:tc>
      </w:tr>
      <w:tr>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Silver (Cleansed)</w:t>
            </w:r>
          </w:p>
        </w:tc>
        <w:tc>
          <w:tcPr>
            <w:tcW w:type="dxa" w:w="68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[e.g., 7 years]</w:t>
            </w:r>
          </w:p>
        </w:tc>
      </w:tr>
      <w:tr>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Gold (Curated)</w:t>
            </w:r>
          </w:p>
        </w:tc>
        <w:tc>
          <w:tcPr>
            <w:tcW w:type="dxa" w:w="68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[e.g., 7 years or per business requirement]</w:t>
            </w:r>
          </w:p>
        </w:tc>
      </w:tr>
    </w:tbl>
    <w:p>
      <w:pPr>
        <w:spacing w:after="120" w:before="0"/>
      </w:pPr>
    </w:p>
    <w:p>
      <w:r>
        <w:br w:type="page"/>
      </w:r>
    </w:p>
    <w:p>
      <w:pPr>
        <w:pStyle w:val="Heading1"/>
        <w:spacing w:after="120" w:before="400"/>
      </w:pPr>
      <w:r>
        <w:rPr>
          <w:rFonts w:ascii="Segoe UI" w:cs="Segoe UI" w:eastAsia="Segoe UI" w:hAnsi="Segoe UI"/>
          <w:b/>
          <w:bCs/>
        </w:rPr>
        <w:t xml:space="preserve">9. Monitoring &amp; Operations</w:t>
      </w:r>
    </w:p>
    <w:p>
      <w:pPr>
        <w:pStyle w:val="Heading2"/>
        <w:spacing w:after="120" w:before="240"/>
      </w:pPr>
      <w:r>
        <w:rPr>
          <w:rFonts w:ascii="Segoe UI" w:cs="Segoe UI" w:eastAsia="Segoe UI" w:hAnsi="Segoe UI"/>
          <w:b/>
          <w:bCs/>
        </w:rPr>
        <w:t xml:space="preserve">9.1 Monitoring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Monitoring Area</w:t>
            </w:r>
          </w:p>
        </w:tc>
        <w:tc>
          <w:tcPr>
            <w:tcW w:type="dxa" w:w="2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Tool</w:t>
            </w:r>
          </w:p>
        </w:tc>
        <w:tc>
          <w:tcPr>
            <w:tcW w:type="dxa" w:w="43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Details</w:t>
            </w:r>
          </w:p>
        </w:tc>
      </w:tr>
      <w:tr>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Fabric Capacity Utilisation</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Fabric Capacity Metrics App</w:t>
            </w:r>
          </w:p>
        </w:tc>
        <w:tc>
          <w:tcPr>
            <w:tcW w:type="dxa" w:w="4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CU consumption, throttling, smoothing. Alerts at 80% / 100% thresholds.</w:t>
            </w:r>
          </w:p>
        </w:tc>
      </w:tr>
      <w:tr>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Pipeline Execution</w:t>
            </w:r>
          </w:p>
        </w:tc>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Fabric Monitoring Hub + Azure Monitor</w:t>
            </w:r>
          </w:p>
        </w:tc>
        <w:tc>
          <w:tcPr>
            <w:tcW w:type="dxa" w:w="4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Success/failure/duration. Alert on 3 consecutive failures or SLA breach.</w:t>
            </w:r>
          </w:p>
        </w:tc>
      </w:tr>
      <w:tr>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Notebook &amp; Spark Jobs</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Fabric Monitoring Hub, Log Analytics</w:t>
            </w:r>
          </w:p>
        </w:tc>
        <w:tc>
          <w:tcPr>
            <w:tcW w:type="dxa" w:w="4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Execution time, resource consumption, exception tracking.</w:t>
            </w:r>
          </w:p>
        </w:tc>
      </w:tr>
      <w:tr>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Data Quality</w:t>
            </w:r>
          </w:p>
        </w:tc>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Custom Power BI DQ Dashboard</w:t>
            </w:r>
          </w:p>
        </w:tc>
        <w:tc>
          <w:tcPr>
            <w:tcW w:type="dxa" w:w="4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DQ score per domain, trend over time, breach alerting.</w:t>
            </w:r>
          </w:p>
        </w:tc>
      </w:tr>
      <w:tr>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Cost Management</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Azure Cost Management + Tags</w:t>
            </w:r>
          </w:p>
        </w:tc>
        <w:tc>
          <w:tcPr>
            <w:tcW w:type="dxa" w:w="4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Chargeback reporting by domain, workspace, and environment.</w:t>
            </w:r>
          </w:p>
        </w:tc>
      </w:tr>
      <w:tr>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Security &amp; Audit</w:t>
            </w:r>
          </w:p>
        </w:tc>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Microsoft Sentinel / Log Analytics</w:t>
            </w:r>
          </w:p>
        </w:tc>
        <w:tc>
          <w:tcPr>
            <w:tcW w:type="dxa" w:w="43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Unified audit log ingestion, anomaly detection, threat alerts.</w:t>
            </w:r>
          </w:p>
        </w:tc>
      </w:tr>
      <w:tr>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Power BI Report Usage</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Fabric Admin API + Usage Metrics</w:t>
            </w:r>
          </w:p>
        </w:tc>
        <w:tc>
          <w:tcPr>
            <w:tcW w:type="dxa" w:w="4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Report views, user adoption, stale report identification.</w:t>
            </w:r>
          </w:p>
        </w:tc>
      </w:tr>
    </w:tbl>
    <w:p>
      <w:pPr>
        <w:spacing w:after="120" w:before="0"/>
      </w:pPr>
    </w:p>
    <w:p>
      <w:pPr>
        <w:pStyle w:val="Heading2"/>
        <w:spacing w:after="120" w:before="240"/>
      </w:pPr>
      <w:r>
        <w:rPr>
          <w:rFonts w:ascii="Segoe UI" w:cs="Segoe UI" w:eastAsia="Segoe UI" w:hAnsi="Segoe UI"/>
          <w:b/>
          <w:bCs/>
        </w:rPr>
        <w:t xml:space="preserve">9.2 Alerting &amp;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rPr>
          <w:tblHeader/>
        </w:trPr>
        <w:tc>
          <w:tcPr>
            <w:tcW w:type="dxa" w:w="2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Alert Condition</w:t>
            </w:r>
          </w:p>
        </w:tc>
        <w:tc>
          <w:tcPr>
            <w:tcW w:type="dxa" w:w="1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Severity</w:t>
            </w:r>
          </w:p>
        </w:tc>
        <w:tc>
          <w:tcPr>
            <w:tcW w:type="dxa" w:w="2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Notification Channel</w:t>
            </w:r>
          </w:p>
        </w:tc>
        <w:tc>
          <w:tcPr>
            <w:tcW w:type="dxa" w:w="28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Escalation</w:t>
            </w:r>
          </w:p>
        </w:tc>
      </w:tr>
      <w:tr>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Pipeline failure (P1 domain)</w:t>
            </w:r>
          </w:p>
        </w:tc>
        <w:tc>
          <w:tcPr>
            <w:tcW w:type="dxa" w:w="1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Critical</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PagerDuty / Teams Channel</w:t>
            </w:r>
          </w:p>
        </w:tc>
        <w:tc>
          <w:tcPr>
            <w:tcW w:type="dxa" w:w="28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On-call engineer → Domain Lead within 15 mins</w:t>
            </w:r>
          </w:p>
        </w:tc>
      </w:tr>
      <w:tr>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Capacity throttling &gt; 15 mins</w:t>
            </w:r>
          </w:p>
        </w:tc>
        <w:tc>
          <w:tcPr>
            <w:tcW w:type="dxa" w:w="1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High</w:t>
            </w:r>
          </w:p>
        </w:tc>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Teams Alert + Email</w:t>
            </w:r>
          </w:p>
        </w:tc>
        <w:tc>
          <w:tcPr>
            <w:tcW w:type="dxa" w:w="28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Platform Lead within 30 mins</w:t>
            </w:r>
          </w:p>
        </w:tc>
      </w:tr>
      <w:tr>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DQ score below threshold</w:t>
            </w:r>
          </w:p>
        </w:tc>
        <w:tc>
          <w:tcPr>
            <w:tcW w:type="dxa" w:w="1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Medium</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Teams Channel + Email to Data Owner</w:t>
            </w:r>
          </w:p>
        </w:tc>
        <w:tc>
          <w:tcPr>
            <w:tcW w:type="dxa" w:w="28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Data Owner within 2 hours</w:t>
            </w:r>
          </w:p>
        </w:tc>
      </w:tr>
      <w:tr>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Security anomaly detected</w:t>
            </w:r>
          </w:p>
        </w:tc>
        <w:tc>
          <w:tcPr>
            <w:tcW w:type="dxa" w:w="1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Critical</w:t>
            </w:r>
          </w:p>
        </w:tc>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SIEM Alert + SecOps Email</w:t>
            </w:r>
          </w:p>
        </w:tc>
        <w:tc>
          <w:tcPr>
            <w:tcW w:type="dxa" w:w="28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SecOps team immediately</w:t>
            </w:r>
          </w:p>
        </w:tc>
      </w:tr>
      <w:tr>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Pipeline SLA breach</w:t>
            </w:r>
          </w:p>
        </w:tc>
        <w:tc>
          <w:tcPr>
            <w:tcW w:type="dxa" w:w="1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High</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Teams Channel</w:t>
            </w:r>
          </w:p>
        </w:tc>
        <w:tc>
          <w:tcPr>
            <w:tcW w:type="dxa" w:w="28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Platform Lead within 1 hour</w:t>
            </w:r>
          </w:p>
        </w:tc>
      </w:tr>
    </w:tbl>
    <w:p>
      <w:pPr>
        <w:spacing w:after="120" w:before="0"/>
      </w:pPr>
    </w:p>
    <w:p>
      <w:pPr>
        <w:pStyle w:val="Heading2"/>
        <w:spacing w:after="120" w:before="240"/>
      </w:pPr>
      <w:r>
        <w:rPr>
          <w:rFonts w:ascii="Segoe UI" w:cs="Segoe UI" w:eastAsia="Segoe UI" w:hAnsi="Segoe UI"/>
          <w:b/>
          <w:bCs/>
        </w:rPr>
        <w:t xml:space="preserve">9.3 SLA &amp; SLO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Service</w:t>
            </w:r>
          </w:p>
        </w:tc>
        <w:tc>
          <w:tcPr>
            <w:tcW w:type="dxa" w:w="3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SLO</w:t>
            </w:r>
          </w:p>
        </w:tc>
        <w:tc>
          <w:tcPr>
            <w:tcW w:type="dxa" w:w="28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Measurement Window</w:t>
            </w:r>
          </w:p>
        </w:tc>
      </w:tr>
      <w:tr>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Gold layer data availability (P1 domains)</w:t>
            </w:r>
          </w:p>
        </w:tc>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99.5% monthly availability</w:t>
            </w:r>
          </w:p>
        </w:tc>
        <w:tc>
          <w:tcPr>
            <w:tcW w:type="dxa" w:w="28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Monthly</w:t>
            </w:r>
          </w:p>
        </w:tc>
      </w:tr>
      <w:tr>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P1 pipeline completion by business start (09:00)</w:t>
            </w:r>
          </w:p>
        </w:tc>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&gt;=98% on-time completion</w:t>
            </w:r>
          </w:p>
        </w:tc>
        <w:tc>
          <w:tcPr>
            <w:tcW w:type="dxa" w:w="28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Monthly</w:t>
            </w:r>
          </w:p>
        </w:tc>
      </w:tr>
      <w:tr>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Fabric capacity availability</w:t>
            </w:r>
          </w:p>
        </w:tc>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Per Microsoft SLA (99.9%)</w:t>
            </w:r>
          </w:p>
        </w:tc>
        <w:tc>
          <w:tcPr>
            <w:tcW w:type="dxa" w:w="28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Monthly</w:t>
            </w:r>
          </w:p>
        </w:tc>
      </w:tr>
      <w:tr>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Incident response (Critical)</w:t>
            </w:r>
          </w:p>
        </w:tc>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15 minutes acknowledgement</w:t>
            </w:r>
          </w:p>
        </w:tc>
        <w:tc>
          <w:tcPr>
            <w:tcW w:type="dxa" w:w="28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Per incident</w:t>
            </w:r>
          </w:p>
        </w:tc>
      </w:tr>
      <w:tr>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Semantic model refresh SLA</w:t>
            </w:r>
          </w:p>
        </w:tc>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[Define per model]</w:t>
            </w:r>
          </w:p>
        </w:tc>
        <w:tc>
          <w:tcPr>
            <w:tcW w:type="dxa" w:w="28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Daily</w:t>
            </w:r>
          </w:p>
        </w:tc>
      </w:tr>
    </w:tbl>
    <w:p>
      <w:pPr>
        <w:spacing w:after="120" w:before="0"/>
      </w:pPr>
    </w:p>
    <w:p>
      <w:pPr>
        <w:pStyle w:val="Heading2"/>
        <w:spacing w:after="120" w:before="240"/>
      </w:pPr>
      <w:r>
        <w:rPr>
          <w:rFonts w:ascii="Segoe UI" w:cs="Segoe UI" w:eastAsia="Segoe UI" w:hAnsi="Segoe UI"/>
          <w:b/>
          <w:bCs/>
        </w:rPr>
        <w:t xml:space="preserve">9.4 Deployment &amp; Release Management</w:t>
      </w:r>
    </w:p>
    <w:p>
      <w:pPr>
        <w:pStyle w:val="ListParagraph"/>
        <w:numPr>
          <w:ilvl w:val="0"/>
          <w:numId w:val="2"/>
        </w:numPr>
        <w:spacing w:after="60" w:before="60"/>
      </w:pPr>
      <w:r>
        <w:rPr>
          <w:rFonts w:ascii="Segoe UI" w:cs="Segoe UI" w:eastAsia="Segoe UI" w:hAnsi="Segoe UI"/>
          <w:sz w:val="22"/>
          <w:szCs w:val="22"/>
        </w:rPr>
        <w:t xml:space="preserve">All infrastructure is deployed as Infrastructure-as-Code (IaC) using Azure Bicep or Terraform, version-controlled in Azure DevOps.</w:t>
      </w:r>
    </w:p>
    <w:p>
      <w:pPr>
        <w:pStyle w:val="ListParagraph"/>
        <w:numPr>
          <w:ilvl w:val="0"/>
          <w:numId w:val="2"/>
        </w:numPr>
        <w:spacing w:after="60" w:before="60"/>
      </w:pPr>
      <w:r>
        <w:rPr>
          <w:rFonts w:ascii="Segoe UI" w:cs="Segoe UI" w:eastAsia="Segoe UI" w:hAnsi="Segoe UI"/>
          <w:sz w:val="22"/>
          <w:szCs w:val="22"/>
        </w:rPr>
        <w:t xml:space="preserve">Fabric item deployment (Notebooks, Pipelines, Dataflows) is managed via Fabric Deployment Pipelines (Dev &gt; Test &gt; Production).</w:t>
      </w:r>
    </w:p>
    <w:p>
      <w:pPr>
        <w:pStyle w:val="ListParagraph"/>
        <w:numPr>
          <w:ilvl w:val="0"/>
          <w:numId w:val="2"/>
        </w:numPr>
        <w:spacing w:after="60" w:before="60"/>
      </w:pPr>
      <w:r>
        <w:rPr>
          <w:rFonts w:ascii="Segoe UI" w:cs="Segoe UI" w:eastAsia="Segoe UI" w:hAnsi="Segoe UI"/>
          <w:sz w:val="22"/>
          <w:szCs w:val="22"/>
        </w:rPr>
        <w:t xml:space="preserve">CI/CD pipelines validate, test, and deploy changes with approval gates before production promotion.</w:t>
      </w:r>
    </w:p>
    <w:p>
      <w:pPr>
        <w:pStyle w:val="ListParagraph"/>
        <w:numPr>
          <w:ilvl w:val="0"/>
          <w:numId w:val="2"/>
        </w:numPr>
        <w:spacing w:after="60" w:before="60"/>
      </w:pPr>
      <w:r>
        <w:rPr>
          <w:rFonts w:ascii="Segoe UI" w:cs="Segoe UI" w:eastAsia="Segoe UI" w:hAnsi="Segoe UI"/>
          <w:sz w:val="22"/>
          <w:szCs w:val="22"/>
        </w:rPr>
        <w:t xml:space="preserve">Hotfix process: critical production fixes follow an expedited review and deployment process with dual approval.</w:t>
      </w:r>
    </w:p>
    <w:p>
      <w:pPr>
        <w:pStyle w:val="ListParagraph"/>
        <w:numPr>
          <w:ilvl w:val="0"/>
          <w:numId w:val="2"/>
        </w:numPr>
        <w:spacing w:after="60" w:before="60"/>
      </w:pPr>
      <w:r>
        <w:rPr>
          <w:rFonts w:ascii="Segoe UI" w:cs="Segoe UI" w:eastAsia="Segoe UI" w:hAnsi="Segoe UI"/>
          <w:sz w:val="22"/>
          <w:szCs w:val="22"/>
        </w:rPr>
        <w:t xml:space="preserve">[Define branching strategy: e.g., GitFlow or trunk-based development]</w:t>
      </w:r>
    </w:p>
    <w:p>
      <w:pPr>
        <w:spacing w:after="120" w:before="0"/>
      </w:pPr>
    </w:p>
    <w:p>
      <w:r>
        <w:br w:type="page"/>
      </w:r>
    </w:p>
    <w:p>
      <w:pPr>
        <w:pStyle w:val="Heading1"/>
        <w:spacing w:after="120" w:before="400"/>
      </w:pPr>
      <w:r>
        <w:rPr>
          <w:rFonts w:ascii="Segoe UI" w:cs="Segoe UI" w:eastAsia="Segoe UI" w:hAnsi="Segoe UI"/>
          <w:b/>
          <w:bCs/>
        </w:rPr>
        <w:t xml:space="preserve">10. Cost Management</w:t>
      </w:r>
    </w:p>
    <w:p>
      <w:pPr>
        <w:pStyle w:val="Heading2"/>
        <w:spacing w:after="120" w:before="240"/>
      </w:pPr>
      <w:r>
        <w:rPr>
          <w:rFonts w:ascii="Segoe UI" w:cs="Segoe UI" w:eastAsia="Segoe UI" w:hAnsi="Segoe UI"/>
          <w:b/>
          <w:bCs/>
        </w:rPr>
        <w:t xml:space="preserve">10.1 Cost Estimation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0078D4" w:sz="6"/>
              <w:bottom w:val="single" w:color="0078D4" w:sz="6"/>
              <w:right w:val="single" w:color="0078D4" w:sz="6"/>
            </w:tcBorders>
            <w:shd w:fill="D0E7F8" w:val="clear"/>
            <w:tcMar>
              <w:top w:type="dxa" w:w="100"/>
              <w:left w:type="dxa" w:w="160"/>
              <w:bottom w:type="dxa" w:w="100"/>
              <w:right w:type="dxa" w:w="160"/>
            </w:tcMar>
          </w:tcPr>
          <w:p>
            <w:pPr>
              <w:spacing w:after="40" w:before="40"/>
            </w:pPr>
            <w:r>
              <w:rPr>
                <w:rFonts w:ascii="Segoe UI" w:cs="Segoe UI" w:eastAsia="Segoe UI" w:hAnsi="Segoe UI"/>
                <w:b/>
                <w:bCs/>
                <w:color w:val="003060"/>
                <w:sz w:val="20"/>
                <w:szCs w:val="20"/>
              </w:rPr>
              <w:t xml:space="preserve">Note: </w:t>
            </w:r>
            <w:r>
              <w:rPr>
                <w:rFonts w:ascii="Segoe UI" w:cs="Segoe UI" w:eastAsia="Segoe UI" w:hAnsi="Segoe UI"/>
                <w:color w:val="003060"/>
                <w:sz w:val="20"/>
                <w:szCs w:val="20"/>
              </w:rPr>
              <w:t xml:space="preserve">The following is a high-level indicative cost framework. Detailed cost modelling should be completed using the Azure Pricing Calculator and validated against organisational consumption projections.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Cost Component</w:t>
            </w:r>
          </w:p>
        </w:tc>
        <w:tc>
          <w:tcPr>
            <w:tcW w:type="dxa" w:w="3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Basis</w:t>
            </w:r>
          </w:p>
        </w:tc>
        <w:tc>
          <w:tcPr>
            <w:tcW w:type="dxa" w:w="28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Estimated Monthly Cost</w:t>
            </w:r>
          </w:p>
        </w:tc>
      </w:tr>
      <w:tr>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Fabric Capacity (Production)</w:t>
            </w:r>
          </w:p>
        </w:tc>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[F64 — 64 CU, always-on]</w:t>
            </w:r>
          </w:p>
        </w:tc>
        <w:tc>
          <w:tcPr>
            <w:tcW w:type="dxa" w:w="28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[£X,XXX]</w:t>
            </w:r>
          </w:p>
        </w:tc>
      </w:tr>
      <w:tr>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Fabric Capacity (Non-Production)</w:t>
            </w:r>
          </w:p>
        </w:tc>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[F16 — paused outside business hours]</w:t>
            </w:r>
          </w:p>
        </w:tc>
        <w:tc>
          <w:tcPr>
            <w:tcW w:type="dxa" w:w="28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[£XXX]</w:t>
            </w:r>
          </w:p>
        </w:tc>
      </w:tr>
      <w:tr>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Azure Storage (OneLake/ADLS)</w:t>
            </w:r>
          </w:p>
        </w:tc>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[TB per month — storage tier pricing]</w:t>
            </w:r>
          </w:p>
        </w:tc>
        <w:tc>
          <w:tcPr>
            <w:tcW w:type="dxa" w:w="28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[£XXX]</w:t>
            </w:r>
          </w:p>
        </w:tc>
      </w:tr>
      <w:tr>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Azure Event Hubs</w:t>
            </w:r>
          </w:p>
        </w:tc>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[Throughput units / partition count]</w:t>
            </w:r>
          </w:p>
        </w:tc>
        <w:tc>
          <w:tcPr>
            <w:tcW w:type="dxa" w:w="28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[£XXX]</w:t>
            </w:r>
          </w:p>
        </w:tc>
      </w:tr>
      <w:tr>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Microsoft Purview</w:t>
            </w:r>
          </w:p>
        </w:tc>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[Data Map capacity units]</w:t>
            </w:r>
          </w:p>
        </w:tc>
        <w:tc>
          <w:tcPr>
            <w:tcW w:type="dxa" w:w="28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[£XXX]</w:t>
            </w:r>
          </w:p>
        </w:tc>
      </w:tr>
      <w:tr>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Azure Monitor / Log Analytics</w:t>
            </w:r>
          </w:p>
        </w:tc>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[GB ingested + retention]</w:t>
            </w:r>
          </w:p>
        </w:tc>
        <w:tc>
          <w:tcPr>
            <w:tcW w:type="dxa" w:w="28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[£XXX]</w:t>
            </w:r>
          </w:p>
        </w:tc>
      </w:tr>
      <w:tr>
        <w:tc>
          <w:tcPr>
            <w:tcW w:type="dxa" w:w="3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Azure DevOps / GitHub</w:t>
            </w:r>
          </w:p>
        </w:tc>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[User licences]</w:t>
            </w:r>
          </w:p>
        </w:tc>
        <w:tc>
          <w:tcPr>
            <w:tcW w:type="dxa" w:w="28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[£XXX]</w:t>
            </w:r>
          </w:p>
        </w:tc>
      </w:tr>
      <w:tr>
        <w:tc>
          <w:tcPr>
            <w:tcW w:type="dxa" w:w="3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Total Estimated Monthly</w:t>
            </w:r>
          </w:p>
        </w:tc>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
            </w:r>
          </w:p>
        </w:tc>
        <w:tc>
          <w:tcPr>
            <w:tcW w:type="dxa" w:w="28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[£XX,XXX]</w:t>
            </w:r>
          </w:p>
        </w:tc>
      </w:tr>
    </w:tbl>
    <w:p>
      <w:pPr>
        <w:spacing w:after="120" w:before="0"/>
      </w:pPr>
    </w:p>
    <w:p>
      <w:pPr>
        <w:pStyle w:val="Heading2"/>
        <w:spacing w:after="120" w:before="240"/>
      </w:pPr>
      <w:r>
        <w:rPr>
          <w:rFonts w:ascii="Segoe UI" w:cs="Segoe UI" w:eastAsia="Segoe UI" w:hAnsi="Segoe UI"/>
          <w:b/>
          <w:bCs/>
        </w:rPr>
        <w:t xml:space="preserve">10.2 Cost Optimisation Measures</w:t>
      </w:r>
    </w:p>
    <w:p>
      <w:pPr>
        <w:pStyle w:val="ListParagraph"/>
        <w:numPr>
          <w:ilvl w:val="0"/>
          <w:numId w:val="2"/>
        </w:numPr>
        <w:spacing w:after="60" w:before="60"/>
      </w:pPr>
      <w:r>
        <w:rPr>
          <w:rFonts w:ascii="Segoe UI" w:cs="Segoe UI" w:eastAsia="Segoe UI" w:hAnsi="Segoe UI"/>
          <w:sz w:val="22"/>
          <w:szCs w:val="22"/>
        </w:rPr>
        <w:t xml:space="preserve">Non-production Fabric capacities are paused outside business hours (18:00-08:00 weekdays, full weekend) using Azure Automation.</w:t>
      </w:r>
    </w:p>
    <w:p>
      <w:pPr>
        <w:pStyle w:val="ListParagraph"/>
        <w:numPr>
          <w:ilvl w:val="0"/>
          <w:numId w:val="2"/>
        </w:numPr>
        <w:spacing w:after="60" w:before="60"/>
      </w:pPr>
      <w:r>
        <w:rPr>
          <w:rFonts w:ascii="Segoe UI" w:cs="Segoe UI" w:eastAsia="Segoe UI" w:hAnsi="Segoe UI"/>
          <w:sz w:val="22"/>
          <w:szCs w:val="22"/>
        </w:rPr>
        <w:t xml:space="preserve">Data lifecycle policies automatically tier cold Bronze data from Hot to Cool to Archive storage.</w:t>
      </w:r>
    </w:p>
    <w:p>
      <w:pPr>
        <w:pStyle w:val="ListParagraph"/>
        <w:numPr>
          <w:ilvl w:val="0"/>
          <w:numId w:val="2"/>
        </w:numPr>
        <w:spacing w:after="60" w:before="60"/>
      </w:pPr>
      <w:r>
        <w:rPr>
          <w:rFonts w:ascii="Segoe UI" w:cs="Segoe UI" w:eastAsia="Segoe UI" w:hAnsi="Segoe UI"/>
          <w:sz w:val="22"/>
          <w:szCs w:val="22"/>
        </w:rPr>
        <w:t xml:space="preserve">Spark pool autoscaling is tuned to avoid over-provisioning on batch workloads.</w:t>
      </w:r>
    </w:p>
    <w:p>
      <w:pPr>
        <w:pStyle w:val="ListParagraph"/>
        <w:numPr>
          <w:ilvl w:val="0"/>
          <w:numId w:val="2"/>
        </w:numPr>
        <w:spacing w:after="60" w:before="60"/>
      </w:pPr>
      <w:r>
        <w:rPr>
          <w:rFonts w:ascii="Segoe UI" w:cs="Segoe UI" w:eastAsia="Segoe UI" w:hAnsi="Segoe UI"/>
          <w:sz w:val="22"/>
          <w:szCs w:val="22"/>
        </w:rPr>
        <w:t xml:space="preserve">Regular capacity utilisation reviews (monthly) to right-size SKUs.</w:t>
      </w:r>
    </w:p>
    <w:p>
      <w:pPr>
        <w:pStyle w:val="ListParagraph"/>
        <w:numPr>
          <w:ilvl w:val="0"/>
          <w:numId w:val="2"/>
        </w:numPr>
        <w:spacing w:after="60" w:before="60"/>
      </w:pPr>
      <w:r>
        <w:rPr>
          <w:rFonts w:ascii="Segoe UI" w:cs="Segoe UI" w:eastAsia="Segoe UI" w:hAnsi="Segoe UI"/>
          <w:sz w:val="22"/>
          <w:szCs w:val="22"/>
        </w:rPr>
        <w:t xml:space="preserve">Reserved capacity pricing evaluated for production workloads after 3 months of baseline data.</w:t>
      </w:r>
    </w:p>
    <w:p>
      <w:pPr>
        <w:spacing w:after="120" w:before="0"/>
      </w:pPr>
    </w:p>
    <w:p>
      <w:r>
        <w:br w:type="page"/>
      </w:r>
    </w:p>
    <w:p>
      <w:pPr>
        <w:pStyle w:val="Heading1"/>
        <w:spacing w:after="120" w:before="400"/>
      </w:pPr>
      <w:r>
        <w:rPr>
          <w:rFonts w:ascii="Segoe UI" w:cs="Segoe UI" w:eastAsia="Segoe UI" w:hAnsi="Segoe UI"/>
          <w:b/>
          <w:bCs/>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200"/>
        <w:gridCol w:w="1000"/>
        <w:gridCol w:w="3760"/>
      </w:tblGrid>
      <w:tr>
        <w:trPr>
          <w:tblHeader/>
        </w:trPr>
        <w:tc>
          <w:tcPr>
            <w:tcW w:type="dxa" w:w="9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Risk ID</w:t>
            </w:r>
          </w:p>
        </w:tc>
        <w:tc>
          <w:tcPr>
            <w:tcW w:type="dxa" w:w="2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Risk Description</w:t>
            </w:r>
          </w:p>
        </w:tc>
        <w:tc>
          <w:tcPr>
            <w:tcW w:type="dxa" w:w="12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Likelihood</w:t>
            </w:r>
          </w:p>
        </w:tc>
        <w:tc>
          <w:tcPr>
            <w:tcW w:type="dxa" w:w="10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Impact</w:t>
            </w:r>
          </w:p>
        </w:tc>
        <w:tc>
          <w:tcPr>
            <w:tcW w:type="dxa" w:w="37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Mitigation</w:t>
            </w:r>
          </w:p>
        </w:tc>
      </w:tr>
      <w:tr>
        <w:tc>
          <w:tcPr>
            <w:tcW w:type="dxa" w:w="9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R-01</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Fabric capacity throttling under peak load impacts business-critical reports.</w:t>
            </w:r>
          </w:p>
        </w:tc>
        <w:tc>
          <w:tcPr>
            <w:tcW w:type="dxa" w:w="1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Medium</w:t>
            </w:r>
          </w:p>
        </w:tc>
        <w:tc>
          <w:tcPr>
            <w:tcW w:type="dxa" w:w="1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High</w:t>
            </w:r>
          </w:p>
        </w:tc>
        <w:tc>
          <w:tcPr>
            <w:tcW w:type="dxa" w:w="37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Right-size capacity SKU; implement workload prioritisation; monitor CU smoothing windows.</w:t>
            </w:r>
          </w:p>
        </w:tc>
      </w:tr>
      <w:tr>
        <w:tc>
          <w:tcPr>
            <w:tcW w:type="dxa" w:w="9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R-02</w:t>
            </w:r>
          </w:p>
        </w:tc>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Data quality issues in source systems propagate to Gold layer.</w:t>
            </w:r>
          </w:p>
        </w:tc>
        <w:tc>
          <w:tcPr>
            <w:tcW w:type="dxa" w:w="12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High</w:t>
            </w:r>
          </w:p>
        </w:tc>
        <w:tc>
          <w:tcPr>
            <w:tcW w:type="dxa" w:w="1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High</w:t>
            </w:r>
          </w:p>
        </w:tc>
        <w:tc>
          <w:tcPr>
            <w:tcW w:type="dxa" w:w="37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DQ checks at Bronze-Silver boundary; quarantine tables for failed records; alerting to data owners.</w:t>
            </w:r>
          </w:p>
        </w:tc>
      </w:tr>
      <w:tr>
        <w:tc>
          <w:tcPr>
            <w:tcW w:type="dxa" w:w="9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R-03</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Key personnel dependency on specialist Fabric/Azure skills.</w:t>
            </w:r>
          </w:p>
        </w:tc>
        <w:tc>
          <w:tcPr>
            <w:tcW w:type="dxa" w:w="1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Medium</w:t>
            </w:r>
          </w:p>
        </w:tc>
        <w:tc>
          <w:tcPr>
            <w:tcW w:type="dxa" w:w="1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High</w:t>
            </w:r>
          </w:p>
        </w:tc>
        <w:tc>
          <w:tcPr>
            <w:tcW w:type="dxa" w:w="37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Cross-train team; maintain runbooks; engage Microsoft FastTrack or partner support.</w:t>
            </w:r>
          </w:p>
        </w:tc>
      </w:tr>
      <w:tr>
        <w:tc>
          <w:tcPr>
            <w:tcW w:type="dxa" w:w="9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R-04</w:t>
            </w:r>
          </w:p>
        </w:tc>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Security misconfiguration exposes sensitive data assets.</w:t>
            </w:r>
          </w:p>
        </w:tc>
        <w:tc>
          <w:tcPr>
            <w:tcW w:type="dxa" w:w="12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Low</w:t>
            </w:r>
          </w:p>
        </w:tc>
        <w:tc>
          <w:tcPr>
            <w:tcW w:type="dxa" w:w="1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Critical</w:t>
            </w:r>
          </w:p>
        </w:tc>
        <w:tc>
          <w:tcPr>
            <w:tcW w:type="dxa" w:w="37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Security baseline reviews; automated policy compliance (Azure Policy); Purview sensitivity labels + DLP.</w:t>
            </w:r>
          </w:p>
        </w:tc>
      </w:tr>
      <w:tr>
        <w:tc>
          <w:tcPr>
            <w:tcW w:type="dxa" w:w="9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R-05</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Source system schema changes break ingestion pipelines.</w:t>
            </w:r>
          </w:p>
        </w:tc>
        <w:tc>
          <w:tcPr>
            <w:tcW w:type="dxa" w:w="1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Medium</w:t>
            </w:r>
          </w:p>
        </w:tc>
        <w:tc>
          <w:tcPr>
            <w:tcW w:type="dxa" w:w="1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Medium</w:t>
            </w:r>
          </w:p>
        </w:tc>
        <w:tc>
          <w:tcPr>
            <w:tcW w:type="dxa" w:w="37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Schema drift detection in Fabric Dataflows; alerting on column change; contract testing with source teams.</w:t>
            </w:r>
          </w:p>
        </w:tc>
      </w:tr>
      <w:tr>
        <w:tc>
          <w:tcPr>
            <w:tcW w:type="dxa" w:w="9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R-06</w:t>
            </w:r>
          </w:p>
        </w:tc>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Microsoft Fabric feature limitations block workload requirements.</w:t>
            </w:r>
          </w:p>
        </w:tc>
        <w:tc>
          <w:tcPr>
            <w:tcW w:type="dxa" w:w="12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Low</w:t>
            </w:r>
          </w:p>
        </w:tc>
        <w:tc>
          <w:tcPr>
            <w:tcW w:type="dxa" w:w="10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Medium</w:t>
            </w:r>
          </w:p>
        </w:tc>
        <w:tc>
          <w:tcPr>
            <w:tcW w:type="dxa" w:w="37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Early PoC for complex requirements; maintain Azure Synapse / ADF fallback for edge cases; monitor Fabric roadmap.</w:t>
            </w:r>
          </w:p>
        </w:tc>
      </w:tr>
      <w:tr>
        <w:tc>
          <w:tcPr>
            <w:tcW w:type="dxa" w:w="9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R-07</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Cost overrun due to uncontrolled Spark job resource consumption.</w:t>
            </w:r>
          </w:p>
        </w:tc>
        <w:tc>
          <w:tcPr>
            <w:tcW w:type="dxa" w:w="1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Medium</w:t>
            </w:r>
          </w:p>
        </w:tc>
        <w:tc>
          <w:tcPr>
            <w:tcW w:type="dxa" w:w="1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Medium</w:t>
            </w:r>
          </w:p>
        </w:tc>
        <w:tc>
          <w:tcPr>
            <w:tcW w:type="dxa" w:w="37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Spark job resource limits; cost alerting in Azure Cost Management; monthly FinOps review.</w:t>
            </w:r>
          </w:p>
        </w:tc>
      </w:tr>
    </w:tbl>
    <w:p>
      <w:pPr>
        <w:spacing w:after="120" w:before="0"/>
      </w:pPr>
    </w:p>
    <w:p>
      <w:r>
        <w:br w:type="page"/>
      </w:r>
    </w:p>
    <w:p>
      <w:pPr>
        <w:pStyle w:val="Heading1"/>
        <w:spacing w:after="120" w:before="400"/>
      </w:pPr>
      <w:r>
        <w:rPr>
          <w:rFonts w:ascii="Segoe UI" w:cs="Segoe UI" w:eastAsia="Segoe UI" w:hAnsi="Segoe UI"/>
          <w:b/>
          <w:bCs/>
        </w:rPr>
        <w:t xml:space="preserve">12. Architecture Decision Log</w:t>
      </w:r>
    </w:p>
    <w:p>
      <w:pPr>
        <w:spacing w:after="120" w:before="80"/>
      </w:pPr>
      <w:r>
        <w:rPr>
          <w:rFonts w:ascii="Segoe UI" w:cs="Segoe UI" w:eastAsia="Segoe UI" w:hAnsi="Segoe UI"/>
          <w:sz w:val="22"/>
          <w:szCs w:val="22"/>
        </w:rPr>
        <w:t xml:space="preserve">Key architectural decisions are recorded below. Detailed Architecture Decision Records (ADRs) are maintained separately (see Related Documents).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500"/>
        <w:gridCol w:w="1800"/>
        <w:gridCol w:w="1760"/>
      </w:tblGrid>
      <w:tr>
        <w:trPr>
          <w:tblHeader/>
        </w:trPr>
        <w:tc>
          <w:tcPr>
            <w:tcW w:type="dxa" w:w="11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ADR ID</w:t>
            </w:r>
          </w:p>
        </w:tc>
        <w:tc>
          <w:tcPr>
            <w:tcW w:type="dxa" w:w="22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Decision</w:t>
            </w:r>
          </w:p>
        </w:tc>
        <w:tc>
          <w:tcPr>
            <w:tcW w:type="dxa" w:w="2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Rationale</w:t>
            </w:r>
          </w:p>
        </w:tc>
        <w:tc>
          <w:tcPr>
            <w:tcW w:type="dxa" w:w="18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Alternatives Considered</w:t>
            </w:r>
          </w:p>
        </w:tc>
        <w:tc>
          <w:tcPr>
            <w:tcW w:type="dxa" w:w="17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Status</w:t>
            </w:r>
          </w:p>
        </w:tc>
      </w:tr>
      <w:tr>
        <w:tc>
          <w:tcPr>
            <w:tcW w:type="dxa" w:w="11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ADR-001</w:t>
            </w:r>
          </w:p>
        </w:tc>
        <w:tc>
          <w:tcPr>
            <w:tcW w:type="dxa" w:w="2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Adopt Microsoft Fabric as the unified analytical platform.</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Single SaaS platform; OneLake eliminates data duplication; reduced operational overhead vs. point-solution architecture.</w:t>
            </w:r>
          </w:p>
        </w:tc>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Azure Synapse Analytics + ADF + Power BI separately</w:t>
            </w:r>
          </w:p>
        </w:tc>
        <w:tc>
          <w:tcPr>
            <w:tcW w:type="dxa" w:w="17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Accepted</w:t>
            </w:r>
          </w:p>
        </w:tc>
      </w:tr>
      <w:tr>
        <w:tc>
          <w:tcPr>
            <w:tcW w:type="dxa" w:w="11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ADR-002</w:t>
            </w:r>
          </w:p>
        </w:tc>
        <w:tc>
          <w:tcPr>
            <w:tcW w:type="dxa" w:w="22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Implement Medallion (Bronze / Silver / Gold) Lakehouse architecture.</w:t>
            </w:r>
          </w:p>
        </w:tc>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Industry-proven pattern; clear data quality progression; aligns with Delta Lake best practices.</w:t>
            </w:r>
          </w:p>
        </w:tc>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Data Vault 2.0, single-layer approach</w:t>
            </w:r>
          </w:p>
        </w:tc>
        <w:tc>
          <w:tcPr>
            <w:tcW w:type="dxa" w:w="17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Accepted</w:t>
            </w:r>
          </w:p>
        </w:tc>
      </w:tr>
      <w:tr>
        <w:tc>
          <w:tcPr>
            <w:tcW w:type="dxa" w:w="11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ADR-003</w:t>
            </w:r>
          </w:p>
        </w:tc>
        <w:tc>
          <w:tcPr>
            <w:tcW w:type="dxa" w:w="2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Use Direct Lake mode for enterprise semantic models.</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Query OneLake files directly without import; enables near-real-time BI without dual storage.</w:t>
            </w:r>
          </w:p>
        </w:tc>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Import mode, DirectQuery mode</w:t>
            </w:r>
          </w:p>
        </w:tc>
        <w:tc>
          <w:tcPr>
            <w:tcW w:type="dxa" w:w="17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Accepted</w:t>
            </w:r>
          </w:p>
        </w:tc>
      </w:tr>
      <w:tr>
        <w:tc>
          <w:tcPr>
            <w:tcW w:type="dxa" w:w="11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ADR-004</w:t>
            </w:r>
          </w:p>
        </w:tc>
        <w:tc>
          <w:tcPr>
            <w:tcW w:type="dxa" w:w="22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Microsoft Purview as the enterprise data governance platform.</w:t>
            </w:r>
          </w:p>
        </w:tc>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Native integration with Fabric; automated lineage; unified sensitivity labelling with M365.</w:t>
            </w:r>
          </w:p>
        </w:tc>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Alation, Collibra</w:t>
            </w:r>
          </w:p>
        </w:tc>
        <w:tc>
          <w:tcPr>
            <w:tcW w:type="dxa" w:w="17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Accepted</w:t>
            </w:r>
          </w:p>
        </w:tc>
      </w:tr>
      <w:tr>
        <w:tc>
          <w:tcPr>
            <w:tcW w:type="dxa" w:w="11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ADR-005</w:t>
            </w:r>
          </w:p>
        </w:tc>
        <w:tc>
          <w:tcPr>
            <w:tcW w:type="dxa" w:w="2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Deploy Fabric workloads using Deployment Pipelines (Dev &gt; Test &gt; Prod).</w:t>
            </w:r>
          </w:p>
        </w:tc>
        <w:tc>
          <w:tcPr>
            <w:tcW w:type="dxa" w:w="2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Built-in Fabric CI/CD; reduces custom tooling; supports approval gates.</w:t>
            </w:r>
          </w:p>
        </w:tc>
        <w:tc>
          <w:tcPr>
            <w:tcW w:type="dxa" w:w="1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Manual deployment, custom AzDO pipeline only</w:t>
            </w:r>
          </w:p>
        </w:tc>
        <w:tc>
          <w:tcPr>
            <w:tcW w:type="dxa" w:w="17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Accepted</w:t>
            </w:r>
          </w:p>
        </w:tc>
      </w:tr>
      <w:tr>
        <w:tc>
          <w:tcPr>
            <w:tcW w:type="dxa" w:w="11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ADR-006</w:t>
            </w:r>
          </w:p>
        </w:tc>
        <w:tc>
          <w:tcPr>
            <w:tcW w:type="dxa" w:w="22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[Document decision here]</w:t>
            </w:r>
          </w:p>
        </w:tc>
        <w:tc>
          <w:tcPr>
            <w:tcW w:type="dxa" w:w="2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[Rationale]</w:t>
            </w:r>
          </w:p>
        </w:tc>
        <w:tc>
          <w:tcPr>
            <w:tcW w:type="dxa" w:w="1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[Alternatives]</w:t>
            </w:r>
          </w:p>
        </w:tc>
        <w:tc>
          <w:tcPr>
            <w:tcW w:type="dxa" w:w="17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Proposed</w:t>
            </w:r>
          </w:p>
        </w:tc>
      </w:tr>
    </w:tbl>
    <w:p>
      <w:pPr>
        <w:spacing w:after="120" w:before="0"/>
      </w:pPr>
    </w:p>
    <w:p>
      <w:r>
        <w:br w:type="page"/>
      </w:r>
    </w:p>
    <w:p>
      <w:pPr>
        <w:pStyle w:val="Heading1"/>
        <w:spacing w:after="120" w:before="400"/>
      </w:pPr>
      <w:r>
        <w:rPr>
          <w:rFonts w:ascii="Segoe UI" w:cs="Segoe UI" w:eastAsia="Segoe UI" w:hAnsi="Segoe UI"/>
          <w:b/>
          <w:bCs/>
        </w:rPr>
        <w:t xml:space="preserve">13. Appendices</w:t>
      </w:r>
    </w:p>
    <w:p>
      <w:pPr>
        <w:pStyle w:val="Heading2"/>
        <w:spacing w:after="120" w:before="240"/>
      </w:pPr>
      <w:r>
        <w:rPr>
          <w:rFonts w:ascii="Segoe UI" w:cs="Segoe UI" w:eastAsia="Segoe UI" w:hAnsi="Segoe UI"/>
          <w:b/>
          <w:bCs/>
        </w:rPr>
        <w:t xml:space="preserve">Appendix A: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Term</w:t>
            </w:r>
          </w:p>
        </w:tc>
        <w:tc>
          <w:tcPr>
            <w:tcW w:type="dxa" w:w="65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Definition</w:t>
            </w:r>
          </w:p>
        </w:tc>
      </w:tr>
      <w:tr>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Bronze Layer</w:t>
            </w:r>
          </w:p>
        </w:tc>
        <w:tc>
          <w:tcPr>
            <w:tcW w:type="dxa" w:w="6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The raw ingestion layer of the Medallion architecture. Data is stored as-landed with no transformation.</w:t>
            </w:r>
          </w:p>
        </w:tc>
      </w:tr>
      <w:tr>
        <w:tc>
          <w:tcPr>
            <w:tcW w:type="dxa" w:w="2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CU (Capacity Unit)</w:t>
            </w:r>
          </w:p>
        </w:tc>
        <w:tc>
          <w:tcPr>
            <w:tcW w:type="dxa" w:w="6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The compute unit used to measure Microsoft Fabric workload consumption.</w:t>
            </w:r>
          </w:p>
        </w:tc>
      </w:tr>
      <w:tr>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Delta Lake</w:t>
            </w:r>
          </w:p>
        </w:tc>
        <w:tc>
          <w:tcPr>
            <w:tcW w:type="dxa" w:w="6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An open-source storage layer providing ACID transactions, scalable metadata handling, and time travel on data lakes.</w:t>
            </w:r>
          </w:p>
        </w:tc>
      </w:tr>
      <w:tr>
        <w:tc>
          <w:tcPr>
            <w:tcW w:type="dxa" w:w="2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Direct Lake</w:t>
            </w:r>
          </w:p>
        </w:tc>
        <w:tc>
          <w:tcPr>
            <w:tcW w:type="dxa" w:w="6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 Power BI mode that queries Delta Parquet files in OneLake directly, without import or DirectQuery overhead.</w:t>
            </w:r>
          </w:p>
        </w:tc>
      </w:tr>
      <w:tr>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Fabric Workspace</w:t>
            </w:r>
          </w:p>
        </w:tc>
        <w:tc>
          <w:tcPr>
            <w:tcW w:type="dxa" w:w="6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 collaborative environment in Microsoft Fabric containing Lakehouse, Warehouse, Pipeline, Notebook, and Report items.</w:t>
            </w:r>
          </w:p>
        </w:tc>
      </w:tr>
      <w:tr>
        <w:tc>
          <w:tcPr>
            <w:tcW w:type="dxa" w:w="2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Gold Layer</w:t>
            </w:r>
          </w:p>
        </w:tc>
        <w:tc>
          <w:tcPr>
            <w:tcW w:type="dxa" w:w="6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The curated, business-ready layer of the Medallion architecture. Used for reporting and analytics.</w:t>
            </w:r>
          </w:p>
        </w:tc>
      </w:tr>
      <w:tr>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Lakehouse</w:t>
            </w:r>
          </w:p>
        </w:tc>
        <w:tc>
          <w:tcPr>
            <w:tcW w:type="dxa" w:w="6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A Fabric item combining Data Lake storage (OneLake) with SQL and Spark query capabilities.</w:t>
            </w:r>
          </w:p>
        </w:tc>
      </w:tr>
      <w:tr>
        <w:tc>
          <w:tcPr>
            <w:tcW w:type="dxa" w:w="2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Medallion Architecture</w:t>
            </w:r>
          </w:p>
        </w:tc>
        <w:tc>
          <w:tcPr>
            <w:tcW w:type="dxa" w:w="6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 data design pattern using Bronze, Silver, and Gold layers to progressively refine and enrich data.</w:t>
            </w:r>
          </w:p>
        </w:tc>
      </w:tr>
      <w:tr>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OneLake</w:t>
            </w:r>
          </w:p>
        </w:tc>
        <w:tc>
          <w:tcPr>
            <w:tcW w:type="dxa" w:w="6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The single unified data lake underpinning all Microsoft Fabric workloads, built on ADLS Gen2.</w:t>
            </w:r>
          </w:p>
        </w:tc>
      </w:tr>
      <w:tr>
        <w:tc>
          <w:tcPr>
            <w:tcW w:type="dxa" w:w="2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PII</w:t>
            </w:r>
          </w:p>
        </w:tc>
        <w:tc>
          <w:tcPr>
            <w:tcW w:type="dxa" w:w="6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Personally Identifiable Information — data that can be used to identify an individual, subject to data protection regulations.</w:t>
            </w:r>
          </w:p>
        </w:tc>
      </w:tr>
      <w:tr>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RLS</w:t>
            </w:r>
          </w:p>
        </w:tc>
        <w:tc>
          <w:tcPr>
            <w:tcW w:type="dxa" w:w="6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Row-Level Security — restricts data access at the row level based on user identity.</w:t>
            </w:r>
          </w:p>
        </w:tc>
      </w:tr>
      <w:tr>
        <w:tc>
          <w:tcPr>
            <w:tcW w:type="dxa" w:w="28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Silver Layer</w:t>
            </w:r>
          </w:p>
        </w:tc>
        <w:tc>
          <w:tcPr>
            <w:tcW w:type="dxa" w:w="65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The cleansed and conformed layer of the Medallion architecture. Deduplication, typing, and standardisation applied.</w:t>
            </w:r>
          </w:p>
        </w:tc>
      </w:tr>
      <w:tr>
        <w:tc>
          <w:tcPr>
            <w:tcW w:type="dxa" w:w="28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SSOT</w:t>
            </w:r>
          </w:p>
        </w:tc>
        <w:tc>
          <w:tcPr>
            <w:tcW w:type="dxa" w:w="6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Single Source of Truth — a concept where data is mastered in one authoritative location.</w:t>
            </w:r>
          </w:p>
        </w:tc>
      </w:tr>
    </w:tbl>
    <w:p>
      <w:pPr>
        <w:spacing w:after="120" w:before="0"/>
      </w:pPr>
    </w:p>
    <w:p>
      <w:pPr>
        <w:pStyle w:val="Heading2"/>
        <w:spacing w:after="120" w:before="240"/>
      </w:pPr>
      <w:r>
        <w:rPr>
          <w:rFonts w:ascii="Segoe UI" w:cs="Segoe UI" w:eastAsia="Segoe UI" w:hAnsi="Segoe UI"/>
          <w:b/>
          <w:bCs/>
        </w:rPr>
        <w:t xml:space="preserve">Appendix B: Reference Architecture Links</w:t>
      </w:r>
    </w:p>
    <w:p>
      <w:pPr>
        <w:pStyle w:val="ListParagraph"/>
        <w:numPr>
          <w:ilvl w:val="0"/>
          <w:numId w:val="2"/>
        </w:numPr>
        <w:spacing w:after="60" w:before="60"/>
      </w:pPr>
      <w:r>
        <w:rPr>
          <w:rFonts w:ascii="Segoe UI" w:cs="Segoe UI" w:eastAsia="Segoe UI" w:hAnsi="Segoe UI"/>
          <w:sz w:val="22"/>
          <w:szCs w:val="22"/>
        </w:rPr>
        <w:t xml:space="preserve">Microsoft Fabric Documentation: https://learn.microsoft.com/en-us/fabric/</w:t>
      </w:r>
    </w:p>
    <w:p>
      <w:pPr>
        <w:pStyle w:val="ListParagraph"/>
        <w:numPr>
          <w:ilvl w:val="0"/>
          <w:numId w:val="2"/>
        </w:numPr>
        <w:spacing w:after="60" w:before="60"/>
      </w:pPr>
      <w:r>
        <w:rPr>
          <w:rFonts w:ascii="Segoe UI" w:cs="Segoe UI" w:eastAsia="Segoe UI" w:hAnsi="Segoe UI"/>
          <w:sz w:val="22"/>
          <w:szCs w:val="22"/>
        </w:rPr>
        <w:t xml:space="preserve">Microsoft Fabric Capacity Planning: https://learn.microsoft.com/en-us/fabric/enterprise/fabric-capacity-management</w:t>
      </w:r>
    </w:p>
    <w:p>
      <w:pPr>
        <w:pStyle w:val="ListParagraph"/>
        <w:numPr>
          <w:ilvl w:val="0"/>
          <w:numId w:val="2"/>
        </w:numPr>
        <w:spacing w:after="60" w:before="60"/>
      </w:pPr>
      <w:r>
        <w:rPr>
          <w:rFonts w:ascii="Segoe UI" w:cs="Segoe UI" w:eastAsia="Segoe UI" w:hAnsi="Segoe UI"/>
          <w:sz w:val="22"/>
          <w:szCs w:val="22"/>
        </w:rPr>
        <w:t xml:space="preserve">OneLake Documentation: https://learn.microsoft.com/en-us/fabric/onelake/onelake-overview</w:t>
      </w:r>
    </w:p>
    <w:p>
      <w:pPr>
        <w:pStyle w:val="ListParagraph"/>
        <w:numPr>
          <w:ilvl w:val="0"/>
          <w:numId w:val="2"/>
        </w:numPr>
        <w:spacing w:after="60" w:before="60"/>
      </w:pPr>
      <w:r>
        <w:rPr>
          <w:rFonts w:ascii="Segoe UI" w:cs="Segoe UI" w:eastAsia="Segoe UI" w:hAnsi="Segoe UI"/>
          <w:sz w:val="22"/>
          <w:szCs w:val="22"/>
        </w:rPr>
        <w:t xml:space="preserve">Microsoft Purview with Fabric: https://learn.microsoft.com/en-us/purview/fabric-integration</w:t>
      </w:r>
    </w:p>
    <w:p>
      <w:pPr>
        <w:pStyle w:val="ListParagraph"/>
        <w:numPr>
          <w:ilvl w:val="0"/>
          <w:numId w:val="2"/>
        </w:numPr>
        <w:spacing w:after="60" w:before="60"/>
      </w:pPr>
      <w:r>
        <w:rPr>
          <w:rFonts w:ascii="Segoe UI" w:cs="Segoe UI" w:eastAsia="Segoe UI" w:hAnsi="Segoe UI"/>
          <w:sz w:val="22"/>
          <w:szCs w:val="22"/>
        </w:rPr>
        <w:t xml:space="preserve">Azure Well-Architected Framework — Analytics: https://learn.microsoft.com/en-us/azure/architecture/framework/</w:t>
      </w:r>
    </w:p>
    <w:p>
      <w:pPr>
        <w:pStyle w:val="ListParagraph"/>
        <w:numPr>
          <w:ilvl w:val="0"/>
          <w:numId w:val="2"/>
        </w:numPr>
        <w:spacing w:after="60" w:before="60"/>
      </w:pPr>
      <w:r>
        <w:rPr>
          <w:rFonts w:ascii="Segoe UI" w:cs="Segoe UI" w:eastAsia="Segoe UI" w:hAnsi="Segoe UI"/>
          <w:sz w:val="22"/>
          <w:szCs w:val="22"/>
        </w:rPr>
        <w:t xml:space="preserve">Azure Architecture Center — Analytics: https://learn.microsoft.com/en-us/azure/architecture/solution-ideas/articles/analytics-start-here</w:t>
      </w:r>
    </w:p>
    <w:p>
      <w:pPr>
        <w:spacing w:after="120" w:before="0"/>
      </w:pPr>
    </w:p>
    <w:p>
      <w:pPr>
        <w:pStyle w:val="Heading2"/>
        <w:spacing w:after="120" w:before="240"/>
      </w:pPr>
      <w:r>
        <w:rPr>
          <w:rFonts w:ascii="Segoe UI" w:cs="Segoe UI" w:eastAsia="Segoe UI" w:hAnsi="Segoe UI"/>
          <w:b/>
          <w:bCs/>
        </w:rPr>
        <w:t xml:space="preserve">Appendix C: Open Items &amp;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700"/>
        <w:gridCol w:w="1500"/>
        <w:gridCol w:w="1460"/>
      </w:tblGrid>
      <w:tr>
        <w:trPr>
          <w:tblHeader/>
        </w:trPr>
        <w:tc>
          <w:tcPr>
            <w:tcW w:type="dxa" w:w="12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Item ID</w:t>
            </w:r>
          </w:p>
        </w:tc>
        <w:tc>
          <w:tcPr>
            <w:tcW w:type="dxa" w:w="3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c>
          <w:tcPr>
            <w:tcW w:type="dxa" w:w="17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Owner</w:t>
            </w:r>
          </w:p>
        </w:tc>
        <w:tc>
          <w:tcPr>
            <w:tcW w:type="dxa" w:w="150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Due Date</w:t>
            </w:r>
          </w:p>
        </w:tc>
        <w:tc>
          <w:tcPr>
            <w:tcW w:type="dxa" w:w="1460"/>
            <w:tcBorders>
              <w:top w:val="single" w:color="003060" w:sz="6"/>
              <w:left w:val="single" w:color="003060" w:sz="6"/>
              <w:bottom w:val="single" w:color="003060" w:sz="6"/>
              <w:right w:val="single" w:color="003060" w:sz="6"/>
            </w:tcBorders>
            <w:shd w:fill="003060" w:val="clear"/>
            <w:tcMar>
              <w:top w:type="dxa" w:w="80"/>
              <w:left w:type="dxa" w:w="120"/>
              <w:bottom w:type="dxa" w:w="80"/>
              <w:right w:type="dxa" w:w="120"/>
            </w:tcMar>
          </w:tcPr>
          <w:p>
            <w:r>
              <w:rPr>
                <w:rFonts w:ascii="Segoe UI" w:cs="Segoe UI" w:eastAsia="Segoe UI" w:hAnsi="Segoe UI"/>
                <w:b/>
                <w:bCs/>
                <w:color w:val="FFFFFF"/>
                <w:sz w:val="20"/>
                <w:szCs w:val="20"/>
              </w:rPr>
              <w:t xml:space="preserve">Status</w:t>
            </w:r>
          </w:p>
        </w:tc>
      </w:tr>
      <w:tr>
        <w:tc>
          <w:tcPr>
            <w:tcW w:type="dxa" w:w="1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OI-001</w:t>
            </w:r>
          </w:p>
        </w:tc>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Confirm Fabric capacity SKU and region with procurement.</w:t>
            </w:r>
          </w:p>
        </w:tc>
        <w:tc>
          <w:tcPr>
            <w:tcW w:type="dxa" w:w="17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[Name]</w:t>
            </w:r>
          </w:p>
        </w:tc>
        <w:tc>
          <w:tcPr>
            <w:tcW w:type="dxa" w:w="1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[Date]</w:t>
            </w:r>
          </w:p>
        </w:tc>
        <w:tc>
          <w:tcPr>
            <w:tcW w:type="dxa" w:w="14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Open</w:t>
            </w:r>
          </w:p>
        </w:tc>
      </w:tr>
      <w:tr>
        <w:tc>
          <w:tcPr>
            <w:tcW w:type="dxa" w:w="12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OI-002</w:t>
            </w:r>
          </w:p>
        </w:tc>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Define data retention periods per domain with Legal/Compliance.</w:t>
            </w:r>
          </w:p>
        </w:tc>
        <w:tc>
          <w:tcPr>
            <w:tcW w:type="dxa" w:w="17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[Name]</w:t>
            </w:r>
          </w:p>
        </w:tc>
        <w:tc>
          <w:tcPr>
            <w:tcW w:type="dxa" w:w="1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[Date]</w:t>
            </w:r>
          </w:p>
        </w:tc>
        <w:tc>
          <w:tcPr>
            <w:tcW w:type="dxa" w:w="14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Open</w:t>
            </w:r>
          </w:p>
        </w:tc>
      </w:tr>
      <w:tr>
        <w:tc>
          <w:tcPr>
            <w:tcW w:type="dxa" w:w="1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OI-003</w:t>
            </w:r>
          </w:p>
        </w:tc>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Complete source system connectivity assessment.</w:t>
            </w:r>
          </w:p>
        </w:tc>
        <w:tc>
          <w:tcPr>
            <w:tcW w:type="dxa" w:w="17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[Name]</w:t>
            </w:r>
          </w:p>
        </w:tc>
        <w:tc>
          <w:tcPr>
            <w:tcW w:type="dxa" w:w="1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[Date]</w:t>
            </w:r>
          </w:p>
        </w:tc>
        <w:tc>
          <w:tcPr>
            <w:tcW w:type="dxa" w:w="14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Open</w:t>
            </w:r>
          </w:p>
        </w:tc>
      </w:tr>
      <w:tr>
        <w:tc>
          <w:tcPr>
            <w:tcW w:type="dxa" w:w="12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OI-004</w:t>
            </w:r>
          </w:p>
        </w:tc>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Define DQ threshold targets per domain with Data Owners.</w:t>
            </w:r>
          </w:p>
        </w:tc>
        <w:tc>
          <w:tcPr>
            <w:tcW w:type="dxa" w:w="17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[Name]</w:t>
            </w:r>
          </w:p>
        </w:tc>
        <w:tc>
          <w:tcPr>
            <w:tcW w:type="dxa" w:w="1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[Date]</w:t>
            </w:r>
          </w:p>
        </w:tc>
        <w:tc>
          <w:tcPr>
            <w:tcW w:type="dxa" w:w="14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Open</w:t>
            </w:r>
          </w:p>
        </w:tc>
      </w:tr>
      <w:tr>
        <w:tc>
          <w:tcPr>
            <w:tcW w:type="dxa" w:w="1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OI-005</w:t>
            </w:r>
          </w:p>
        </w:tc>
        <w:tc>
          <w:tcPr>
            <w:tcW w:type="dxa" w:w="3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Confirm Purview account region and capacity requirements.</w:t>
            </w:r>
          </w:p>
        </w:tc>
        <w:tc>
          <w:tcPr>
            <w:tcW w:type="dxa" w:w="17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[Name]</w:t>
            </w:r>
          </w:p>
        </w:tc>
        <w:tc>
          <w:tcPr>
            <w:tcW w:type="dxa" w:w="15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[Date]</w:t>
            </w:r>
          </w:p>
        </w:tc>
        <w:tc>
          <w:tcPr>
            <w:tcW w:type="dxa" w:w="14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Segoe UI" w:cs="Segoe UI" w:eastAsia="Segoe UI" w:hAnsi="Segoe UI"/>
                <w:sz w:val="20"/>
                <w:szCs w:val="20"/>
              </w:rPr>
              <w:t xml:space="preserve">Open</w:t>
            </w:r>
          </w:p>
        </w:tc>
      </w:tr>
      <w:tr>
        <w:tc>
          <w:tcPr>
            <w:tcW w:type="dxa" w:w="12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OI-006</w:t>
            </w:r>
          </w:p>
        </w:tc>
        <w:tc>
          <w:tcPr>
            <w:tcW w:type="dxa" w:w="3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[Add open item]</w:t>
            </w:r>
          </w:p>
        </w:tc>
        <w:tc>
          <w:tcPr>
            <w:tcW w:type="dxa" w:w="17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
            </w:r>
          </w:p>
        </w:tc>
        <w:tc>
          <w:tcPr>
            <w:tcW w:type="dxa" w:w="150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
            </w:r>
          </w:p>
        </w:tc>
        <w:tc>
          <w:tcPr>
            <w:tcW w:type="dxa" w:w="1460"/>
            <w:tcBorders>
              <w:top w:val="single" w:color="BDD7EE" w:sz="6"/>
              <w:left w:val="single" w:color="BDD7EE" w:sz="6"/>
              <w:bottom w:val="single" w:color="BDD7EE" w:sz="6"/>
              <w:right w:val="single" w:color="BDD7EE" w:sz="6"/>
            </w:tcBorders>
            <w:shd w:fill="F3F8FD" w:val="clear"/>
            <w:tcMar>
              <w:top w:type="dxa" w:w="80"/>
              <w:left w:type="dxa" w:w="120"/>
              <w:bottom w:type="dxa" w:w="80"/>
              <w:right w:type="dxa" w:w="120"/>
            </w:tcMar>
          </w:tcPr>
          <w:p>
            <w:r>
              <w:rPr>
                <w:rFonts w:ascii="Segoe UI" w:cs="Segoe UI" w:eastAsia="Segoe UI" w:hAnsi="Segoe UI"/>
                <w:sz w:val="20"/>
                <w:szCs w:val="20"/>
              </w:rPr>
              <w:t xml:space="preserve">Open</w:t>
            </w:r>
          </w:p>
        </w:tc>
      </w:tr>
    </w:tbl>
    <w:p>
      <w:pPr>
        <w:spacing w:after="120" w:before="0"/>
      </w:pP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6" w:space="4"/>
      </w:pBdr>
      <w:tabs>
        <w:tab w:val="right" w:pos="9000"/>
      </w:tabs>
      <w:spacing w:after="0" w:before="80"/>
    </w:pPr>
    <w:r>
      <w:rPr>
        <w:rFonts w:ascii="Segoe UI" w:cs="Segoe UI" w:eastAsia="Segoe UI" w:hAnsi="Segoe UI"/>
        <w:color w:val="605E5C"/>
        <w:sz w:val="18"/>
        <w:szCs w:val="18"/>
      </w:rPr>
      <w:t xml:space="preserve">[Organisation Name] | Confidential</w:t>
    </w:r>
    <w:r>
      <w:rPr>
        <w:rFonts w:ascii="Segoe UI" w:cs="Segoe UI" w:eastAsia="Segoe UI" w:hAnsi="Segoe UI"/>
      </w:rPr>
      <w:t xml:space="preserve">	</w:t>
    </w:r>
    <w:r>
      <w:rPr>
        <w:rFonts w:ascii="Segoe UI" w:cs="Segoe UI" w:eastAsia="Segoe UI" w:hAnsi="Segoe UI"/>
        <w:color w:val="605E5C"/>
        <w:sz w:val="18"/>
        <w:szCs w:val="18"/>
      </w:rPr>
      <w:t xml:space="preserve">Page [auto-numbered on open]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space="4"/>
      </w:pBdr>
      <w:tabs>
        <w:tab w:val="right" w:pos="9000"/>
      </w:tabs>
      <w:spacing w:after="80" w:before="0"/>
    </w:pPr>
    <w:r>
      <w:rPr>
        <w:rFonts w:ascii="Segoe UI" w:cs="Segoe UI" w:eastAsia="Segoe UI" w:hAnsi="Segoe UI"/>
        <w:color w:val="605E5C"/>
        <w:sz w:val="18"/>
        <w:szCs w:val="18"/>
      </w:rPr>
      <w:t xml:space="preserve">High-Level Design | Microsoft Enterprise Data Platform</w:t>
    </w:r>
    <w:r>
      <w:rPr>
        <w:rFonts w:ascii="Segoe UI" w:cs="Segoe UI" w:eastAsia="Segoe UI" w:hAnsi="Segoe UI"/>
      </w:rPr>
      <w:t xml:space="preserve">	</w:t>
    </w:r>
    <w:r>
      <w:rPr>
        <w:rFonts w:ascii="Segoe UI" w:cs="Segoe UI" w:eastAsia="Segoe UI" w:hAnsi="Segoe UI"/>
        <w:i/>
        <w:iCs/>
        <w:color w:val="605E5C"/>
        <w:sz w:val="18"/>
        <w:szCs w:val="18"/>
      </w:rPr>
      <w:t xml:space="preserve">[INTERNAL]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8D4" w:sz="8" w:space="4"/>
      </w:pBdr>
      <w:spacing w:after="160" w:before="360"/>
      <w:outlineLvl w:val="0"/>
    </w:pPr>
    <w:rPr>
      <w:rFonts w:ascii="Segoe UI" w:cs="Segoe UI" w:eastAsia="Segoe UI" w:hAnsi="Segoe UI"/>
      <w:b/>
      <w:bCs/>
      <w:color w:val="003060"/>
      <w:sz w:val="36"/>
      <w:szCs w:val="36"/>
    </w:rPr>
  </w:style>
  <w:style w:type="paragraph" w:styleId="Heading2">
    <w:name w:val="Heading 2"/>
    <w:basedOn w:val="Normal"/>
    <w:next w:val="Normal"/>
    <w:qFormat/>
    <w:pPr>
      <w:spacing w:after="120" w:before="280"/>
      <w:outlineLvl w:val="1"/>
    </w:pPr>
    <w:rPr>
      <w:rFonts w:ascii="Segoe UI" w:cs="Segoe UI" w:eastAsia="Segoe UI" w:hAnsi="Segoe UI"/>
      <w:b/>
      <w:bCs/>
      <w:color w:val="0078D4"/>
      <w:sz w:val="28"/>
      <w:szCs w:val="28"/>
    </w:rPr>
  </w:style>
  <w:style w:type="paragraph" w:styleId="Heading3">
    <w:name w:val="Heading 3"/>
    <w:basedOn w:val="Normal"/>
    <w:next w:val="Normal"/>
    <w:qFormat/>
    <w:pPr>
      <w:spacing w:after="80" w:before="200"/>
      <w:outlineLvl w:val="2"/>
    </w:pPr>
    <w:rPr>
      <w:rFonts w:ascii="Segoe UI" w:cs="Segoe UI" w:eastAsia="Segoe UI" w:hAnsi="Segoe UI"/>
      <w:b/>
      <w:bCs/>
      <w:color w:val="003060"/>
      <w:sz w:val="24"/>
      <w:szCs w:val="24"/>
    </w:rPr>
  </w:style>
  <w:style w:type="paragraph" w:styleId="Heading4">
    <w:name w:val="Heading 4"/>
    <w:basedOn w:val="Normal"/>
    <w:next w:val="Normal"/>
    <w:qFormat/>
    <w:pPr>
      <w:spacing w:after="60" w:before="160"/>
      <w:outlineLvl w:val="3"/>
    </w:pPr>
    <w:rPr>
      <w:rFonts w:ascii="Segoe UI" w:cs="Segoe UI" w:eastAsia="Segoe UI" w:hAnsi="Segoe UI"/>
      <w:b/>
      <w:bCs/>
      <w:color w:val="605E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2026-05-18T12:34:25.764Z</dcterms:created>
  <dcterms:modified xsi:type="dcterms:W3CDTF">2026-05-18T12:34:25.764Z</dcterms:modified>
</cp:coreProperties>
</file>

<file path=docProps/custom.xml><?xml version="1.0" encoding="utf-8"?>
<Properties xmlns="http://schemas.openxmlformats.org/officeDocument/2006/custom-properties" xmlns:vt="http://schemas.openxmlformats.org/officeDocument/2006/docPropsVTypes"/>
</file>