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F2861" w:val="clear"/>
            <w:tcMar>
              <w:top w:type="dxa" w:w="480"/>
              <w:left w:type="dxa" w:w="480"/>
              <w:bottom w:type="dxa" w:w="480"/>
              <w:right w:type="dxa" w:w="480"/>
            </w:tcMar>
          </w:tcPr>
          <w:p>
            <w:pPr>
              <w:jc w:val="center"/>
            </w:pPr>
            <w:r>
              <w:rPr>
                <w:rFonts w:ascii="Arial" w:cs="Arial" w:eastAsia="Arial" w:hAnsi="Arial"/>
                <w:b/>
                <w:bCs/>
                <w:color w:val="FFFFFF"/>
                <w:sz w:val="72"/>
                <w:szCs w:val="72"/>
              </w:rPr>
              <w:t xml:space="preserve">AZURE LANDING ZONE</w:t>
            </w:r>
          </w:p>
          <w:p>
            <w:pPr>
              <w:jc w:val="center"/>
            </w:pPr>
            <w:r>
              <w:rPr>
                <w:rFonts w:ascii="Arial" w:cs="Arial" w:eastAsia="Arial" w:hAnsi="Arial"/>
                <w:color w:val="FFFFFF"/>
                <w:sz w:val="36"/>
                <w:szCs w:val="36"/>
              </w:rPr>
              <w:t xml:space="preserve">Design Template &amp; Configuration Reference</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0F0F0" w:val="clear"/>
            <w:tcMar>
              <w:top w:type="dxa" w:w="240"/>
              <w:left w:type="dxa" w:w="480"/>
              <w:bottom w:type="dxa" w:w="240"/>
              <w:right w:type="dxa" w:w="480"/>
            </w:tcMar>
          </w:tcPr>
          <w:p>
            <w:pPr>
              <w:jc w:val="center"/>
            </w:pPr>
            <w:r>
              <w:rPr>
                <w:rFonts w:ascii="Arial" w:cs="Arial" w:eastAsia="Arial" w:hAnsi="Arial"/>
                <w:b/>
                <w:bCs/>
                <w:color w:val="7030A0"/>
                <w:sz w:val="28"/>
                <w:szCs w:val="28"/>
              </w:rPr>
              <w:t xml:space="preserve">Enterprise Architecture Reference</w:t>
            </w:r>
          </w:p>
          <w:p>
            <w:pPr>
              <w:jc w:val="center"/>
            </w:pPr>
            <w:r>
              <w:rPr>
                <w:rFonts w:ascii="Arial" w:cs="Arial" w:eastAsia="Arial" w:hAnsi="Arial"/>
                <w:color w:val="404040"/>
                <w:sz w:val="22"/>
                <w:szCs w:val="22"/>
              </w:rPr>
              <w:t xml:space="preserve">Based on Microsoft Cloud Adoption Framework (CAF) &amp; Azure Well-Architected Framework (WAF)</w:t>
            </w:r>
          </w:p>
          <w:p>
            <w:r>
              <w:t xml:space="preserve"/>
            </w:r>
          </w:p>
          <w:p>
            <w:pPr>
              <w:jc w:val="center"/>
            </w:pPr>
            <w:r>
              <w:rPr>
                <w:rFonts w:ascii="Arial" w:cs="Arial" w:eastAsia="Arial" w:hAnsi="Arial"/>
                <w:color w:val="646464"/>
                <w:sz w:val="20"/>
                <w:szCs w:val="20"/>
              </w:rPr>
              <w:t xml:space="preserve">Document Version: 1.0    |    Classification: Internal    |    Date: 16 May 2026</w:t>
            </w:r>
          </w:p>
        </w:tc>
      </w:tr>
    </w:tbl>
    <w:p>
      <w:r>
        <w:t xml:space="preserve"/>
      </w:r>
    </w:p>
    <w:p>
      <w:r>
        <w:t xml:space="preserve"/>
      </w:r>
    </w:p>
    <w:p>
      <w:pPr>
        <w:jc w:val="center"/>
      </w:pPr>
      <w:r>
        <w:rPr>
          <w:rFonts w:ascii="Arial" w:cs="Arial" w:eastAsia="Arial" w:hAnsi="Arial"/>
          <w:color w:val="404040"/>
          <w:sz w:val="22"/>
          <w:szCs w:val="22"/>
        </w:rPr>
        <w:t xml:space="preserve">This document provides a comprehensive design template and configuration reference for deploying an Azure Landing Zone aligned to Microsoft's recommended practices, including Management Group hierarchy, subscription design, identity, networking, governance, security, and observability.</w:t>
      </w:r>
    </w:p>
    <w:p>
      <w:r>
        <w:br w:type="page"/>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F2861" w:val="clear"/>
            <w:tcMar>
              <w:top w:type="dxa" w:w="160"/>
              <w:left w:type="dxa" w:w="240"/>
              <w:bottom w:type="dxa" w:w="100"/>
              <w:right w:type="dxa" w:w="240"/>
            </w:tcMar>
          </w:tcPr>
          <w:p>
            <w:r>
              <w:rPr>
                <w:rFonts w:ascii="Arial" w:cs="Arial" w:eastAsia="Arial" w:hAnsi="Arial"/>
                <w:b/>
                <w:bCs/>
                <w:color w:val="FFFFFF"/>
                <w:sz w:val="32"/>
                <w:szCs w:val="32"/>
              </w:rPr>
              <w:t xml:space="preserve">Table of Contents</w:t>
            </w:r>
          </w:p>
        </w:tc>
      </w:tr>
    </w:tbl>
    <w:p>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F2861" w:val="clear"/>
            <w:tcMar>
              <w:top w:type="dxa" w:w="160"/>
              <w:left w:type="dxa" w:w="240"/>
              <w:bottom w:type="dxa" w:w="100"/>
              <w:right w:type="dxa" w:w="240"/>
            </w:tcMar>
          </w:tcPr>
          <w:p>
            <w:r>
              <w:rPr>
                <w:rFonts w:ascii="Arial" w:cs="Arial" w:eastAsia="Arial" w:hAnsi="Arial"/>
                <w:b/>
                <w:bCs/>
                <w:color w:val="FFFFFF"/>
                <w:sz w:val="32"/>
                <w:szCs w:val="32"/>
              </w:rPr>
              <w:t xml:space="preserve">1. Introduction &amp; Overview</w:t>
            </w:r>
          </w:p>
          <w:p>
            <w:r>
              <w:rPr>
                <w:rFonts w:ascii="Arial" w:cs="Arial" w:eastAsia="Arial" w:hAnsi="Arial"/>
                <w:color w:val="FFFFFF"/>
                <w:sz w:val="20"/>
                <w:szCs w:val="20"/>
              </w:rPr>
              <w:t xml:space="preserve">What is an Azure Landing Zone?</w:t>
            </w:r>
          </w:p>
        </w:tc>
      </w:tr>
    </w:tbl>
    <w:p>
      <w:r>
        <w:t xml:space="preserve"/>
      </w:r>
    </w:p>
    <w:p>
      <w:pPr>
        <w:pStyle w:val="Heading2"/>
        <w:spacing w:after="120" w:before="280"/>
      </w:pPr>
      <w:r>
        <w:rPr>
          <w:rFonts w:ascii="Arial" w:cs="Arial" w:eastAsia="Arial" w:hAnsi="Arial"/>
          <w:b/>
          <w:bCs/>
          <w:color w:val="7030A0"/>
          <w:sz w:val="28"/>
          <w:szCs w:val="28"/>
        </w:rPr>
        <w:t xml:space="preserve">1.1 Purpose of This Document</w:t>
      </w:r>
    </w:p>
    <w:p>
      <w:pPr>
        <w:spacing w:after="80" w:before="60"/>
      </w:pPr>
      <w:r>
        <w:rPr>
          <w:rFonts w:ascii="Arial" w:cs="Arial" w:eastAsia="Arial" w:hAnsi="Arial"/>
          <w:sz w:val="22"/>
          <w:szCs w:val="22"/>
        </w:rPr>
        <w:t xml:space="preserve">This document serves as a detailed design template and configuration reference for organisations deploying an Azure Landing Zone (ALZ). It aligns with Microsoft's Cloud Adoption Framework (CAF), Azure Well-Architected Framework (WAF), and the Enterprise-Scale (ES) reference architecture. It is intended for Cloud Architects, Platform Engineers, and Governance teams.</w:t>
      </w:r>
    </w:p>
    <w:p>
      <w:r>
        <w:t xml:space="preserve"/>
      </w:r>
    </w:p>
    <w:p>
      <w:pPr>
        <w:pStyle w:val="Heading2"/>
        <w:spacing w:after="120" w:before="280"/>
      </w:pPr>
      <w:r>
        <w:rPr>
          <w:rFonts w:ascii="Arial" w:cs="Arial" w:eastAsia="Arial" w:hAnsi="Arial"/>
          <w:b/>
          <w:bCs/>
          <w:color w:val="7030A0"/>
          <w:sz w:val="28"/>
          <w:szCs w:val="28"/>
        </w:rPr>
        <w:t xml:space="preserve">1.2 What is an Azure Landing Zone?</w:t>
      </w:r>
    </w:p>
    <w:p>
      <w:pPr>
        <w:spacing w:after="80" w:before="60"/>
      </w:pPr>
      <w:r>
        <w:rPr>
          <w:rFonts w:ascii="Arial" w:cs="Arial" w:eastAsia="Arial" w:hAnsi="Arial"/>
          <w:sz w:val="22"/>
          <w:szCs w:val="22"/>
        </w:rPr>
        <w:t xml:space="preserve">An Azure Landing Zone is a pre-configured, scalable, and secure environment in Azure that acts as a foundation for all workloads. It enforces consistent governance, security, networking, identity, and management at scale — built on the principle of Policy-Driven Governance.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1"/>
              <w:left w:val="single" w:color="D9D9D9" w:sz="1"/>
              <w:bottom w:val="single" w:color="D9D9D9" w:sz="1"/>
              <w:right w:val="single" w:color="D9D9D9" w:sz="1"/>
            </w:tcBorders>
            <w:shd w:fill="5F28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PRINCIPLE</w:t>
            </w:r>
          </w:p>
        </w:tc>
        <w:tc>
          <w:tcPr>
            <w:tcW w:type="dxa" w:w="7920"/>
            <w:tcBorders>
              <w:top w:val="single" w:color="D9D9D9" w:sz="1"/>
              <w:left w:val="single" w:color="D9D9D9" w:sz="1"/>
              <w:bottom w:val="single" w:color="D9D9D9" w:sz="1"/>
              <w:right w:val="single" w:color="D9D9D9" w:sz="1"/>
            </w:tcBorders>
            <w:shd w:fill="F2EEF2" w:val="clear"/>
            <w:tcMar>
              <w:top w:type="dxa" w:w="100"/>
              <w:left w:type="dxa" w:w="160"/>
              <w:bottom w:type="dxa" w:w="100"/>
              <w:right w:type="dxa" w:w="120"/>
            </w:tcMar>
          </w:tcPr>
          <w:p>
            <w:r>
              <w:rPr>
                <w:rFonts w:ascii="Arial" w:cs="Arial" w:eastAsia="Arial" w:hAnsi="Arial"/>
                <w:sz w:val="21"/>
                <w:szCs w:val="21"/>
              </w:rPr>
              <w:t xml:space="preserve">Azure Landing Zones use Azure Policy as the primary enforcement mechanism. Platform controls are codified as policy rather than relying on manual processes or human behaviour.</w:t>
            </w:r>
          </w:p>
        </w:tc>
      </w:tr>
    </w:tbl>
    <w:p>
      <w:r>
        <w:t xml:space="preserve"/>
      </w:r>
    </w:p>
    <w:p>
      <w:pPr>
        <w:pStyle w:val="Heading2"/>
        <w:spacing w:after="120" w:before="280"/>
      </w:pPr>
      <w:r>
        <w:rPr>
          <w:rFonts w:ascii="Arial" w:cs="Arial" w:eastAsia="Arial" w:hAnsi="Arial"/>
          <w:b/>
          <w:bCs/>
          <w:color w:val="7030A0"/>
          <w:sz w:val="28"/>
          <w:szCs w:val="28"/>
        </w:rPr>
        <w:t xml:space="preserve">1.3 Design Principles</w:t>
      </w:r>
    </w:p>
    <w:p>
      <w:pPr>
        <w:spacing w:after="80" w:before="60"/>
      </w:pPr>
      <w:r>
        <w:rPr>
          <w:rFonts w:ascii="Arial" w:cs="Arial" w:eastAsia="Arial" w:hAnsi="Arial"/>
          <w:sz w:val="22"/>
          <w:szCs w:val="22"/>
        </w:rPr>
        <w:t xml:space="preserve">Microsoft's ALZ is underpinned by five core design principles:</w:t>
      </w:r>
    </w:p>
    <w:p>
      <w:pPr>
        <w:pStyle w:val="ListParagraph"/>
        <w:numPr>
          <w:ilvl w:val="0"/>
          <w:numId w:val="2"/>
        </w:numPr>
        <w:spacing w:after="40" w:before="40"/>
      </w:pPr>
      <w:r>
        <w:rPr>
          <w:rFonts w:ascii="Arial" w:cs="Arial" w:eastAsia="Arial" w:hAnsi="Arial"/>
          <w:sz w:val="22"/>
          <w:szCs w:val="22"/>
        </w:rPr>
        <w:t xml:space="preserve">Subscription Democratisation — Subscriptions are the unit of scale and management.</w:t>
      </w:r>
    </w:p>
    <w:p>
      <w:pPr>
        <w:pStyle w:val="ListParagraph"/>
        <w:numPr>
          <w:ilvl w:val="0"/>
          <w:numId w:val="2"/>
        </w:numPr>
        <w:spacing w:after="40" w:before="40"/>
      </w:pPr>
      <w:r>
        <w:rPr>
          <w:rFonts w:ascii="Arial" w:cs="Arial" w:eastAsia="Arial" w:hAnsi="Arial"/>
          <w:sz w:val="22"/>
          <w:szCs w:val="22"/>
        </w:rPr>
        <w:t xml:space="preserve">Policy-Driven Governance — Azure Policy enforces organisational standards.</w:t>
      </w:r>
    </w:p>
    <w:p>
      <w:pPr>
        <w:pStyle w:val="ListParagraph"/>
        <w:numPr>
          <w:ilvl w:val="0"/>
          <w:numId w:val="2"/>
        </w:numPr>
        <w:spacing w:after="40" w:before="40"/>
      </w:pPr>
      <w:r>
        <w:rPr>
          <w:rFonts w:ascii="Arial" w:cs="Arial" w:eastAsia="Arial" w:hAnsi="Arial"/>
          <w:sz w:val="22"/>
          <w:szCs w:val="22"/>
        </w:rPr>
        <w:t xml:space="preserve">Single Control and Management Plane — Azure Resource Manager (ARM) is the authoritative plane.</w:t>
      </w:r>
    </w:p>
    <w:p>
      <w:pPr>
        <w:pStyle w:val="ListParagraph"/>
        <w:numPr>
          <w:ilvl w:val="0"/>
          <w:numId w:val="2"/>
        </w:numPr>
        <w:spacing w:after="40" w:before="40"/>
      </w:pPr>
      <w:r>
        <w:rPr>
          <w:rFonts w:ascii="Arial" w:cs="Arial" w:eastAsia="Arial" w:hAnsi="Arial"/>
          <w:sz w:val="22"/>
          <w:szCs w:val="22"/>
        </w:rPr>
        <w:t xml:space="preserve">Application-Centric and Archetype-Neutral — Platform supports any workload type.</w:t>
      </w:r>
    </w:p>
    <w:p>
      <w:pPr>
        <w:pStyle w:val="ListParagraph"/>
        <w:numPr>
          <w:ilvl w:val="0"/>
          <w:numId w:val="2"/>
        </w:numPr>
        <w:spacing w:after="40" w:before="40"/>
      </w:pPr>
      <w:r>
        <w:rPr>
          <w:rFonts w:ascii="Arial" w:cs="Arial" w:eastAsia="Arial" w:hAnsi="Arial"/>
          <w:sz w:val="22"/>
          <w:szCs w:val="22"/>
        </w:rPr>
        <w:t xml:space="preserve">Azure-Native Design and Aligned Roadmaps — Preference for first-party Azure services.</w:t>
      </w:r>
    </w:p>
    <w:p>
      <w:r>
        <w:t xml:space="preserve"/>
      </w:r>
    </w:p>
    <w:p>
      <w:pPr>
        <w:pStyle w:val="Heading2"/>
        <w:spacing w:after="120" w:before="280"/>
      </w:pPr>
      <w:r>
        <w:rPr>
          <w:rFonts w:ascii="Arial" w:cs="Arial" w:eastAsia="Arial" w:hAnsi="Arial"/>
          <w:b/>
          <w:bCs/>
          <w:color w:val="7030A0"/>
          <w:sz w:val="28"/>
          <w:szCs w:val="28"/>
        </w:rPr>
        <w:t xml:space="preserve">1.4 Reference Architecture Components</w:t>
      </w:r>
    </w:p>
    <w:p>
      <w:pPr>
        <w:spacing w:after="80" w:before="60"/>
      </w:pPr>
      <w:r>
        <w:rPr>
          <w:rFonts w:ascii="Arial" w:cs="Arial" w:eastAsia="Arial" w:hAnsi="Arial"/>
          <w:sz w:val="22"/>
          <w:szCs w:val="22"/>
        </w:rPr>
        <w:t xml:space="preserve">The following components constitute a complete Azure Landing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Service / Feature</w:t>
            </w:r>
          </w:p>
        </w:tc>
        <w:tc>
          <w:tcPr>
            <w:tcW w:type="dxa" w:w="288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Management Groups</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Management Groups</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Hierarchical policy and RBAC scope</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Subscriptions</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 Subscriptions</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Billing boundary and scale unit</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Identity &amp; Access</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AD / Entra ID, PIM</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Authentication, authorisation, privileged access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Networking</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Hub-Spoke VNet, Azure Firewall, ExpressRoute/VPN</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Connectivity, segmentation, inspection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Security</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Microsoft Defender for Cloud, Sentinel</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Threat protection, SIEM/SOAR</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Governance</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 Policy, Blueprints (deprecated → Bicep)</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Guardrails, compliance</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Management</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Log Analytics, Azure Monitor, Update Mgmt</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Observability, patching</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Platform Automation</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Bicep / Terraform / GitHub Actions</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Infrastructure as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F2861" w:val="clear"/>
            <w:tcMar>
              <w:top w:type="dxa" w:w="160"/>
              <w:left w:type="dxa" w:w="240"/>
              <w:bottom w:type="dxa" w:w="100"/>
              <w:right w:type="dxa" w:w="240"/>
            </w:tcMar>
          </w:tcPr>
          <w:p>
            <w:r>
              <w:rPr>
                <w:rFonts w:ascii="Arial" w:cs="Arial" w:eastAsia="Arial" w:hAnsi="Arial"/>
                <w:b/>
                <w:bCs/>
                <w:color w:val="FFFFFF"/>
                <w:sz w:val="32"/>
                <w:szCs w:val="32"/>
              </w:rPr>
              <w:t xml:space="preserve">2. Management Group Hierarchy</w:t>
            </w:r>
          </w:p>
          <w:p>
            <w:r>
              <w:rPr>
                <w:rFonts w:ascii="Arial" w:cs="Arial" w:eastAsia="Arial" w:hAnsi="Arial"/>
                <w:color w:val="FFFFFF"/>
                <w:sz w:val="20"/>
                <w:szCs w:val="20"/>
              </w:rPr>
              <w:t xml:space="preserve">Organisational Structure &amp; Policy Inheritance</w:t>
            </w:r>
          </w:p>
        </w:tc>
      </w:tr>
    </w:tbl>
    <w:p>
      <w:r>
        <w:t xml:space="preserve"/>
      </w:r>
    </w:p>
    <w:p>
      <w:pPr>
        <w:pStyle w:val="Heading2"/>
        <w:spacing w:after="120" w:before="280"/>
      </w:pPr>
      <w:r>
        <w:rPr>
          <w:rFonts w:ascii="Arial" w:cs="Arial" w:eastAsia="Arial" w:hAnsi="Arial"/>
          <w:b/>
          <w:bCs/>
          <w:color w:val="7030A0"/>
          <w:sz w:val="28"/>
          <w:szCs w:val="28"/>
        </w:rPr>
        <w:t xml:space="preserve">2.1 Recommended Hierarchy</w:t>
      </w:r>
    </w:p>
    <w:p>
      <w:pPr>
        <w:spacing w:after="80" w:before="60"/>
      </w:pPr>
      <w:r>
        <w:rPr>
          <w:rFonts w:ascii="Arial" w:cs="Arial" w:eastAsia="Arial" w:hAnsi="Arial"/>
          <w:sz w:val="22"/>
          <w:szCs w:val="22"/>
        </w:rPr>
        <w:t xml:space="preserve">Microsoft recommends a flat management group hierarchy with a maximum depth of 4–5 levels. Below is the Enterprise-Scale recommended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Management Group</w:t>
            </w:r>
          </w:p>
        </w:tc>
        <w:tc>
          <w:tcPr>
            <w:tcW w:type="dxa" w:w="61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Tenant Root Group</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Auto-created; avoid assigning policies here unless absolutely necessary. Grants access to all subscriptions.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  └─ [Org Name] (Root MG)</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Top-level custom MG beneath Tenant Root. Apply baseline policies applicable to all resources enterprise-wide.</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     └─ Platform</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Hosts platform subscriptions: Management, Connectivity, Identity. Inherited by all platform workloads.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        └─ Management</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Log Analytics workspace, Automation Account, Azure Monitor. Centralised observability subscription.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        └─ Connectivity</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Hub VNet, Azure Firewall, ExpressRoute/VPN GW, Azure DNS, DDoS Protection Plan.</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        └─ Identity</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Active Directory Domain Services (ADDS) or Entra ID Private Access. Domain Controllers if needed.</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     └─ Landing Zones</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Parent MG for all application/workload subscriptions. Apply workload governance policies here.</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        └─ Corp</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Workloads requiring corporate network connectivity (on-prem, hub-spoke). No direct internet egress.</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        └─ Online</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Workloads requiring direct internet access. E-commerce, public APIs, SaaS delivery.</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     └─ Sandbox</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Developer experimentation. Isolated; no connectivity to corp network. Budget caps enforced.</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     └─ Decommissioned</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Subscriptions staged for removal. Move unused subscriptions here before cancellation.</w:t>
            </w:r>
          </w:p>
        </w:tc>
      </w:tr>
    </w:tbl>
    <w:p>
      <w:r>
        <w:t xml:space="preserve"/>
      </w:r>
    </w:p>
    <w:p>
      <w:pPr>
        <w:pStyle w:val="Heading2"/>
        <w:spacing w:after="120" w:before="280"/>
      </w:pPr>
      <w:r>
        <w:rPr>
          <w:rFonts w:ascii="Arial" w:cs="Arial" w:eastAsia="Arial" w:hAnsi="Arial"/>
          <w:b/>
          <w:bCs/>
          <w:color w:val="7030A0"/>
          <w:sz w:val="28"/>
          <w:szCs w:val="28"/>
        </w:rPr>
        <w:t xml:space="preserve">2.2 Management Group Design Rules</w:t>
      </w:r>
    </w:p>
    <w:p>
      <w:pPr>
        <w:pStyle w:val="ListParagraph"/>
        <w:numPr>
          <w:ilvl w:val="0"/>
          <w:numId w:val="2"/>
        </w:numPr>
        <w:spacing w:after="40" w:before="40"/>
      </w:pPr>
      <w:r>
        <w:rPr>
          <w:rFonts w:ascii="Arial" w:cs="Arial" w:eastAsia="Arial" w:hAnsi="Arial"/>
          <w:sz w:val="22"/>
          <w:szCs w:val="22"/>
        </w:rPr>
        <w:t xml:space="preserve">Do not exceed 6 levels of MG depth (Tenant Root counts as Level 1).</w:t>
      </w:r>
    </w:p>
    <w:p>
      <w:pPr>
        <w:pStyle w:val="ListParagraph"/>
        <w:numPr>
          <w:ilvl w:val="0"/>
          <w:numId w:val="2"/>
        </w:numPr>
        <w:spacing w:after="40" w:before="40"/>
      </w:pPr>
      <w:r>
        <w:rPr>
          <w:rFonts w:ascii="Arial" w:cs="Arial" w:eastAsia="Arial" w:hAnsi="Arial"/>
          <w:sz w:val="22"/>
          <w:szCs w:val="22"/>
        </w:rPr>
        <w:t xml:space="preserve">Each subscription can only belong to one management group at a time.</w:t>
      </w:r>
    </w:p>
    <w:p>
      <w:pPr>
        <w:pStyle w:val="ListParagraph"/>
        <w:numPr>
          <w:ilvl w:val="0"/>
          <w:numId w:val="2"/>
        </w:numPr>
        <w:spacing w:after="40" w:before="40"/>
      </w:pPr>
      <w:r>
        <w:rPr>
          <w:rFonts w:ascii="Arial" w:cs="Arial" w:eastAsia="Arial" w:hAnsi="Arial"/>
          <w:sz w:val="22"/>
          <w:szCs w:val="22"/>
        </w:rPr>
        <w:t xml:space="preserve">Apply policies at the highest appropriate MG level to reduce duplication.</w:t>
      </w:r>
    </w:p>
    <w:p>
      <w:pPr>
        <w:pStyle w:val="ListParagraph"/>
        <w:numPr>
          <w:ilvl w:val="0"/>
          <w:numId w:val="2"/>
        </w:numPr>
        <w:spacing w:after="40" w:before="40"/>
      </w:pPr>
      <w:r>
        <w:rPr>
          <w:rFonts w:ascii="Arial" w:cs="Arial" w:eastAsia="Arial" w:hAnsi="Arial"/>
          <w:sz w:val="22"/>
          <w:szCs w:val="22"/>
        </w:rPr>
        <w:t xml:space="preserve">Use 'Deny' effect policies sparingly at higher levels; prefer 'Audit' during initial rollout.</w:t>
      </w:r>
    </w:p>
    <w:p>
      <w:pPr>
        <w:pStyle w:val="ListParagraph"/>
        <w:numPr>
          <w:ilvl w:val="0"/>
          <w:numId w:val="2"/>
        </w:numPr>
        <w:spacing w:after="40" w:before="40"/>
      </w:pPr>
      <w:r>
        <w:rPr>
          <w:rFonts w:ascii="Arial" w:cs="Arial" w:eastAsia="Arial" w:hAnsi="Arial"/>
          <w:sz w:val="22"/>
          <w:szCs w:val="22"/>
        </w:rPr>
        <w:t xml:space="preserve">The Tenant Root Group policy assignment requires Global Administrator elevation.</w:t>
      </w:r>
    </w:p>
    <w:p>
      <w:pPr>
        <w:pStyle w:val="ListParagraph"/>
        <w:numPr>
          <w:ilvl w:val="0"/>
          <w:numId w:val="2"/>
        </w:numPr>
        <w:spacing w:after="40" w:before="40"/>
      </w:pPr>
      <w:r>
        <w:rPr>
          <w:rFonts w:ascii="Arial" w:cs="Arial" w:eastAsia="Arial" w:hAnsi="Arial"/>
          <w:sz w:val="22"/>
          <w:szCs w:val="22"/>
        </w:rPr>
        <w:t xml:space="preserve">Allow a minimum 15-minute propagation period after MG policy assignments before testing.</w:t>
      </w:r>
    </w:p>
    <w:p>
      <w:r>
        <w:t xml:space="preserve"/>
      </w:r>
    </w:p>
    <w:p>
      <w:pPr>
        <w:pStyle w:val="Heading2"/>
        <w:spacing w:after="120" w:before="280"/>
      </w:pPr>
      <w:r>
        <w:rPr>
          <w:rFonts w:ascii="Arial" w:cs="Arial" w:eastAsia="Arial" w:hAnsi="Arial"/>
          <w:b/>
          <w:bCs/>
          <w:color w:val="7030A0"/>
          <w:sz w:val="28"/>
          <w:szCs w:val="28"/>
        </w:rPr>
        <w:t xml:space="preserve">2.3 Subscription Design</w:t>
      </w:r>
    </w:p>
    <w:p>
      <w:pPr>
        <w:spacing w:after="80" w:before="60"/>
      </w:pPr>
      <w:r>
        <w:rPr>
          <w:rFonts w:ascii="Arial" w:cs="Arial" w:eastAsia="Arial" w:hAnsi="Arial"/>
          <w:sz w:val="22"/>
          <w:szCs w:val="22"/>
        </w:rPr>
        <w:t xml:space="preserve">Subscriptions serve as the primary unit of scale and the blast radius boundary. Apply the following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Design Decision</w:t>
            </w:r>
          </w:p>
        </w:tc>
        <w:tc>
          <w:tcPr>
            <w:tcW w:type="dxa" w:w="61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Recommendation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Subscription per environment</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Separate subscriptions for Production, Non-Production, and Sandbox. Do not share Production with Dev/Test.</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Subscription per application</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For large, complex workloads. Small/medium workloads may share a subscription with strict tagging.</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Resource group naming</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Use consistent naming: &lt;org&gt;-&lt;workload&gt;-&lt;environment&gt;-&lt;region&gt;-rg. Example: contoso-payments-prod-uks-rg</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Subscription limit awareness</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Monitor: 800 resource groups/subscription, 980 resource deployments/RG/hour (ARM throttling).</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Subscription vending</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Automate subscription creation via Azure Landing Zone Vending (Bicep module or Terraform).</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Billing model</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Enterprise Agreement (EA), Microsoft Customer Agreement (MCA), or CSP. EA recommended at scale.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F2861" w:val="clear"/>
            <w:tcMar>
              <w:top w:type="dxa" w:w="160"/>
              <w:left w:type="dxa" w:w="240"/>
              <w:bottom w:type="dxa" w:w="100"/>
              <w:right w:type="dxa" w:w="240"/>
            </w:tcMar>
          </w:tcPr>
          <w:p>
            <w:r>
              <w:rPr>
                <w:rFonts w:ascii="Arial" w:cs="Arial" w:eastAsia="Arial" w:hAnsi="Arial"/>
                <w:b/>
                <w:bCs/>
                <w:color w:val="FFFFFF"/>
                <w:sz w:val="32"/>
                <w:szCs w:val="32"/>
              </w:rPr>
              <w:t xml:space="preserve">3. Identity &amp; Access Management</w:t>
            </w:r>
          </w:p>
          <w:p>
            <w:r>
              <w:rPr>
                <w:rFonts w:ascii="Arial" w:cs="Arial" w:eastAsia="Arial" w:hAnsi="Arial"/>
                <w:color w:val="FFFFFF"/>
                <w:sz w:val="20"/>
                <w:szCs w:val="20"/>
              </w:rPr>
              <w:t xml:space="preserve">Entra ID, RBAC, and Privileged Identity Management</w:t>
            </w:r>
          </w:p>
        </w:tc>
      </w:tr>
    </w:tbl>
    <w:p>
      <w:r>
        <w:t xml:space="preserve"/>
      </w:r>
    </w:p>
    <w:p>
      <w:pPr>
        <w:pStyle w:val="Heading2"/>
        <w:spacing w:after="120" w:before="280"/>
      </w:pPr>
      <w:r>
        <w:rPr>
          <w:rFonts w:ascii="Arial" w:cs="Arial" w:eastAsia="Arial" w:hAnsi="Arial"/>
          <w:b/>
          <w:bCs/>
          <w:color w:val="7030A0"/>
          <w:sz w:val="28"/>
          <w:szCs w:val="28"/>
        </w:rPr>
        <w:t xml:space="preserve">3.1 Identity Architecture</w:t>
      </w:r>
    </w:p>
    <w:p>
      <w:pPr>
        <w:spacing w:after="80" w:before="60"/>
      </w:pPr>
      <w:r>
        <w:rPr>
          <w:rFonts w:ascii="Arial" w:cs="Arial" w:eastAsia="Arial" w:hAnsi="Arial"/>
          <w:sz w:val="22"/>
          <w:szCs w:val="22"/>
        </w:rPr>
        <w:t xml:space="preserve">Identity is foundational to Azure Landing Zones. Microsoft recommends a single Entra ID (formerly Azure AD) tenant for most organisations, with clearly defined roles and access boundaries.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1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Configuration Recommendation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Entra ID Tenant</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Single tenant per organisation. Multi-tenant is complex; avoid unless B2B/acquisition scenarios dictate.</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Hybrid Identity</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Use Microsoft Entra Connect (Azure AD Connect) for password hash sync (PHS) or pass-through authentication (PTA). PHS recommended for resilience.</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MFA</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Enforce MFA for all users via Conditional Access. Exclude break-glass accounts only (monitored separately).</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Break-Glass Accounts</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Minimum 2 cloud-only accounts, no MFA (hardware FIDO2 key acceptable), Global Admin role. Store credentials in physical safe. Alert on usage.</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Entra ID P2</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Required for PIM, Identity Protection, Access Reviews. License all admin and privileged users.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Guest Access</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Restrict via Entra External Identities. Require MFA for guests. Review monthly via Access Reviews.</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Device Compliance</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Require Compliant Device or Hybrid Azure AD Join via Conditional Access for all admin portals.</w:t>
            </w:r>
          </w:p>
        </w:tc>
      </w:tr>
    </w:tbl>
    <w:p>
      <w:r>
        <w:t xml:space="preserve"/>
      </w:r>
    </w:p>
    <w:p>
      <w:pPr>
        <w:pStyle w:val="Heading2"/>
        <w:spacing w:after="120" w:before="280"/>
      </w:pPr>
      <w:r>
        <w:rPr>
          <w:rFonts w:ascii="Arial" w:cs="Arial" w:eastAsia="Arial" w:hAnsi="Arial"/>
          <w:b/>
          <w:bCs/>
          <w:color w:val="7030A0"/>
          <w:sz w:val="28"/>
          <w:szCs w:val="28"/>
        </w:rPr>
        <w:t xml:space="preserve">3.2 RBAC Design</w:t>
      </w:r>
    </w:p>
    <w:p>
      <w:pPr>
        <w:spacing w:after="80" w:before="60"/>
      </w:pPr>
      <w:r>
        <w:rPr>
          <w:rFonts w:ascii="Arial" w:cs="Arial" w:eastAsia="Arial" w:hAnsi="Arial"/>
          <w:sz w:val="22"/>
          <w:szCs w:val="22"/>
        </w:rPr>
        <w:t xml:space="preserve">Role-Based Access Control (RBAC) should follow the principle of least privilege. Avoid granting permanent standing access to sensitive roles.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tblHeader/>
        </w:trPr>
        <w:tc>
          <w:tcPr>
            <w:tcW w:type="dxa" w:w="288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RBAC Role</w:t>
            </w:r>
          </w:p>
        </w:tc>
        <w:tc>
          <w:tcPr>
            <w:tcW w:type="dxa" w:w="216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Scope</w:t>
            </w:r>
          </w:p>
        </w:tc>
        <w:tc>
          <w:tcPr>
            <w:tcW w:type="dxa" w:w="43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Assignment Guidance</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Owner</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Subscription (time-limited via PIM)</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Platform team only. Maximum 2 permanent Owners per subscription. Use PIM for JIT activation.</w:t>
            </w:r>
          </w:p>
        </w:tc>
      </w:tr>
      <w:tr>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Contributor</w:t>
            </w:r>
          </w:p>
        </w:tc>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Resource Group (JIT via PIM)</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Application teams. Scoped to their RG. Never at subscription scope without Owner justification.</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Reader</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Subscription or MG</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Broad read access for monitoring, audit teams. Low risk; can be permanent.</w:t>
            </w:r>
          </w:p>
        </w:tc>
      </w:tr>
      <w:tr>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User Access Administrator</w:t>
            </w:r>
          </w:p>
        </w:tc>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Subscription (JIT via PIM)</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Required for role assignments. Grant only when needed; time-bounded.</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Network Contributor</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Connectivity subscription / RG</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Platform networking team only. Do not delegate to application teams.</w:t>
            </w:r>
          </w:p>
        </w:tc>
      </w:tr>
      <w:tr>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Security Admin</w:t>
            </w:r>
          </w:p>
        </w:tc>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Subscription</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Security operations team. Access to Microsoft Defender for Cloud policies.</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Log Analytics Contributor</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Management subscription</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Platform ops team. Required for workspace management and monitoring configuration.</w:t>
            </w:r>
          </w:p>
        </w:tc>
      </w:tr>
      <w:tr>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Custom roles</w:t>
            </w:r>
          </w:p>
        </w:tc>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As required</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Create custom roles when built-in roles are too permissive. Document and audit custom roles quarterly.</w:t>
            </w:r>
          </w:p>
        </w:tc>
      </w:tr>
    </w:tbl>
    <w:p>
      <w:r>
        <w:t xml:space="preserve"/>
      </w:r>
    </w:p>
    <w:p>
      <w:pPr>
        <w:pStyle w:val="Heading2"/>
        <w:spacing w:after="120" w:before="280"/>
      </w:pPr>
      <w:r>
        <w:rPr>
          <w:rFonts w:ascii="Arial" w:cs="Arial" w:eastAsia="Arial" w:hAnsi="Arial"/>
          <w:b/>
          <w:bCs/>
          <w:color w:val="7030A0"/>
          <w:sz w:val="28"/>
          <w:szCs w:val="28"/>
        </w:rPr>
        <w:t xml:space="preserve">3.3 Privileged Identity Management (PIM)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PIM Setting</w:t>
            </w:r>
          </w:p>
        </w:tc>
        <w:tc>
          <w:tcPr>
            <w:tcW w:type="dxa" w:w="61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Recommended Value</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Activation duration (Owner)</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4 hours maximum. Require justification and MFA on activation.</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Activation duration (Contributor)</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8 hours maximum. Require justification.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Activation duration (Global Admin)</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1–4 hours maximum. Require approval from second admin. Require MFA.</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Require approval for</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All Global Admin, Owner, User Access Administrator activations.</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Alert on permanent assignments</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Configure alerts for permanent Global Admin, Owner assignments outside approved accounts.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Access reviews</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Quarterly for all privileged roles. Monthly for Global Administrator.</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Eligible assignments expiry</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12 months maximum. Trigger re-approval on expiry.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F2861" w:val="clear"/>
            <w:tcMar>
              <w:top w:type="dxa" w:w="160"/>
              <w:left w:type="dxa" w:w="240"/>
              <w:bottom w:type="dxa" w:w="100"/>
              <w:right w:type="dxa" w:w="240"/>
            </w:tcMar>
          </w:tcPr>
          <w:p>
            <w:r>
              <w:rPr>
                <w:rFonts w:ascii="Arial" w:cs="Arial" w:eastAsia="Arial" w:hAnsi="Arial"/>
                <w:b/>
                <w:bCs/>
                <w:color w:val="FFFFFF"/>
                <w:sz w:val="32"/>
                <w:szCs w:val="32"/>
              </w:rPr>
              <w:t xml:space="preserve">4. Networking Architecture</w:t>
            </w:r>
          </w:p>
          <w:p>
            <w:r>
              <w:rPr>
                <w:rFonts w:ascii="Arial" w:cs="Arial" w:eastAsia="Arial" w:hAnsi="Arial"/>
                <w:color w:val="FFFFFF"/>
                <w:sz w:val="20"/>
                <w:szCs w:val="20"/>
              </w:rPr>
              <w:t xml:space="preserve">Hub-Spoke, Connectivity, and Network Security</w:t>
            </w:r>
          </w:p>
        </w:tc>
      </w:tr>
    </w:tbl>
    <w:p>
      <w:r>
        <w:t xml:space="preserve"/>
      </w:r>
    </w:p>
    <w:p>
      <w:pPr>
        <w:pStyle w:val="Heading2"/>
        <w:spacing w:after="120" w:before="280"/>
      </w:pPr>
      <w:r>
        <w:rPr>
          <w:rFonts w:ascii="Arial" w:cs="Arial" w:eastAsia="Arial" w:hAnsi="Arial"/>
          <w:b/>
          <w:bCs/>
          <w:color w:val="7030A0"/>
          <w:sz w:val="28"/>
          <w:szCs w:val="28"/>
        </w:rPr>
        <w:t xml:space="preserve">4.1 Topology — Hub-Spoke (Recommended)</w:t>
      </w:r>
    </w:p>
    <w:p>
      <w:pPr>
        <w:spacing w:after="80" w:before="60"/>
      </w:pPr>
      <w:r>
        <w:rPr>
          <w:rFonts w:ascii="Arial" w:cs="Arial" w:eastAsia="Arial" w:hAnsi="Arial"/>
          <w:sz w:val="22"/>
          <w:szCs w:val="22"/>
        </w:rPr>
        <w:t xml:space="preserve">Microsoft recommends the Hub-Spoke VNet topology for most enterprise scenarios. The Hub VNet is deployed in the Connectivity subscription and contains shared networking infrastructure. Spokes are peered to the Hub.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1"/>
              <w:left w:val="single" w:color="D9D9D9" w:sz="1"/>
              <w:bottom w:val="single" w:color="D9D9D9" w:sz="1"/>
              <w:right w:val="single" w:color="D9D9D9" w:sz="1"/>
            </w:tcBorders>
            <w:shd w:fill="5F286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ALTERNATIVE</w:t>
            </w:r>
          </w:p>
        </w:tc>
        <w:tc>
          <w:tcPr>
            <w:tcW w:type="dxa" w:w="7920"/>
            <w:tcBorders>
              <w:top w:val="single" w:color="D9D9D9" w:sz="1"/>
              <w:left w:val="single" w:color="D9D9D9" w:sz="1"/>
              <w:bottom w:val="single" w:color="D9D9D9" w:sz="1"/>
              <w:right w:val="single" w:color="D9D9D9" w:sz="1"/>
            </w:tcBorders>
            <w:shd w:fill="F2EEF2" w:val="clear"/>
            <w:tcMar>
              <w:top w:type="dxa" w:w="100"/>
              <w:left w:type="dxa" w:w="160"/>
              <w:bottom w:type="dxa" w:w="100"/>
              <w:right w:type="dxa" w:w="120"/>
            </w:tcMar>
          </w:tcPr>
          <w:p>
            <w:r>
              <w:rPr>
                <w:rFonts w:ascii="Arial" w:cs="Arial" w:eastAsia="Arial" w:hAnsi="Arial"/>
                <w:sz w:val="21"/>
                <w:szCs w:val="21"/>
              </w:rPr>
              <w:t xml:space="preserve">Virtual WAN (vWAN) is recommended when the organisation requires automated any-to-any routing, branch connectivity at scale (&gt;30 sites), or SD-WAN integration. Choose vWAN over Hub-Spoke for global multi-region deployments.</w:t>
            </w:r>
          </w:p>
        </w:tc>
      </w:tr>
    </w:tbl>
    <w:p>
      <w:r>
        <w:t xml:space="preserve"/>
      </w:r>
    </w:p>
    <w:p>
      <w:pPr>
        <w:pStyle w:val="Heading2"/>
        <w:spacing w:after="120" w:before="280"/>
      </w:pPr>
      <w:r>
        <w:rPr>
          <w:rFonts w:ascii="Arial" w:cs="Arial" w:eastAsia="Arial" w:hAnsi="Arial"/>
          <w:b/>
          <w:bCs/>
          <w:color w:val="7030A0"/>
          <w:sz w:val="28"/>
          <w:szCs w:val="28"/>
        </w:rPr>
        <w:t xml:space="preserve">4.2 Hub VNet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Setting</w:t>
            </w:r>
          </w:p>
        </w:tc>
        <w:tc>
          <w:tcPr>
            <w:tcW w:type="dxa" w:w="61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Recommended Configuration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Hub VNet address space</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Non-overlapping RFC 1918 range. Example: 10.0.0.0/16 (Connectivity). Reserve sufficient space for growth.</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GatewaySubnet</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/27 minimum (/26 recommended for VPN + ExpressRoute coexistence). Do NOT apply NSGs to GatewaySubnet.</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AzureFirewallSubnet</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/26 minimum. Required name. No NSG.</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AzureFirewallManagementSubnet</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/26. Required for forced tunnelling scenarios. No NSG.</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AzureBastionSubnet</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/26 minimum. Required name. No NSG.</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RouteServerSubnet</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/27 minimum. Required if using Azure Route Server.</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DNS Private Resolver Inbound</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/28 minimum. Used if deploying DNS Private Resolver.</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DNS Private Resolver Outbound</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/28 minimum.</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Management subnet</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/27 or /28 for management VMs, NVAs, monitoring collectors.</w:t>
            </w:r>
          </w:p>
        </w:tc>
      </w:tr>
    </w:tbl>
    <w:p>
      <w:r>
        <w:t xml:space="preserve"/>
      </w:r>
    </w:p>
    <w:p>
      <w:pPr>
        <w:pStyle w:val="Heading2"/>
        <w:spacing w:after="120" w:before="280"/>
      </w:pPr>
      <w:r>
        <w:rPr>
          <w:rFonts w:ascii="Arial" w:cs="Arial" w:eastAsia="Arial" w:hAnsi="Arial"/>
          <w:b/>
          <w:bCs/>
          <w:color w:val="7030A0"/>
          <w:sz w:val="28"/>
          <w:szCs w:val="28"/>
        </w:rPr>
        <w:t xml:space="preserve">4.3 Spoke VNet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Decision</w:t>
            </w:r>
          </w:p>
        </w:tc>
        <w:tc>
          <w:tcPr>
            <w:tcW w:type="dxa" w:w="61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Recommendation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Spoke per subscription</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One or more spokes per workload subscription. Peer to Hub.</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VNet peering</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Hub-to-Spoke only. Do NOT create Spoke-to-Spoke peering; route all traffic through Hub Firewall.</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Address space allocation</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Request /22 (1022 hosts) for standard workload. Request /21 for large workloads. Managed via IP Address Management (IPAM).</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DNS resolution</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Point DNS servers to Hub-hosted DNS Private Resolver (or custom DNS servers) — NOT Azure-default 168.63.129.16 in production.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Forced tunnelling</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Route 0.0.0.0/0 via Azure Firewall in Hub for all Corp spoke traffic. Use UDR on all subnets.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Private Endpoints</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Deploy private endpoints in a dedicated subnet (/24) per spoke. Enable DNS Private Zones linked to Hub DNS Resolver.</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Service Endpoints</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Avoid where Private Endpoints are available. Permitted for Storage Account/SQL when PE is not feasible.</w:t>
            </w:r>
          </w:p>
        </w:tc>
      </w:tr>
    </w:tbl>
    <w:p>
      <w:r>
        <w:t xml:space="preserve"/>
      </w:r>
    </w:p>
    <w:p>
      <w:pPr>
        <w:pStyle w:val="Heading2"/>
        <w:spacing w:after="120" w:before="280"/>
      </w:pPr>
      <w:r>
        <w:rPr>
          <w:rFonts w:ascii="Arial" w:cs="Arial" w:eastAsia="Arial" w:hAnsi="Arial"/>
          <w:b/>
          <w:bCs/>
          <w:color w:val="7030A0"/>
          <w:sz w:val="28"/>
          <w:szCs w:val="28"/>
        </w:rPr>
        <w:t xml:space="preserve">4.4 Azure Firewall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Setting</w:t>
            </w:r>
          </w:p>
        </w:tc>
        <w:tc>
          <w:tcPr>
            <w:tcW w:type="dxa" w:w="61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Recommendation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SKU</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Firewall Premium for IDPS, TLS inspection, URL category filtering. Standard acceptable for simpler requirements.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Firewall Policy (Hierarchical)</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Create a Base Policy at Hub level. Spoke-level Child Policies inherit Base rules. Allows delegation of spoke-specific rules to application teams.</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Threat Intelligence</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Enable in Alert and Deny mode. Review blocked traffic daily initially; tune as required.</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IDPS (Premium)</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Enable in Alert and Deny mode for east-west and outbound internet traffic.</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DNS Proxy</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Enable DNS Proxy on Azure Firewall. Point all VNet DNS to Firewall private IP.</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TLS Inspection (Premium)</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Enable for outbound internet. Use internal CA; deploy root cert to all domain-joined machines.</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SNAT behaviour</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Firewall SNATs by default for internet traffic. Ensure sufficient public IPs for outbound scale.</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Availability Zones</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Deploy across all available AZs in the region for 99.99% SLA.</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Diagnostic settings</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Send AzureFirewallApplicationRule, AzureFirewallNetworkRule, AzureFirewallDnsProxy logs to central Log Analytics workspace.</w:t>
            </w:r>
          </w:p>
        </w:tc>
      </w:tr>
    </w:tbl>
    <w:p>
      <w:r>
        <w:t xml:space="preserve"/>
      </w:r>
    </w:p>
    <w:p>
      <w:pPr>
        <w:pStyle w:val="Heading2"/>
        <w:spacing w:after="120" w:before="280"/>
      </w:pPr>
      <w:r>
        <w:rPr>
          <w:rFonts w:ascii="Arial" w:cs="Arial" w:eastAsia="Arial" w:hAnsi="Arial"/>
          <w:b/>
          <w:bCs/>
          <w:color w:val="7030A0"/>
          <w:sz w:val="28"/>
          <w:szCs w:val="28"/>
        </w:rPr>
        <w:t xml:space="preserve">4.5 Network Security Groups (NSG) — Design Rules</w:t>
      </w:r>
    </w:p>
    <w:p>
      <w:pPr>
        <w:pStyle w:val="ListParagraph"/>
        <w:numPr>
          <w:ilvl w:val="0"/>
          <w:numId w:val="2"/>
        </w:numPr>
        <w:spacing w:after="40" w:before="40"/>
      </w:pPr>
      <w:r>
        <w:rPr>
          <w:rFonts w:ascii="Arial" w:cs="Arial" w:eastAsia="Arial" w:hAnsi="Arial"/>
          <w:sz w:val="22"/>
          <w:szCs w:val="22"/>
        </w:rPr>
        <w:t xml:space="preserve">Apply NSGs at the subnet level as a minimum. VM-level NSG is optional defence-in-depth.</w:t>
      </w:r>
    </w:p>
    <w:p>
      <w:pPr>
        <w:pStyle w:val="ListParagraph"/>
        <w:numPr>
          <w:ilvl w:val="0"/>
          <w:numId w:val="2"/>
        </w:numPr>
        <w:spacing w:after="40" w:before="40"/>
      </w:pPr>
      <w:r>
        <w:rPr>
          <w:rFonts w:ascii="Arial" w:cs="Arial" w:eastAsia="Arial" w:hAnsi="Arial"/>
          <w:sz w:val="22"/>
          <w:szCs w:val="22"/>
        </w:rPr>
        <w:t xml:space="preserve">Use Application Security Groups (ASGs) to simplify NSG rules for application tiers.</w:t>
      </w:r>
    </w:p>
    <w:p>
      <w:pPr>
        <w:pStyle w:val="ListParagraph"/>
        <w:numPr>
          <w:ilvl w:val="0"/>
          <w:numId w:val="2"/>
        </w:numPr>
        <w:spacing w:after="40" w:before="40"/>
      </w:pPr>
      <w:r>
        <w:rPr>
          <w:rFonts w:ascii="Arial" w:cs="Arial" w:eastAsia="Arial" w:hAnsi="Arial"/>
          <w:sz w:val="22"/>
          <w:szCs w:val="22"/>
        </w:rPr>
        <w:t xml:space="preserve">Default deny inbound from Internet on all non-internet-facing subnets.</w:t>
      </w:r>
    </w:p>
    <w:p>
      <w:pPr>
        <w:pStyle w:val="ListParagraph"/>
        <w:numPr>
          <w:ilvl w:val="0"/>
          <w:numId w:val="2"/>
        </w:numPr>
        <w:spacing w:after="40" w:before="40"/>
      </w:pPr>
      <w:r>
        <w:rPr>
          <w:rFonts w:ascii="Arial" w:cs="Arial" w:eastAsia="Arial" w:hAnsi="Arial"/>
          <w:sz w:val="22"/>
          <w:szCs w:val="22"/>
        </w:rPr>
        <w:t xml:space="preserve">Enable NSG Flow Logs version 2 on all NSGs. Send to storage account and Traffic Analytics.</w:t>
      </w:r>
    </w:p>
    <w:p>
      <w:pPr>
        <w:pStyle w:val="ListParagraph"/>
        <w:numPr>
          <w:ilvl w:val="0"/>
          <w:numId w:val="2"/>
        </w:numPr>
        <w:spacing w:after="40" w:before="40"/>
      </w:pPr>
      <w:r>
        <w:rPr>
          <w:rFonts w:ascii="Arial" w:cs="Arial" w:eastAsia="Arial" w:hAnsi="Arial"/>
          <w:sz w:val="22"/>
          <w:szCs w:val="22"/>
        </w:rPr>
        <w:t xml:space="preserve">Do NOT apply NSGs to: GatewaySubnet, AzureFirewallSubnet, AzureFirewallManagementSubnet, AzureBastionSubnet.</w:t>
      </w:r>
    </w:p>
    <w:p>
      <w:pPr>
        <w:pStyle w:val="ListParagraph"/>
        <w:numPr>
          <w:ilvl w:val="0"/>
          <w:numId w:val="2"/>
        </w:numPr>
        <w:spacing w:after="40" w:before="40"/>
      </w:pPr>
      <w:r>
        <w:rPr>
          <w:rFonts w:ascii="Arial" w:cs="Arial" w:eastAsia="Arial" w:hAnsi="Arial"/>
          <w:sz w:val="22"/>
          <w:szCs w:val="22"/>
        </w:rPr>
        <w:t xml:space="preserve">Review and remove stale NSG rules quarterly.</w:t>
      </w:r>
    </w:p>
    <w:p>
      <w:r>
        <w:t xml:space="preserve"/>
      </w:r>
    </w:p>
    <w:p>
      <w:pPr>
        <w:pStyle w:val="Heading2"/>
        <w:spacing w:after="120" w:before="280"/>
      </w:pPr>
      <w:r>
        <w:rPr>
          <w:rFonts w:ascii="Arial" w:cs="Arial" w:eastAsia="Arial" w:hAnsi="Arial"/>
          <w:b/>
          <w:bCs/>
          <w:color w:val="7030A0"/>
          <w:sz w:val="28"/>
          <w:szCs w:val="28"/>
        </w:rPr>
        <w:t xml:space="preserve">4.6 DNS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DNS Component</w:t>
            </w:r>
          </w:p>
        </w:tc>
        <w:tc>
          <w:tcPr>
            <w:tcW w:type="dxa" w:w="61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Configuration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Private DNS Resolver</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Deploy in Connectivity subscription. Inbound endpoint receives DNS queries from on-prem. Outbound endpoint forwards to on-prem DNS.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Private DNS Zones</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Create in Connectivity subscription. Link to Hub VNet and all Spoke VNets via auto-registration or manual link. Use Azure-recommended zone names (privatelink.*.azure.com).</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On-premises DNS</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Create conditional forwarders on on-prem DNS for all Azure Private DNS zone names, pointing to DNS Resolver inbound endpoint IP.</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Custom DNS servers</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If using custom DNS VMs (AD-integrated), deploy 2 VMs in Identity subscription. HA pair across AZs. Point all VNets DNS to these IPs.</w:t>
            </w:r>
          </w:p>
        </w:tc>
      </w:tr>
    </w:tbl>
    <w:p>
      <w:r>
        <w:t xml:space="preserve"/>
      </w:r>
    </w:p>
    <w:p>
      <w:pPr>
        <w:pStyle w:val="Heading2"/>
        <w:spacing w:after="120" w:before="280"/>
      </w:pPr>
      <w:r>
        <w:rPr>
          <w:rFonts w:ascii="Arial" w:cs="Arial" w:eastAsia="Arial" w:hAnsi="Arial"/>
          <w:b/>
          <w:bCs/>
          <w:color w:val="7030A0"/>
          <w:sz w:val="28"/>
          <w:szCs w:val="28"/>
        </w:rPr>
        <w:t xml:space="preserve">4.7 Hybrid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Option</w:t>
            </w:r>
          </w:p>
        </w:tc>
        <w:tc>
          <w:tcPr>
            <w:tcW w:type="dxa" w:w="61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Use Case &amp; Recommendation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ExpressRoute</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Primary enterprise connectivity. Minimum 1Gbps circuit. Deploy two circuits in different peering locations for redundancy. Use ExpressRoute Global Reach for inter-region.</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Site-to-Site VPN</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Backup to ExpressRoute or for branch offices without ER. Deploy active-active VPN GW using BGP. Zone-redundant SKU (VpnGw1AZ+).</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Point-to-Site VPN</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Remote user access. Prefer Azure AD authentication with OpenVPN or IKEv2. Deploy RADIUS/NPS integration if certificate auth required.</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 Bastion</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Secure RDP/SSH to VMs without public IP. Deploy Standard SKU in Hub. Enable IP-based connection for non-AAD-joined VMs.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F2861" w:val="clear"/>
            <w:tcMar>
              <w:top w:type="dxa" w:w="160"/>
              <w:left w:type="dxa" w:w="240"/>
              <w:bottom w:type="dxa" w:w="100"/>
              <w:right w:type="dxa" w:w="240"/>
            </w:tcMar>
          </w:tcPr>
          <w:p>
            <w:r>
              <w:rPr>
                <w:rFonts w:ascii="Arial" w:cs="Arial" w:eastAsia="Arial" w:hAnsi="Arial"/>
                <w:b/>
                <w:bCs/>
                <w:color w:val="FFFFFF"/>
                <w:sz w:val="32"/>
                <w:szCs w:val="32"/>
              </w:rPr>
              <w:t xml:space="preserve">5. Security Architecture</w:t>
            </w:r>
          </w:p>
          <w:p>
            <w:r>
              <w:rPr>
                <w:rFonts w:ascii="Arial" w:cs="Arial" w:eastAsia="Arial" w:hAnsi="Arial"/>
                <w:color w:val="FFFFFF"/>
                <w:sz w:val="20"/>
                <w:szCs w:val="20"/>
              </w:rPr>
              <w:t xml:space="preserve">Defender for Cloud, Sentinel, and Zero Trust</w:t>
            </w:r>
          </w:p>
        </w:tc>
      </w:tr>
    </w:tbl>
    <w:p>
      <w:r>
        <w:t xml:space="preserve"/>
      </w:r>
    </w:p>
    <w:p>
      <w:pPr>
        <w:pStyle w:val="Heading2"/>
        <w:spacing w:after="120" w:before="280"/>
      </w:pPr>
      <w:r>
        <w:rPr>
          <w:rFonts w:ascii="Arial" w:cs="Arial" w:eastAsia="Arial" w:hAnsi="Arial"/>
          <w:b/>
          <w:bCs/>
          <w:color w:val="7030A0"/>
          <w:sz w:val="28"/>
          <w:szCs w:val="28"/>
        </w:rPr>
        <w:t xml:space="preserve">5.1 Microsoft Defender for Cloud</w:t>
      </w:r>
    </w:p>
    <w:p>
      <w:pPr>
        <w:spacing w:after="80" w:before="60"/>
      </w:pPr>
      <w:r>
        <w:rPr>
          <w:rFonts w:ascii="Arial" w:cs="Arial" w:eastAsia="Arial" w:hAnsi="Arial"/>
          <w:sz w:val="22"/>
          <w:szCs w:val="22"/>
        </w:rPr>
        <w:t xml:space="preserve">Defender for Cloud (DfC) is the primary Cloud Security Posture Management (CSPM) and Cloud Workload Protection Platform (CWPP) in Azure. Enable at the Management Group level to ensure automatic coverage of all current and future subscriptions.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rPr>
          <w:tblHeader/>
        </w:trPr>
        <w:tc>
          <w:tcPr>
            <w:tcW w:type="dxa" w:w="25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Defender Plan</w:t>
            </w:r>
          </w:p>
        </w:tc>
        <w:tc>
          <w:tcPr>
            <w:tcW w:type="dxa" w:w="360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Enable?</w:t>
            </w:r>
          </w:p>
        </w:tc>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Defender CSPM (paid)</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Enables agentless scanning, attack path analysis, cloud security graph, regulatory compliance dashboards.</w:t>
            </w:r>
          </w:p>
        </w:tc>
      </w:tr>
      <w:tr>
        <w:tc>
          <w:tcPr>
            <w:tcW w:type="dxa" w:w="25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Defender for Servers Plan 2</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Recommended (Production)</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MDE integration, vulnerability assessment (Qualys or MDC integrated), adaptive application controls, FIM.</w:t>
            </w:r>
          </w:p>
        </w:tc>
      </w:tr>
      <w:tr>
        <w:tc>
          <w:tcPr>
            <w:tcW w:type="dxa" w:w="2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Defender for Storage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Detects malware uploads, unusual data access, anomalous access patterns. Minimal cost per storage account.</w:t>
            </w:r>
          </w:p>
        </w:tc>
      </w:tr>
      <w:tr>
        <w:tc>
          <w:tcPr>
            <w:tcW w:type="dxa" w:w="25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Defender for SQL</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Advanced threat protection for SQL on Azure VMs and Azure SQL. Enable for all SQL workloads.</w:t>
            </w:r>
          </w:p>
        </w:tc>
      </w:tr>
      <w:tr>
        <w:tc>
          <w:tcPr>
            <w:tcW w:type="dxa" w:w="2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Defender for Containers</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Registry scanning, cluster runtime protection, Kubernetes security posture.</w:t>
            </w:r>
          </w:p>
        </w:tc>
      </w:tr>
      <w:tr>
        <w:tc>
          <w:tcPr>
            <w:tcW w:type="dxa" w:w="25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Defender for Key Vault</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Alerts on unusual access, suspicious IP, brute-force attempts.</w:t>
            </w:r>
          </w:p>
        </w:tc>
      </w:tr>
      <w:tr>
        <w:tc>
          <w:tcPr>
            <w:tcW w:type="dxa" w:w="2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Defender for App Service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Threat detection for web apps, anomalous DNS requests, command injection detection.</w:t>
            </w:r>
          </w:p>
        </w:tc>
      </w:tr>
      <w:tr>
        <w:tc>
          <w:tcPr>
            <w:tcW w:type="dxa" w:w="25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Defender for APIs</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API inventory, anomaly detection, sensitive data discovery in API traffic.</w:t>
            </w:r>
          </w:p>
        </w:tc>
      </w:tr>
      <w:tr>
        <w:tc>
          <w:tcPr>
            <w:tcW w:type="dxa" w:w="2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Defender for DNS</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Included in Servers P2</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Detects data exfiltration over DNS, DNS hijacking. No additional cost with Servers P2.</w:t>
            </w:r>
          </w:p>
        </w:tc>
      </w:tr>
    </w:tbl>
    <w:p>
      <w:r>
        <w:t xml:space="preserve"/>
      </w:r>
    </w:p>
    <w:p>
      <w:pPr>
        <w:pStyle w:val="Heading2"/>
        <w:spacing w:after="120" w:before="280"/>
      </w:pPr>
      <w:r>
        <w:rPr>
          <w:rFonts w:ascii="Arial" w:cs="Arial" w:eastAsia="Arial" w:hAnsi="Arial"/>
          <w:b/>
          <w:bCs/>
          <w:color w:val="7030A0"/>
          <w:sz w:val="28"/>
          <w:szCs w:val="28"/>
        </w:rPr>
        <w:t xml:space="preserve">5.2 Microsoft Sentinel Configuration</w:t>
      </w:r>
    </w:p>
    <w:p>
      <w:pPr>
        <w:spacing w:after="80" w:before="60"/>
      </w:pPr>
      <w:r>
        <w:rPr>
          <w:rFonts w:ascii="Arial" w:cs="Arial" w:eastAsia="Arial" w:hAnsi="Arial"/>
          <w:sz w:val="22"/>
          <w:szCs w:val="22"/>
        </w:rPr>
        <w:t xml:space="preserve">Microsoft Sentinel is the cloud-native SIEM/SOAR. Deploy in a dedicated Log Analytics workspace in the Management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Setting</w:t>
            </w:r>
          </w:p>
        </w:tc>
        <w:tc>
          <w:tcPr>
            <w:tcW w:type="dxa" w:w="61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Recommendation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Workspace design</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Centralised: single Sentinel workspace for all subscriptions. Simplifies correlation and reduces cross-workspace queries. Acceptable unless data residency requires regional separation.</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Data connectors — Critical</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Enable: Entra ID (Sign-ins, Audit), Azure Activity, Microsoft Defender XDR, Microsoft Defender for Cloud, Office 365, Azure Firewall, NSG Flow Logs.</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Data connectors — Recommended</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Microsoft Entra ID Protection, Azure DDoS Protection, Microsoft Purview, DNS, Windows Security Events (via AMA), Syslog (via AMA).</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Analytics rules</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Enable all Microsoft Security Incident Creation rules. Enable relevant Scheduled query rules from Content Hub. Tune to reduce false positives within 30 days.</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Automation (SOAR)</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Create Automation Rules for triage, enrichment, and notification. Use Playbooks (Logic Apps) for auto-remediation of low-risk alerts (e.g. disable compromised account).</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Log retention</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Interactive: 90 days minimum (1 year recommended). Archive: 7 years for regulated industries. Configure data retention per table.</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UEBA</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Enable User and Entity Behavior Analytics. Assign Entity pages for high-value accounts. Review anomaly scores weekly.</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Threat Intelligence</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Enable Microsoft TI connector. Import organisation-specific IOCs via TAXII or flat file.</w:t>
            </w:r>
          </w:p>
        </w:tc>
      </w:tr>
    </w:tbl>
    <w:p>
      <w:r>
        <w:t xml:space="preserve"/>
      </w:r>
    </w:p>
    <w:p>
      <w:pPr>
        <w:pStyle w:val="Heading2"/>
        <w:spacing w:after="120" w:before="280"/>
      </w:pPr>
      <w:r>
        <w:rPr>
          <w:rFonts w:ascii="Arial" w:cs="Arial" w:eastAsia="Arial" w:hAnsi="Arial"/>
          <w:b/>
          <w:bCs/>
          <w:color w:val="7030A0"/>
          <w:sz w:val="28"/>
          <w:szCs w:val="28"/>
        </w:rPr>
        <w:t xml:space="preserve">5.3 Zero Trust Principles</w:t>
      </w:r>
    </w:p>
    <w:p>
      <w:pPr>
        <w:spacing w:after="80" w:before="60"/>
      </w:pPr>
      <w:r>
        <w:rPr>
          <w:rFonts w:ascii="Arial" w:cs="Arial" w:eastAsia="Arial" w:hAnsi="Arial"/>
          <w:sz w:val="22"/>
          <w:szCs w:val="22"/>
        </w:rPr>
        <w:t xml:space="preserve">Microsoft recommends implementing Zero Trust across all Azure Landing Zone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rPr>
          <w:tblHeader/>
        </w:trPr>
        <w:tc>
          <w:tcPr>
            <w:tcW w:type="dxa" w:w="180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Pillar</w:t>
            </w:r>
          </w:p>
        </w:tc>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Zero Trust Principle</w:t>
            </w:r>
          </w:p>
        </w:tc>
        <w:tc>
          <w:tcPr>
            <w:tcW w:type="dxa" w:w="43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Azure Implementation</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Identity</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Verify explicitly; use least privilege</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Conditional Access, PIM, MFA, Entra ID Protection</w:t>
            </w:r>
          </w:p>
        </w:tc>
      </w:tr>
      <w:tr>
        <w:tc>
          <w:tcPr>
            <w:tcW w:type="dxa" w:w="18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Devices</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Use health signals in access decisions</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Intune compliance, Defender for Endpoint, Conditional Access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Networks</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Segment; deny by default; inspect traffic</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Firewall, NSGs, Private Endpoints, TLS inspection</w:t>
            </w:r>
          </w:p>
        </w:tc>
      </w:tr>
      <w:tr>
        <w:tc>
          <w:tcPr>
            <w:tcW w:type="dxa" w:w="18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Applications</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Discover shadow IT; protect sessions</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Defender for Cloud Apps, Conditional Access App Control</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Data</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Classify, label, protect</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Microsoft Purview, sensitivity labels, DLP policies</w:t>
            </w:r>
          </w:p>
        </w:tc>
      </w:tr>
      <w:tr>
        <w:tc>
          <w:tcPr>
            <w:tcW w:type="dxa" w:w="18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Infrastructure</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Detect threats; harden configuration</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Defender for Cloud, Just-In-Time VM access, Secure Score</w:t>
            </w:r>
          </w:p>
        </w:tc>
      </w:tr>
    </w:tbl>
    <w:p>
      <w:r>
        <w:t xml:space="preserve"/>
      </w:r>
    </w:p>
    <w:p>
      <w:pPr>
        <w:pStyle w:val="Heading2"/>
        <w:spacing w:after="120" w:before="280"/>
      </w:pPr>
      <w:r>
        <w:rPr>
          <w:rFonts w:ascii="Arial" w:cs="Arial" w:eastAsia="Arial" w:hAnsi="Arial"/>
          <w:b/>
          <w:bCs/>
          <w:color w:val="7030A0"/>
          <w:sz w:val="28"/>
          <w:szCs w:val="28"/>
        </w:rPr>
        <w:t xml:space="preserve">5.4 Key Vault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Setting</w:t>
            </w:r>
          </w:p>
        </w:tc>
        <w:tc>
          <w:tcPr>
            <w:tcW w:type="dxa" w:w="61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Recommendation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SKU</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Premium for HSM-protected keys (required for FIPS 140-2 Level 2/3 compliance). Standard for non-regulated workloads.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Access model</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Use RBAC access model (not legacy Access Policies). Assign Key Vault Crypto Officer, Key Vault Secrets User roles.</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Soft delete</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Enabled by default (cannot disable). Retention: 90 days. Enable Purge Protection on production vaults.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Private Endpoint</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Deploy Private Endpoint in workload spoke. Disable public network access on all production vaults.</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Diagnostics</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Enable AuditEvent log category. Send to central Log Analytics workspace and Sentinel.</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Key rotation</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Enable automatic key rotation for customer-managed keys (CMK). Rotation: 90 days for symmetric keys, 1 year for asymmetric.</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One vault per application</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Recommended for secret isolation and blast radius containment. Avoid shared vaults across multiple application teams.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F2861" w:val="clear"/>
            <w:tcMar>
              <w:top w:type="dxa" w:w="160"/>
              <w:left w:type="dxa" w:w="240"/>
              <w:bottom w:type="dxa" w:w="100"/>
              <w:right w:type="dxa" w:w="240"/>
            </w:tcMar>
          </w:tcPr>
          <w:p>
            <w:r>
              <w:rPr>
                <w:rFonts w:ascii="Arial" w:cs="Arial" w:eastAsia="Arial" w:hAnsi="Arial"/>
                <w:b/>
                <w:bCs/>
                <w:color w:val="FFFFFF"/>
                <w:sz w:val="32"/>
                <w:szCs w:val="32"/>
              </w:rPr>
              <w:t xml:space="preserve">6. Governance &amp; Azure Policy</w:t>
            </w:r>
          </w:p>
          <w:p>
            <w:r>
              <w:rPr>
                <w:rFonts w:ascii="Arial" w:cs="Arial" w:eastAsia="Arial" w:hAnsi="Arial"/>
                <w:color w:val="FFFFFF"/>
                <w:sz w:val="20"/>
                <w:szCs w:val="20"/>
              </w:rPr>
              <w:t xml:space="preserve">Policy-Driven Guardrails and Compliance</w:t>
            </w:r>
          </w:p>
        </w:tc>
      </w:tr>
    </w:tbl>
    <w:p>
      <w:r>
        <w:t xml:space="preserve"/>
      </w:r>
    </w:p>
    <w:p>
      <w:pPr>
        <w:pStyle w:val="Heading2"/>
        <w:spacing w:after="120" w:before="280"/>
      </w:pPr>
      <w:r>
        <w:rPr>
          <w:rFonts w:ascii="Arial" w:cs="Arial" w:eastAsia="Arial" w:hAnsi="Arial"/>
          <w:b/>
          <w:bCs/>
          <w:color w:val="7030A0"/>
          <w:sz w:val="28"/>
          <w:szCs w:val="28"/>
        </w:rPr>
        <w:t xml:space="preserve">6.1 Azure Policy Framework</w:t>
      </w:r>
    </w:p>
    <w:p>
      <w:pPr>
        <w:spacing w:after="80" w:before="60"/>
      </w:pPr>
      <w:r>
        <w:rPr>
          <w:rFonts w:ascii="Arial" w:cs="Arial" w:eastAsia="Arial" w:hAnsi="Arial"/>
          <w:sz w:val="22"/>
          <w:szCs w:val="22"/>
        </w:rPr>
        <w:t xml:space="preserve">Azure Policy is the cornerstone of Landing Zone governance. Policies should be assigned at Management Group scope to ensure consistent enforcement across all subscriptions. The recommended approach is to start with Audit effects and transition to Deny/DeployIfNotExists as understanding matures.</w:t>
      </w:r>
    </w:p>
    <w:p>
      <w:r>
        <w:t xml:space="preserve"/>
      </w:r>
    </w:p>
    <w:p>
      <w:pPr>
        <w:pStyle w:val="Heading2"/>
        <w:spacing w:after="120" w:before="280"/>
      </w:pPr>
      <w:r>
        <w:rPr>
          <w:rFonts w:ascii="Arial" w:cs="Arial" w:eastAsia="Arial" w:hAnsi="Arial"/>
          <w:b/>
          <w:bCs/>
          <w:color w:val="7030A0"/>
          <w:sz w:val="28"/>
          <w:szCs w:val="28"/>
        </w:rPr>
        <w:t xml:space="preserve">6.2 Built-in Policy Initiatives (Security Baselines)</w:t>
      </w:r>
    </w:p>
    <w:p>
      <w:pPr>
        <w:spacing w:after="80" w:before="60"/>
      </w:pPr>
      <w:r>
        <w:rPr>
          <w:rFonts w:ascii="Arial" w:cs="Arial" w:eastAsia="Arial" w:hAnsi="Arial"/>
          <w:sz w:val="22"/>
          <w:szCs w:val="22"/>
        </w:rPr>
        <w:t xml:space="preserve">Microsoft publishes and maintains the following built-in policy initiatives. Assign at the appropriate MG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rPr>
          <w:tblHeader/>
        </w:trPr>
        <w:tc>
          <w:tcPr>
            <w:tcW w:type="dxa" w:w="25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Initiative</w:t>
            </w:r>
          </w:p>
        </w:tc>
        <w:tc>
          <w:tcPr>
            <w:tcW w:type="dxa" w:w="360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Assignment Scope</w:t>
            </w:r>
          </w:p>
        </w:tc>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Effect</w:t>
            </w:r>
          </w:p>
        </w:tc>
      </w:tr>
      <w:tr>
        <w:tc>
          <w:tcPr>
            <w:tcW w:type="dxa" w:w="2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Microsoft Cloud Security Benchmark (MCSB)</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Root MG or Landing Zones MG</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Audit (default) — transition to Enforce where feasible</w:t>
            </w:r>
          </w:p>
        </w:tc>
      </w:tr>
      <w:tr>
        <w:tc>
          <w:tcPr>
            <w:tcW w:type="dxa" w:w="25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CIS Microsoft Azure Foundations Benchmark</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Root MG</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Audit — for regulatory compliance tracking</w:t>
            </w:r>
          </w:p>
        </w:tc>
      </w:tr>
      <w:tr>
        <w:tc>
          <w:tcPr>
            <w:tcW w:type="dxa" w:w="2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NIST SP 800-53 Rev 5</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Root MG (regulated environments)</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Audit — required for FedRAMP/NIST compliance</w:t>
            </w:r>
          </w:p>
        </w:tc>
      </w:tr>
      <w:tr>
        <w:tc>
          <w:tcPr>
            <w:tcW w:type="dxa" w:w="25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ISO 27001:2013</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Root MG (ISO-certified orgs)</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Audit — maps controls to Azure resources</w:t>
            </w:r>
          </w:p>
        </w:tc>
      </w:tr>
      <w:tr>
        <w:tc>
          <w:tcPr>
            <w:tcW w:type="dxa" w:w="2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UK OFFICIAL and UK NHS (Gov't)</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Root MG (UK public sector)</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Audit — map to UK Gov cloud controls</w:t>
            </w:r>
          </w:p>
        </w:tc>
      </w:tr>
      <w:tr>
        <w:tc>
          <w:tcPr>
            <w:tcW w:type="dxa" w:w="25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PCI DSS v4.0</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Corp Landing Zones MG (if in scope)</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Audit — cardholder data environment policy mapping</w:t>
            </w:r>
          </w:p>
        </w:tc>
      </w:tr>
      <w:tr>
        <w:tc>
          <w:tcPr>
            <w:tcW w:type="dxa" w:w="2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HIPAA/HITRUST</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Corp Landing Zones MG (healthcare)</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Audit — PHI data protection requirements</w:t>
            </w:r>
          </w:p>
        </w:tc>
      </w:tr>
    </w:tbl>
    <w:p>
      <w:r>
        <w:t xml:space="preserve"/>
      </w:r>
    </w:p>
    <w:p>
      <w:pPr>
        <w:pStyle w:val="Heading2"/>
        <w:spacing w:after="120" w:before="280"/>
      </w:pPr>
      <w:r>
        <w:rPr>
          <w:rFonts w:ascii="Arial" w:cs="Arial" w:eastAsia="Arial" w:hAnsi="Arial"/>
          <w:b/>
          <w:bCs/>
          <w:color w:val="7030A0"/>
          <w:sz w:val="28"/>
          <w:szCs w:val="28"/>
        </w:rPr>
        <w:t xml:space="preserve">6.3 Recommended Custom Policy Assignments</w:t>
      </w:r>
    </w:p>
    <w:p>
      <w:pPr>
        <w:spacing w:after="80" w:before="60"/>
      </w:pPr>
      <w:r>
        <w:rPr>
          <w:rFonts w:ascii="Arial" w:cs="Arial" w:eastAsia="Arial" w:hAnsi="Arial"/>
          <w:sz w:val="22"/>
          <w:szCs w:val="22"/>
        </w:rPr>
        <w:t xml:space="preserve">The following policies are recommended as part of the Azure Landing Zone accelerator and should be assigned at the relevant Management Group scope:</w:t>
      </w:r>
    </w:p>
    <w:p>
      <w:r>
        <w:t xml:space="preserve"/>
      </w:r>
    </w:p>
    <w:p>
      <w:pPr>
        <w:pStyle w:val="Heading3"/>
        <w:spacing w:after="80" w:before="200"/>
      </w:pPr>
      <w:r>
        <w:rPr>
          <w:rFonts w:ascii="Arial" w:cs="Arial" w:eastAsia="Arial" w:hAnsi="Arial"/>
          <w:b/>
          <w:bCs/>
          <w:color w:val="404040"/>
          <w:sz w:val="24"/>
          <w:szCs w:val="24"/>
        </w:rPr>
        <w:t xml:space="preserve">6.3.1 Platform / Root-Level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Policy / Control</w:t>
            </w:r>
          </w:p>
        </w:tc>
        <w:tc>
          <w:tcPr>
            <w:tcW w:type="dxa" w:w="14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Effect</w:t>
            </w:r>
          </w:p>
        </w:tc>
        <w:tc>
          <w:tcPr>
            <w:tcW w:type="dxa" w:w="43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Recommendation / Notes</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Allowed locations (Resource Groups)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Restrict resource group deployment to approved Azure regions. Example: uksouth, ukwest, northeurope.</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Allowed locations (Resources)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Restrict resource deployment to approved Azure regions. Align with data residency requirements.</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Require a tag on resource groups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Mandatory tags: Environment, CostCentre, Owner, Application, Criticality. Block non-compliant RG creation.</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Inherit tags from resource group</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Use DeployIfNotExists to inherit required tags from parent RG to all resources. Reduces tag compliance burden.</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Not allowed resource types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Restrict creation of classic (non-ARM) resources: classic VMs, classic storage accounts, classic networking.</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Configure Azure Activity Logs to Log Analytics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DeployIfNotExists — ensures Activity Log diagnostic setting points to central workspace on all subscriptions.</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Enable Microsoft Defender for Cloud</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DeployIfNotExists — enables Defender plans on all new subscriptions automatically.</w:t>
            </w:r>
          </w:p>
        </w:tc>
      </w:tr>
    </w:tbl>
    <w:p>
      <w:r>
        <w:t xml:space="preserve"/>
      </w:r>
    </w:p>
    <w:p>
      <w:pPr>
        <w:pStyle w:val="Heading3"/>
        <w:spacing w:after="80" w:before="200"/>
      </w:pPr>
      <w:r>
        <w:rPr>
          <w:rFonts w:ascii="Arial" w:cs="Arial" w:eastAsia="Arial" w:hAnsi="Arial"/>
          <w:b/>
          <w:bCs/>
          <w:color w:val="404040"/>
          <w:sz w:val="24"/>
          <w:szCs w:val="24"/>
        </w:rPr>
        <w:t xml:space="preserve">6.3.2 Networking Policies (Connectivity / Landing Zones MG)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Policy / Control</w:t>
            </w:r>
          </w:p>
        </w:tc>
        <w:tc>
          <w:tcPr>
            <w:tcW w:type="dxa" w:w="14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Effect</w:t>
            </w:r>
          </w:p>
        </w:tc>
        <w:tc>
          <w:tcPr>
            <w:tcW w:type="dxa" w:w="43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Recommendation / Notes</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Deny RDP from internet (port 3389)</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Block NSG rules permitting RDP inbound from Any/Internet. Use Azure Bastion instead.</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Deny SSH from internet (port 22)</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Block NSG rules permitting SSH inbound from Any/Internet. Use Azure Bastion instead.</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Configure NSG flow logs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DeployIfNotExists — deploys NSG Flow Logs version 2 with Traffic Analytics to central workspace.</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Deny public IP addresses on VMs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Audit initially; transition to Deny once application teams have migrated to Bastion. Exceptions via exemption.</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Deny IP forwarding on NICs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Block IP forwarding on VM NICs unless explicitly exempted (e.g., NVAs). Prevents VM-based routing bypass.</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Private DNS zones managed centrally</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Deny creation of Private DNS zones in application subscriptions. All DNS zones managed in Connectivity subscription.</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VNet peering to approved VNets only</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Audit peering to non-Hub VNets. Alert security team on Spoke-to-Spoke or external tenant peering.</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Require DDoS Protection on VNets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Audit VNets without DDoS Protection Plan association. Enforce for internet-facing workloads.</w:t>
            </w:r>
          </w:p>
        </w:tc>
      </w:tr>
    </w:tbl>
    <w:p>
      <w:r>
        <w:t xml:space="preserve"/>
      </w:r>
    </w:p>
    <w:p>
      <w:pPr>
        <w:pStyle w:val="Heading3"/>
        <w:spacing w:after="80" w:before="200"/>
      </w:pPr>
      <w:r>
        <w:rPr>
          <w:rFonts w:ascii="Arial" w:cs="Arial" w:eastAsia="Arial" w:hAnsi="Arial"/>
          <w:b/>
          <w:bCs/>
          <w:color w:val="404040"/>
          <w:sz w:val="24"/>
          <w:szCs w:val="24"/>
        </w:rPr>
        <w:t xml:space="preserve">6.3.3 Identity &amp; Access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Policy / Control</w:t>
            </w:r>
          </w:p>
        </w:tc>
        <w:tc>
          <w:tcPr>
            <w:tcW w:type="dxa" w:w="14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Effect</w:t>
            </w:r>
          </w:p>
        </w:tc>
        <w:tc>
          <w:tcPr>
            <w:tcW w:type="dxa" w:w="43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Recommendation / Notes</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No custom owner roles at subscription scope</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Alert on creation of custom roles with Owner-equivalent permissions. Review and deny if not approved.</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MFA required for Owner/Contributor accounts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Verify via Entra ID Conditional Access. Azure Policy surfaces non-MFA-registered accounts in compliance.</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Restrict external guest invitations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Deny guest invitations from non-approved domains. Configure via Entra External Collaboration settings.</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Audit deprecated accounts with Owner permissions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Alert on disabled/deleted accounts retaining Owner or Contributor RBAC assignments.</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Max 3 subscription owners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Alert when more than 3 users have Owner role on a subscription. Prevents over-privileged standing access.</w:t>
            </w:r>
          </w:p>
        </w:tc>
      </w:tr>
    </w:tbl>
    <w:p>
      <w:r>
        <w:t xml:space="preserve"/>
      </w:r>
    </w:p>
    <w:p>
      <w:pPr>
        <w:pStyle w:val="Heading3"/>
        <w:spacing w:after="80" w:before="200"/>
      </w:pPr>
      <w:r>
        <w:rPr>
          <w:rFonts w:ascii="Arial" w:cs="Arial" w:eastAsia="Arial" w:hAnsi="Arial"/>
          <w:b/>
          <w:bCs/>
          <w:color w:val="404040"/>
          <w:sz w:val="24"/>
          <w:szCs w:val="24"/>
        </w:rPr>
        <w:t xml:space="preserve">6.3.4 Data &amp; Storage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Policy / Control</w:t>
            </w:r>
          </w:p>
        </w:tc>
        <w:tc>
          <w:tcPr>
            <w:tcW w:type="dxa" w:w="14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Effect</w:t>
            </w:r>
          </w:p>
        </w:tc>
        <w:tc>
          <w:tcPr>
            <w:tcW w:type="dxa" w:w="43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Recommendation / Notes</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Require Secure Transfer (HTTPS) on Storage Accounts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Block creation/update of storage accounts with secure transfer disabled. Applies to blobs, file shares.</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Deny public blob access on Storage Accounts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Prevents anonymous/public read access to storage containers and blobs. Required for data protection.</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Require TLS 1.2+ on Storage Accounts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Block storage accounts configured for TLS 1.0 or 1.1 as minimum TLS version.</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Storage accounts use private endpoints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Audit storage accounts without private endpoints in corp/production subscriptions. Enforce on new deployments.</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Encryption at rest (CMK) for regulated workloads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Audit critical storage/SQL/Cosmos resources not using Customer-Managed Keys. Required for PCI/HIPAA/IL3+.</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SQL Advanced Threat Protection enabled</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DeployIfNotExists — enables Defender for SQL on all Azure SQL servers and SQL Managed Instances.</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SQL Transparent Data Encryption</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DeployIfNotExists — enables TDE on all Azure SQL databases if not already enabled.</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Geo-redundant backup for Azure SQL</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Audit production SQL databases without geo-redundant backup enabled.</w:t>
            </w:r>
          </w:p>
        </w:tc>
      </w:tr>
    </w:tbl>
    <w:p>
      <w:r>
        <w:t xml:space="preserve"/>
      </w:r>
    </w:p>
    <w:p>
      <w:pPr>
        <w:pStyle w:val="Heading3"/>
        <w:spacing w:after="80" w:before="200"/>
      </w:pPr>
      <w:r>
        <w:rPr>
          <w:rFonts w:ascii="Arial" w:cs="Arial" w:eastAsia="Arial" w:hAnsi="Arial"/>
          <w:b/>
          <w:bCs/>
          <w:color w:val="404040"/>
          <w:sz w:val="24"/>
          <w:szCs w:val="24"/>
        </w:rPr>
        <w:t xml:space="preserve">6.3.5 Compute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Policy / Control</w:t>
            </w:r>
          </w:p>
        </w:tc>
        <w:tc>
          <w:tcPr>
            <w:tcW w:type="dxa" w:w="14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Effect</w:t>
            </w:r>
          </w:p>
        </w:tc>
        <w:tc>
          <w:tcPr>
            <w:tcW w:type="dxa" w:w="43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Recommendation / Notes</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Require approved VM SKUs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A4262C"/>
                <w:sz w:val="20"/>
                <w:szCs w:val="20"/>
              </w:rPr>
              <w:t xml:space="preserve">Deny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Restrict VM SKUs to approved list (e.g., exclude GPU, memory-optimised unless via exemption). Control costs.</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VM disk encryption using ADE or CMK</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Audit VMs without Azure Disk Encryption or Customer-Managed Key disk encryption enabled.</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Deploy Log Analytics agent via AMA</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DeployIfNotExists — deploys Azure Monitor Agent (AMA) and associates DCR on all VMs and VMSSs.</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Just-In-Time VM access (Defender for Cloud)</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107C10"/>
                <w:sz w:val="20"/>
                <w:szCs w:val="20"/>
              </w:rPr>
              <w:t xml:space="preserve">Enforce</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Enable JIT access on all VMs with public IP or management ports (22, 3389, 5985, 5986) exposed.</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Endpoint protection on VMs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Audit VMs without Defender for Endpoint (MDE) installed. Use Defender for Cloud recommendation.</w:t>
            </w:r>
          </w:p>
        </w:tc>
      </w:tr>
      <w:tr>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Automatic OS patching</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Audit VMs with automatic OS image patching disabled. Enforce via Update Manager policy.</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System-assigned managed identity for VMs</w:t>
            </w:r>
          </w:p>
        </w:tc>
        <w:tc>
          <w:tcPr>
            <w:tcW w:type="dxa" w:w="14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pPr>
              <w:jc w:val="center"/>
            </w:pPr>
            <w:r>
              <w:rPr>
                <w:rFonts w:ascii="Arial" w:cs="Arial" w:eastAsia="Arial" w:hAnsi="Arial"/>
                <w:b/>
                <w:bCs/>
                <w:color w:val="C47B00"/>
                <w:sz w:val="20"/>
                <w:szCs w:val="20"/>
              </w:rPr>
              <w:t xml:space="preserve">Audit</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Audit VMs using service principal credentials. Recommend migration to Managed Identity.</w:t>
            </w:r>
          </w:p>
        </w:tc>
      </w:tr>
    </w:tbl>
    <w:p>
      <w:r>
        <w:t xml:space="preserve"/>
      </w:r>
    </w:p>
    <w:p>
      <w:pPr>
        <w:pStyle w:val="Heading2"/>
        <w:spacing w:after="120" w:before="280"/>
      </w:pPr>
      <w:r>
        <w:rPr>
          <w:rFonts w:ascii="Arial" w:cs="Arial" w:eastAsia="Arial" w:hAnsi="Arial"/>
          <w:b/>
          <w:bCs/>
          <w:color w:val="7030A0"/>
          <w:sz w:val="28"/>
          <w:szCs w:val="28"/>
        </w:rPr>
        <w:t xml:space="preserve">6.4 Policy Exemptions</w:t>
      </w:r>
    </w:p>
    <w:p>
      <w:pPr>
        <w:spacing w:after="80" w:before="60"/>
      </w:pPr>
      <w:r>
        <w:rPr>
          <w:rFonts w:ascii="Arial" w:cs="Arial" w:eastAsia="Arial" w:hAnsi="Arial"/>
          <w:sz w:val="22"/>
          <w:szCs w:val="22"/>
        </w:rPr>
        <w:t xml:space="preserve">Azure Policy exemptions should be used sparingly. The following process is recommended:</w:t>
      </w:r>
    </w:p>
    <w:p>
      <w:pPr>
        <w:pStyle w:val="ListParagraph"/>
        <w:numPr>
          <w:ilvl w:val="0"/>
          <w:numId w:val="3"/>
        </w:numPr>
        <w:spacing w:after="40" w:before="40"/>
      </w:pPr>
      <w:r>
        <w:rPr>
          <w:rFonts w:ascii="Arial" w:cs="Arial" w:eastAsia="Arial" w:hAnsi="Arial"/>
          <w:sz w:val="22"/>
          <w:szCs w:val="22"/>
        </w:rPr>
        <w:t xml:space="preserve">Log exemption request in ITSM/change management system with business justification.</w:t>
      </w:r>
    </w:p>
    <w:p>
      <w:pPr>
        <w:pStyle w:val="ListParagraph"/>
        <w:numPr>
          <w:ilvl w:val="0"/>
          <w:numId w:val="3"/>
        </w:numPr>
        <w:spacing w:after="40" w:before="40"/>
      </w:pPr>
      <w:r>
        <w:rPr>
          <w:rFonts w:ascii="Arial" w:cs="Arial" w:eastAsia="Arial" w:hAnsi="Arial"/>
          <w:sz w:val="22"/>
          <w:szCs w:val="22"/>
        </w:rPr>
        <w:t xml:space="preserve">Review and approval required from Security Architect and Platform Team lead.</w:t>
      </w:r>
    </w:p>
    <w:p>
      <w:pPr>
        <w:pStyle w:val="ListParagraph"/>
        <w:numPr>
          <w:ilvl w:val="0"/>
          <w:numId w:val="3"/>
        </w:numPr>
        <w:spacing w:after="40" w:before="40"/>
      </w:pPr>
      <w:r>
        <w:rPr>
          <w:rFonts w:ascii="Arial" w:cs="Arial" w:eastAsia="Arial" w:hAnsi="Arial"/>
          <w:sz w:val="22"/>
          <w:szCs w:val="22"/>
        </w:rPr>
        <w:t xml:space="preserve">Set expiry date on all exemptions (maximum 12 months, review at 6 months).</w:t>
      </w:r>
    </w:p>
    <w:p>
      <w:pPr>
        <w:pStyle w:val="ListParagraph"/>
        <w:numPr>
          <w:ilvl w:val="0"/>
          <w:numId w:val="3"/>
        </w:numPr>
        <w:spacing w:after="40" w:before="40"/>
      </w:pPr>
      <w:r>
        <w:rPr>
          <w:rFonts w:ascii="Arial" w:cs="Arial" w:eastAsia="Arial" w:hAnsi="Arial"/>
          <w:sz w:val="22"/>
          <w:szCs w:val="22"/>
        </w:rPr>
        <w:t xml:space="preserve">Exemptions must be tagged with: ExemptionOwner, ExemptionReason, ExemptionExpiry, TicketReference.</w:t>
      </w:r>
    </w:p>
    <w:p>
      <w:pPr>
        <w:pStyle w:val="ListParagraph"/>
        <w:numPr>
          <w:ilvl w:val="0"/>
          <w:numId w:val="3"/>
        </w:numPr>
        <w:spacing w:after="40" w:before="40"/>
      </w:pPr>
      <w:r>
        <w:rPr>
          <w:rFonts w:ascii="Arial" w:cs="Arial" w:eastAsia="Arial" w:hAnsi="Arial"/>
          <w:sz w:val="22"/>
          <w:szCs w:val="22"/>
        </w:rPr>
        <w:t xml:space="preserve">Platform team reviews all active exemptions quarterly. Expired exemptions auto-revoke in Azure.</w:t>
      </w:r>
    </w:p>
    <w:p>
      <w:r>
        <w:t xml:space="preserve"/>
      </w:r>
    </w:p>
    <w:p>
      <w:pPr>
        <w:pStyle w:val="Heading2"/>
        <w:spacing w:after="120" w:before="280"/>
      </w:pPr>
      <w:r>
        <w:rPr>
          <w:rFonts w:ascii="Arial" w:cs="Arial" w:eastAsia="Arial" w:hAnsi="Arial"/>
          <w:b/>
          <w:bCs/>
          <w:color w:val="7030A0"/>
          <w:sz w:val="28"/>
          <w:szCs w:val="28"/>
        </w:rPr>
        <w:t xml:space="preserve">6.5 Tagging Strategy</w:t>
      </w:r>
    </w:p>
    <w:p>
      <w:pPr>
        <w:spacing w:after="80" w:before="60"/>
      </w:pPr>
      <w:r>
        <w:rPr>
          <w:rFonts w:ascii="Arial" w:cs="Arial" w:eastAsia="Arial" w:hAnsi="Arial"/>
          <w:sz w:val="22"/>
          <w:szCs w:val="22"/>
        </w:rPr>
        <w:t xml:space="preserve">Consistent tagging enables cost management, operational visibility, and governance. The following tags are mandatory (enforced via Azure Policy) and optional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tblHeader/>
        </w:trPr>
        <w:tc>
          <w:tcPr>
            <w:tcW w:type="dxa" w:w="288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Tag Name</w:t>
            </w:r>
          </w:p>
        </w:tc>
        <w:tc>
          <w:tcPr>
            <w:tcW w:type="dxa" w:w="216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43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Example Values</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Environment</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Mandatory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Production, Staging, Development, Sandbox</w:t>
            </w:r>
          </w:p>
        </w:tc>
      </w:tr>
      <w:tr>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CostCentre</w:t>
            </w:r>
          </w:p>
        </w:tc>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Mandatory</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CC-1234, CC-INFRA-001</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Owner</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Mandatory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team-platform@contoso.com</w:t>
            </w:r>
          </w:p>
        </w:tc>
      </w:tr>
      <w:tr>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Application</w:t>
            </w:r>
          </w:p>
        </w:tc>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Mandatory</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payments-api, hr-portal, data-lake</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Criticality</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Mandatory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Mission-Critical, High, Medium, Low</w:t>
            </w:r>
          </w:p>
        </w:tc>
      </w:tr>
      <w:tr>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DataClassification</w:t>
            </w:r>
          </w:p>
        </w:tc>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Mandatory (Corp subscriptions)</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Public, Internal, Confidential, Restricted</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Project</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ProjectName or JIRA project key</w:t>
            </w:r>
          </w:p>
        </w:tc>
      </w:tr>
      <w:tr>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SLA</w:t>
            </w:r>
          </w:p>
        </w:tc>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24x7, Business-Hours, Best-Effort</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AutoShutdown</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Recommended (Non-Prod)</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true/false — triggers automation runbook</w:t>
            </w:r>
          </w:p>
        </w:tc>
      </w:tr>
      <w:tr>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BackupPolicy</w:t>
            </w:r>
          </w:p>
        </w:tc>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Recommended</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Daily-30d, Weekly-12w, None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F2861" w:val="clear"/>
            <w:tcMar>
              <w:top w:type="dxa" w:w="160"/>
              <w:left w:type="dxa" w:w="240"/>
              <w:bottom w:type="dxa" w:w="100"/>
              <w:right w:type="dxa" w:w="240"/>
            </w:tcMar>
          </w:tcPr>
          <w:p>
            <w:r>
              <w:rPr>
                <w:rFonts w:ascii="Arial" w:cs="Arial" w:eastAsia="Arial" w:hAnsi="Arial"/>
                <w:b/>
                <w:bCs/>
                <w:color w:val="FFFFFF"/>
                <w:sz w:val="32"/>
                <w:szCs w:val="32"/>
              </w:rPr>
              <w:t xml:space="preserve">7. Management &amp; Observability</w:t>
            </w:r>
          </w:p>
          <w:p>
            <w:r>
              <w:rPr>
                <w:rFonts w:ascii="Arial" w:cs="Arial" w:eastAsia="Arial" w:hAnsi="Arial"/>
                <w:color w:val="FFFFFF"/>
                <w:sz w:val="20"/>
                <w:szCs w:val="20"/>
              </w:rPr>
              <w:t xml:space="preserve">Monitoring, Logging, and Operational Management</w:t>
            </w:r>
          </w:p>
        </w:tc>
      </w:tr>
    </w:tbl>
    <w:p>
      <w:r>
        <w:t xml:space="preserve"/>
      </w:r>
    </w:p>
    <w:p>
      <w:pPr>
        <w:pStyle w:val="Heading2"/>
        <w:spacing w:after="120" w:before="280"/>
      </w:pPr>
      <w:r>
        <w:rPr>
          <w:rFonts w:ascii="Arial" w:cs="Arial" w:eastAsia="Arial" w:hAnsi="Arial"/>
          <w:b/>
          <w:bCs/>
          <w:color w:val="7030A0"/>
          <w:sz w:val="28"/>
          <w:szCs w:val="28"/>
        </w:rPr>
        <w:t xml:space="preserve">7.1 Log Analytics Workspace Design</w:t>
      </w:r>
    </w:p>
    <w:p>
      <w:pPr>
        <w:spacing w:after="80" w:before="60"/>
      </w:pPr>
      <w:r>
        <w:rPr>
          <w:rFonts w:ascii="Arial" w:cs="Arial" w:eastAsia="Arial" w:hAnsi="Arial"/>
          <w:sz w:val="22"/>
          <w:szCs w:val="22"/>
        </w:rPr>
        <w:t xml:space="preserve">Deploy a centralised Log Analytics workspace in the Management subscription. This is the single pane of glass for all operational and security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Setting</w:t>
            </w:r>
          </w:p>
        </w:tc>
        <w:tc>
          <w:tcPr>
            <w:tcW w:type="dxa" w:w="61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Recommendation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Number of workspaces</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One centralised workspace for operational/security data. Consider regional workspace only for data residency requirements.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SKU / Pricing tier</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Pay-as-you-go (Commitment tiers from 100GB/day for cost savings). Review tier monthly based on ingestion volume.</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Data retention (interactive)</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90 days default. Increase to 1 year for audit/compliance. Specific tables (e.g., SecurityEvent) may require longer.</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Long-term archive retention</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Up to 12 years via workspace archive. Cost-effective for regulatory retention (PCI: 1yr, ISO 27001: 3yr, GDPR: varies).</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Daily cap</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Set a daily ingestion cap to prevent runaway costs. Alert at 80% of cap. Set cap 20% above expected ingestion volume.</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Resource-centric RBAC</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Enable Table-level RBAC so application teams query only their own data. Security team retains full workspace access.</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Workspace-linked solutions</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Enable: Update Management, VM Insights, Container Insights, Service Map. Deprecating solutions: migrate to Insights.</w:t>
            </w:r>
          </w:p>
        </w:tc>
      </w:tr>
    </w:tbl>
    <w:p>
      <w:r>
        <w:t xml:space="preserve"/>
      </w:r>
    </w:p>
    <w:p>
      <w:pPr>
        <w:pStyle w:val="Heading2"/>
        <w:spacing w:after="120" w:before="280"/>
      </w:pPr>
      <w:r>
        <w:rPr>
          <w:rFonts w:ascii="Arial" w:cs="Arial" w:eastAsia="Arial" w:hAnsi="Arial"/>
          <w:b/>
          <w:bCs/>
          <w:color w:val="7030A0"/>
          <w:sz w:val="28"/>
          <w:szCs w:val="28"/>
        </w:rPr>
        <w:t xml:space="preserve">7.2 Diagnostic Settings</w:t>
      </w:r>
    </w:p>
    <w:p>
      <w:pPr>
        <w:spacing w:after="80" w:before="60"/>
      </w:pPr>
      <w:r>
        <w:rPr>
          <w:rFonts w:ascii="Arial" w:cs="Arial" w:eastAsia="Arial" w:hAnsi="Arial"/>
          <w:sz w:val="22"/>
          <w:szCs w:val="22"/>
        </w:rPr>
        <w:t xml:space="preserve">Enable diagnostic settings on all Azure resources to stream logs and metrics to the central Log Analytics workspace. Use Azure Policy (DeployIfNotExists) to automatically configure diagnostic settings on resource creation.</w:t>
      </w:r>
    </w:p>
    <w:p>
      <w:r>
        <w:t xml:space="preserve"/>
      </w:r>
    </w:p>
    <w:p>
      <w:pPr>
        <w:pStyle w:val="Heading3"/>
        <w:spacing w:after="80" w:before="200"/>
      </w:pPr>
      <w:r>
        <w:rPr>
          <w:rFonts w:ascii="Arial" w:cs="Arial" w:eastAsia="Arial" w:hAnsi="Arial"/>
          <w:b/>
          <w:bCs/>
          <w:color w:val="404040"/>
          <w:sz w:val="24"/>
          <w:szCs w:val="24"/>
        </w:rPr>
        <w:t xml:space="preserve">7.2.1 Recommended Diagnostic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Resource Type</w:t>
            </w:r>
          </w:p>
        </w:tc>
        <w:tc>
          <w:tcPr>
            <w:tcW w:type="dxa" w:w="360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Log Categories</w:t>
            </w:r>
          </w:p>
        </w:tc>
        <w:tc>
          <w:tcPr>
            <w:tcW w:type="dxa" w:w="276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Metrics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Subscription</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Administrative, Security, Policy, Alert, Recommendation, ServiceHealth</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N/A</w:t>
            </w:r>
          </w:p>
        </w:tc>
      </w:tr>
      <w:tr>
        <w:tc>
          <w:tcPr>
            <w:tcW w:type="dxa" w:w="30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Entra ID</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SignInLogs, AuditLogs, NonInteractiveUserSignInLogs, ServicePrincipalSignInLogs</w:t>
            </w:r>
          </w:p>
        </w:tc>
        <w:tc>
          <w:tcPr>
            <w:tcW w:type="dxa" w:w="27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N/A</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Firewall</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AzureFirewallApplicationRule, AzureFirewallNetworkRule, AzureFirewallDnsProxy</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AllMetrics</w:t>
            </w:r>
          </w:p>
        </w:tc>
      </w:tr>
      <w:tr>
        <w:tc>
          <w:tcPr>
            <w:tcW w:type="dxa" w:w="30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 Key Vault</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AuditEvent, AzurePolicyEvaluationDetails</w:t>
            </w:r>
          </w:p>
        </w:tc>
        <w:tc>
          <w:tcPr>
            <w:tcW w:type="dxa" w:w="27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AllMetrics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Network Security Groups</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NetworkSecurityGroupEvent, NetworkSecurityGroupRuleCounter</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N/A</w:t>
            </w:r>
          </w:p>
        </w:tc>
      </w:tr>
      <w:tr>
        <w:tc>
          <w:tcPr>
            <w:tcW w:type="dxa" w:w="30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Virtual Machines</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Windows Event Logs (Security, System), Syslog (auth, syslog)</w:t>
            </w:r>
          </w:p>
        </w:tc>
        <w:tc>
          <w:tcPr>
            <w:tcW w:type="dxa" w:w="27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Percentage CPU, Disk, Network</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SQL Database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SQLInsights, AutomaticTuning, QueryStoreRuntimeStatistics, Errors, Deadlocks</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AllMetrics</w:t>
            </w:r>
          </w:p>
        </w:tc>
      </w:tr>
      <w:tr>
        <w:tc>
          <w:tcPr>
            <w:tcW w:type="dxa" w:w="30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 Kubernetes Service</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kube-apiserver, kube-audit, kube-scheduler, cluster-autoscaler</w:t>
            </w:r>
          </w:p>
        </w:tc>
        <w:tc>
          <w:tcPr>
            <w:tcW w:type="dxa" w:w="27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AllMetrics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Storage Accounts</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StorageRead, StorageWrite, StorageDelete</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AllMetrics</w:t>
            </w:r>
          </w:p>
        </w:tc>
      </w:tr>
      <w:tr>
        <w:tc>
          <w:tcPr>
            <w:tcW w:type="dxa" w:w="30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Application Gateway</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ApplicationGatewayAccessLog, ApplicationGatewayFirewallLog</w:t>
            </w:r>
          </w:p>
        </w:tc>
        <w:tc>
          <w:tcPr>
            <w:tcW w:type="dxa" w:w="27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AllMetrics</w:t>
            </w:r>
          </w:p>
        </w:tc>
      </w:tr>
    </w:tbl>
    <w:p>
      <w:r>
        <w:t xml:space="preserve"/>
      </w:r>
    </w:p>
    <w:p>
      <w:pPr>
        <w:pStyle w:val="Heading2"/>
        <w:spacing w:after="120" w:before="280"/>
      </w:pPr>
      <w:r>
        <w:rPr>
          <w:rFonts w:ascii="Arial" w:cs="Arial" w:eastAsia="Arial" w:hAnsi="Arial"/>
          <w:b/>
          <w:bCs/>
          <w:color w:val="7030A0"/>
          <w:sz w:val="28"/>
          <w:szCs w:val="28"/>
        </w:rPr>
        <w:t xml:space="preserve">7.3 Azure Monitor —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Alert Category</w:t>
            </w:r>
          </w:p>
        </w:tc>
        <w:tc>
          <w:tcPr>
            <w:tcW w:type="dxa" w:w="288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Alert Name</w:t>
            </w:r>
          </w:p>
        </w:tc>
        <w:tc>
          <w:tcPr>
            <w:tcW w:type="dxa" w:w="43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Recommended Threshold</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Compute</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VM CPU &gt; 90%</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P2 alert. 15-minute evaluation window. Notify ops team. Auto-scale trigger where applicable.</w:t>
            </w:r>
          </w:p>
        </w:tc>
      </w:tr>
      <w:tr>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Compute</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VM Available Memory &lt; 500MB</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P2 alert. Potential memory leak indicator.</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Networking</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Firewall SNAT Port Utilisation &gt; 80%</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P1 alert. SNAT exhaustion causes connectivity failures. Review and add public IPs.</w:t>
            </w:r>
          </w:p>
        </w:tc>
      </w:tr>
      <w:tr>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Networking</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VPN Gateway P2S/S2S tunnel down</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P1 alert. Hybrid connectivity failure. Page on-call engineer.</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Security</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Break-glass account sign-in</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P1 alert / Sentinel incident. Immediate investigation required.</w:t>
            </w:r>
          </w:p>
        </w:tc>
      </w:tr>
      <w:tr>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Security</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 Policy compliance &lt; 80%</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P3 alert (daily summary). Governance review required.</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Cost</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Subscription spend &gt; 90% of budget</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P2 alert. Finance and platform team notification.</w:t>
            </w:r>
          </w:p>
        </w:tc>
      </w:tr>
      <w:tr>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Service Health</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 Service Issue — Production regions</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P1 alert. Platform team and stakeholder notification.</w:t>
            </w:r>
          </w:p>
        </w:tc>
      </w:tr>
    </w:tbl>
    <w:p>
      <w:r>
        <w:t xml:space="preserve"/>
      </w:r>
    </w:p>
    <w:p>
      <w:pPr>
        <w:pStyle w:val="Heading2"/>
        <w:spacing w:after="120" w:before="280"/>
      </w:pPr>
      <w:r>
        <w:rPr>
          <w:rFonts w:ascii="Arial" w:cs="Arial" w:eastAsia="Arial" w:hAnsi="Arial"/>
          <w:b/>
          <w:bCs/>
          <w:color w:val="7030A0"/>
          <w:sz w:val="28"/>
          <w:szCs w:val="28"/>
        </w:rPr>
        <w:t xml:space="preserve">7.4 Update Management</w:t>
      </w:r>
    </w:p>
    <w:p>
      <w:pPr>
        <w:spacing w:after="80" w:before="60"/>
      </w:pPr>
      <w:r>
        <w:rPr>
          <w:rFonts w:ascii="Arial" w:cs="Arial" w:eastAsia="Arial" w:hAnsi="Arial"/>
          <w:sz w:val="22"/>
          <w:szCs w:val="22"/>
        </w:rPr>
        <w:t xml:space="preserve">Use Azure Update Manager (the replacement for legacy Update Management solution) for patch compliance across all VMs.</w:t>
      </w:r>
    </w:p>
    <w:p>
      <w:pPr>
        <w:pStyle w:val="ListParagraph"/>
        <w:numPr>
          <w:ilvl w:val="0"/>
          <w:numId w:val="2"/>
        </w:numPr>
        <w:spacing w:after="40" w:before="40"/>
      </w:pPr>
      <w:r>
        <w:rPr>
          <w:rFonts w:ascii="Arial" w:cs="Arial" w:eastAsia="Arial" w:hAnsi="Arial"/>
          <w:sz w:val="22"/>
          <w:szCs w:val="22"/>
        </w:rPr>
        <w:t xml:space="preserve">Enable periodic assessment on all VMs via Azure Policy (DeployIfNotExists).</w:t>
      </w:r>
    </w:p>
    <w:p>
      <w:pPr>
        <w:pStyle w:val="ListParagraph"/>
        <w:numPr>
          <w:ilvl w:val="0"/>
          <w:numId w:val="2"/>
        </w:numPr>
        <w:spacing w:after="40" w:before="40"/>
      </w:pPr>
      <w:r>
        <w:rPr>
          <w:rFonts w:ascii="Arial" w:cs="Arial" w:eastAsia="Arial" w:hAnsi="Arial"/>
          <w:sz w:val="22"/>
          <w:szCs w:val="22"/>
        </w:rPr>
        <w:t xml:space="preserve">Create maintenance configurations aligned to change windows: Prod patching 3rd Sunday monthly (22:00–02:00 UTC), Non-Prod: 2nd Sunday monthly.</w:t>
      </w:r>
    </w:p>
    <w:p>
      <w:pPr>
        <w:pStyle w:val="ListParagraph"/>
        <w:numPr>
          <w:ilvl w:val="0"/>
          <w:numId w:val="2"/>
        </w:numPr>
        <w:spacing w:after="40" w:before="40"/>
      </w:pPr>
      <w:r>
        <w:rPr>
          <w:rFonts w:ascii="Arial" w:cs="Arial" w:eastAsia="Arial" w:hAnsi="Arial"/>
          <w:sz w:val="22"/>
          <w:szCs w:val="22"/>
        </w:rPr>
        <w:t xml:space="preserve">Critical/Security patches: accelerated 72-hour window outside normal cycle.</w:t>
      </w:r>
    </w:p>
    <w:p>
      <w:pPr>
        <w:pStyle w:val="ListParagraph"/>
        <w:numPr>
          <w:ilvl w:val="0"/>
          <w:numId w:val="2"/>
        </w:numPr>
        <w:spacing w:after="40" w:before="40"/>
      </w:pPr>
      <w:r>
        <w:rPr>
          <w:rFonts w:ascii="Arial" w:cs="Arial" w:eastAsia="Arial" w:hAnsi="Arial"/>
          <w:sz w:val="22"/>
          <w:szCs w:val="22"/>
        </w:rPr>
        <w:t xml:space="preserve">Patch compliance target: 100% within 30 days of release (critical/important), 60 days (moderate).</w:t>
      </w:r>
    </w:p>
    <w:p>
      <w:pPr>
        <w:pStyle w:val="ListParagraph"/>
        <w:numPr>
          <w:ilvl w:val="0"/>
          <w:numId w:val="2"/>
        </w:numPr>
        <w:spacing w:after="40" w:before="40"/>
      </w:pPr>
      <w:r>
        <w:rPr>
          <w:rFonts w:ascii="Arial" w:cs="Arial" w:eastAsia="Arial" w:hAnsi="Arial"/>
          <w:sz w:val="22"/>
          <w:szCs w:val="22"/>
        </w:rPr>
        <w:t xml:space="preserve">Report patch compliance to ITSM monthly via Azure Workbooks.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F2861" w:val="clear"/>
            <w:tcMar>
              <w:top w:type="dxa" w:w="160"/>
              <w:left w:type="dxa" w:w="240"/>
              <w:bottom w:type="dxa" w:w="100"/>
              <w:right w:type="dxa" w:w="240"/>
            </w:tcMar>
          </w:tcPr>
          <w:p>
            <w:r>
              <w:rPr>
                <w:rFonts w:ascii="Arial" w:cs="Arial" w:eastAsia="Arial" w:hAnsi="Arial"/>
                <w:b/>
                <w:bCs/>
                <w:color w:val="FFFFFF"/>
                <w:sz w:val="32"/>
                <w:szCs w:val="32"/>
              </w:rPr>
              <w:t xml:space="preserve">8. Business Continuity &amp; Disaster Recovery</w:t>
            </w:r>
          </w:p>
          <w:p>
            <w:r>
              <w:rPr>
                <w:rFonts w:ascii="Arial" w:cs="Arial" w:eastAsia="Arial" w:hAnsi="Arial"/>
                <w:color w:val="FFFFFF"/>
                <w:sz w:val="20"/>
                <w:szCs w:val="20"/>
              </w:rPr>
              <w:t xml:space="preserve">Backup, Replication, and RTO/RPO Targets</w:t>
            </w:r>
          </w:p>
        </w:tc>
      </w:tr>
    </w:tbl>
    <w:p>
      <w:r>
        <w:t xml:space="preserve"/>
      </w:r>
    </w:p>
    <w:p>
      <w:pPr>
        <w:pStyle w:val="Heading2"/>
        <w:spacing w:after="120" w:before="280"/>
      </w:pPr>
      <w:r>
        <w:rPr>
          <w:rFonts w:ascii="Arial" w:cs="Arial" w:eastAsia="Arial" w:hAnsi="Arial"/>
          <w:b/>
          <w:bCs/>
          <w:color w:val="7030A0"/>
          <w:sz w:val="28"/>
          <w:szCs w:val="28"/>
        </w:rPr>
        <w:t xml:space="preserve">8.1 Azure Backup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rPr>
          <w:tblHeader/>
        </w:trPr>
        <w:tc>
          <w:tcPr>
            <w:tcW w:type="dxa" w:w="25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Resource Type</w:t>
            </w:r>
          </w:p>
        </w:tc>
        <w:tc>
          <w:tcPr>
            <w:tcW w:type="dxa" w:w="360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Backup Solution</w:t>
            </w:r>
          </w:p>
        </w:tc>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Recommended Policy</w:t>
            </w:r>
          </w:p>
        </w:tc>
      </w:tr>
      <w:tr>
        <w:tc>
          <w:tcPr>
            <w:tcW w:type="dxa" w:w="2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Virtual Machines</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Backup (Recovery Services Vault)</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Daily backup at 02:00 local time. 30-day daily retention, 12-week weekly, 12-month monthly. Enhanced policy for app-consistent snapshots.</w:t>
            </w:r>
          </w:p>
        </w:tc>
      </w:tr>
      <w:tr>
        <w:tc>
          <w:tcPr>
            <w:tcW w:type="dxa" w:w="25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 SQL Database</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Automated backups (built-in)</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Full: weekly. Differential: every 12–24h. Transaction log: every 5–60 min. PITR: 35 days. LTR: configure 1–10yr via policy.</w:t>
            </w:r>
          </w:p>
        </w:tc>
      </w:tr>
      <w:tr>
        <w:tc>
          <w:tcPr>
            <w:tcW w:type="dxa" w:w="2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Blob Storage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Operational backup (Container-level PITR)</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Enable soft delete (90 days). Enable versioning. PITR: 35 days. Configure blob backup policy for DR.</w:t>
            </w:r>
          </w:p>
        </w:tc>
      </w:tr>
      <w:tr>
        <w:tc>
          <w:tcPr>
            <w:tcW w:type="dxa" w:w="25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 Files</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 Backup (Azure File Share snapshot)</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Daily snapshots. 60-day retention. Enable soft delete on storage account.</w:t>
            </w:r>
          </w:p>
        </w:tc>
      </w:tr>
      <w:tr>
        <w:tc>
          <w:tcPr>
            <w:tcW w:type="dxa" w:w="25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Kubernetes Service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Backup for AKS</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Daily cluster state backup. 30-day retention. Test restore monthly.</w:t>
            </w:r>
          </w:p>
        </w:tc>
      </w:tr>
      <w:tr>
        <w:tc>
          <w:tcPr>
            <w:tcW w:type="dxa" w:w="25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 PostgreSQL / MySQL Flexible</w:t>
            </w:r>
          </w:p>
        </w:tc>
        <w:tc>
          <w:tcPr>
            <w:tcW w:type="dxa" w:w="36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Automated backups (built-in)</w:t>
            </w:r>
          </w:p>
        </w:tc>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Full backups every 7 days. Differential: every 2–6h. PITR: 7–35 days (configurable). Geo-redundant backup for DR.</w:t>
            </w:r>
          </w:p>
        </w:tc>
      </w:tr>
    </w:tbl>
    <w:p>
      <w:r>
        <w:t xml:space="preserve"/>
      </w:r>
    </w:p>
    <w:p>
      <w:pPr>
        <w:pStyle w:val="Heading2"/>
        <w:spacing w:after="120" w:before="280"/>
      </w:pPr>
      <w:r>
        <w:rPr>
          <w:rFonts w:ascii="Arial" w:cs="Arial" w:eastAsia="Arial" w:hAnsi="Arial"/>
          <w:b/>
          <w:bCs/>
          <w:color w:val="7030A0"/>
          <w:sz w:val="28"/>
          <w:szCs w:val="28"/>
        </w:rPr>
        <w:t xml:space="preserve">8.2 Recovery Vault Design</w:t>
      </w:r>
    </w:p>
    <w:p>
      <w:pPr>
        <w:pStyle w:val="ListParagraph"/>
        <w:numPr>
          <w:ilvl w:val="0"/>
          <w:numId w:val="2"/>
        </w:numPr>
        <w:spacing w:after="40" w:before="40"/>
      </w:pPr>
      <w:r>
        <w:rPr>
          <w:rFonts w:ascii="Arial" w:cs="Arial" w:eastAsia="Arial" w:hAnsi="Arial"/>
          <w:sz w:val="22"/>
          <w:szCs w:val="22"/>
        </w:rPr>
        <w:t xml:space="preserve">Deploy a Recovery Services Vault per region (not per subscription) in the Management subscription.</w:t>
      </w:r>
    </w:p>
    <w:p>
      <w:pPr>
        <w:pStyle w:val="ListParagraph"/>
        <w:numPr>
          <w:ilvl w:val="0"/>
          <w:numId w:val="2"/>
        </w:numPr>
        <w:spacing w:after="40" w:before="40"/>
      </w:pPr>
      <w:r>
        <w:rPr>
          <w:rFonts w:ascii="Arial" w:cs="Arial" w:eastAsia="Arial" w:hAnsi="Arial"/>
          <w:sz w:val="22"/>
          <w:szCs w:val="22"/>
        </w:rPr>
        <w:t xml:space="preserve">Enable Soft Delete on all vaults (14-day minimum; 180 days for enhanced security).</w:t>
      </w:r>
    </w:p>
    <w:p>
      <w:pPr>
        <w:pStyle w:val="ListParagraph"/>
        <w:numPr>
          <w:ilvl w:val="0"/>
          <w:numId w:val="2"/>
        </w:numPr>
        <w:spacing w:after="40" w:before="40"/>
      </w:pPr>
      <w:r>
        <w:rPr>
          <w:rFonts w:ascii="Arial" w:cs="Arial" w:eastAsia="Arial" w:hAnsi="Arial"/>
          <w:sz w:val="22"/>
          <w:szCs w:val="22"/>
        </w:rPr>
        <w:t xml:space="preserve">Enable Multi-User Authorisation (MUA) on production vaults to prevent rogue backup deletion.</w:t>
      </w:r>
    </w:p>
    <w:p>
      <w:pPr>
        <w:pStyle w:val="ListParagraph"/>
        <w:numPr>
          <w:ilvl w:val="0"/>
          <w:numId w:val="2"/>
        </w:numPr>
        <w:spacing w:after="40" w:before="40"/>
      </w:pPr>
      <w:r>
        <w:rPr>
          <w:rFonts w:ascii="Arial" w:cs="Arial" w:eastAsia="Arial" w:hAnsi="Arial"/>
          <w:sz w:val="22"/>
          <w:szCs w:val="22"/>
        </w:rPr>
        <w:t xml:space="preserve">Use GRS (Geo-Redundant Storage) vault redundancy for production. LRS acceptable for non-prod.</w:t>
      </w:r>
    </w:p>
    <w:p>
      <w:pPr>
        <w:pStyle w:val="ListParagraph"/>
        <w:numPr>
          <w:ilvl w:val="0"/>
          <w:numId w:val="2"/>
        </w:numPr>
        <w:spacing w:after="40" w:before="40"/>
      </w:pPr>
      <w:r>
        <w:rPr>
          <w:rFonts w:ascii="Arial" w:cs="Arial" w:eastAsia="Arial" w:hAnsi="Arial"/>
          <w:sz w:val="22"/>
          <w:szCs w:val="22"/>
        </w:rPr>
        <w:t xml:space="preserve">Test backup restores quarterly. Document restore procedures in runbooks.</w:t>
      </w:r>
    </w:p>
    <w:p>
      <w:r>
        <w:t xml:space="preserve"/>
      </w:r>
    </w:p>
    <w:p>
      <w:pPr>
        <w:pStyle w:val="Heading2"/>
        <w:spacing w:after="120" w:before="280"/>
      </w:pPr>
      <w:r>
        <w:rPr>
          <w:rFonts w:ascii="Arial" w:cs="Arial" w:eastAsia="Arial" w:hAnsi="Arial"/>
          <w:b/>
          <w:bCs/>
          <w:color w:val="7030A0"/>
          <w:sz w:val="28"/>
          <w:szCs w:val="28"/>
        </w:rPr>
        <w:t xml:space="preserve">8.3 RTO / RPO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Criticality Tier</w:t>
            </w:r>
          </w:p>
        </w:tc>
        <w:tc>
          <w:tcPr>
            <w:tcW w:type="dxa" w:w="216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RPO Target</w:t>
            </w:r>
          </w:p>
        </w:tc>
        <w:tc>
          <w:tcPr>
            <w:tcW w:type="dxa" w:w="480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RTO Target</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Mission Critical (Tier 0)</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Near-zero (&lt; 15 minutes)</w:t>
            </w:r>
          </w:p>
        </w:tc>
        <w:tc>
          <w:tcPr>
            <w:tcW w:type="dxa" w:w="4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&lt; 1 hour — Active-Active multi-region deployment. Azure Traffic Manager or Front Door with health probes.</w:t>
            </w:r>
          </w:p>
        </w:tc>
      </w:tr>
      <w:tr>
        <w:tc>
          <w:tcPr>
            <w:tcW w:type="dxa" w:w="24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High (Tier 1)</w:t>
            </w:r>
          </w:p>
        </w:tc>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&lt; 1 hour</w:t>
            </w:r>
          </w:p>
        </w:tc>
        <w:tc>
          <w:tcPr>
            <w:tcW w:type="dxa" w:w="48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&lt; 4 hours — Active-Passive with hot standby. Azure Site Recovery with continuous replication.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Medium (Tier 2)</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&lt; 4 hours</w:t>
            </w:r>
          </w:p>
        </w:tc>
        <w:tc>
          <w:tcPr>
            <w:tcW w:type="dxa" w:w="4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&lt; 8 hours — Azure Site Recovery with recovery plan. Regular DR drills twice yearly.</w:t>
            </w:r>
          </w:p>
        </w:tc>
      </w:tr>
      <w:tr>
        <w:tc>
          <w:tcPr>
            <w:tcW w:type="dxa" w:w="24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Low (Tier 3)</w:t>
            </w:r>
          </w:p>
        </w:tc>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&lt; 24 hours</w:t>
            </w:r>
          </w:p>
        </w:tc>
        <w:tc>
          <w:tcPr>
            <w:tcW w:type="dxa" w:w="480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&lt; 48 hours — Backup and restore. Standard Azure Backup policy. Recovery from vault.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F2861" w:val="clear"/>
            <w:tcMar>
              <w:top w:type="dxa" w:w="160"/>
              <w:left w:type="dxa" w:w="240"/>
              <w:bottom w:type="dxa" w:w="100"/>
              <w:right w:type="dxa" w:w="240"/>
            </w:tcMar>
          </w:tcPr>
          <w:p>
            <w:r>
              <w:rPr>
                <w:rFonts w:ascii="Arial" w:cs="Arial" w:eastAsia="Arial" w:hAnsi="Arial"/>
                <w:b/>
                <w:bCs/>
                <w:color w:val="FFFFFF"/>
                <w:sz w:val="32"/>
                <w:szCs w:val="32"/>
              </w:rPr>
              <w:t xml:space="preserve">9. Platform Automation &amp; IaC</w:t>
            </w:r>
          </w:p>
          <w:p>
            <w:r>
              <w:rPr>
                <w:rFonts w:ascii="Arial" w:cs="Arial" w:eastAsia="Arial" w:hAnsi="Arial"/>
                <w:color w:val="FFFFFF"/>
                <w:sz w:val="20"/>
                <w:szCs w:val="20"/>
              </w:rPr>
              <w:t xml:space="preserve">Infrastructure as Code and DevOps</w:t>
            </w:r>
          </w:p>
        </w:tc>
      </w:tr>
    </w:tbl>
    <w:p>
      <w:r>
        <w:t xml:space="preserve"/>
      </w:r>
    </w:p>
    <w:p>
      <w:pPr>
        <w:pStyle w:val="Heading2"/>
        <w:spacing w:after="120" w:before="280"/>
      </w:pPr>
      <w:r>
        <w:rPr>
          <w:rFonts w:ascii="Arial" w:cs="Arial" w:eastAsia="Arial" w:hAnsi="Arial"/>
          <w:b/>
          <w:bCs/>
          <w:color w:val="7030A0"/>
          <w:sz w:val="28"/>
          <w:szCs w:val="28"/>
        </w:rPr>
        <w:t xml:space="preserve">9.1 Infrastructure as Code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W w:type="dxa" w:w="61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Use Case &amp; Recommendation</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Bicep</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Primary IaC language for Azure-native deployments. Microsoft-preferred. Used in ALZ Accelerator. Compiles to ARM JSON. Native Azure types and API versions.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Terraform (AzureRM / AzAPI)</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Preferred for multi-cloud or existing Terraform investment. Use AzAPI provider for latest Azure features not yet in AzureRM.</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Azure DevOps / GitHub Actions</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CI/CD pipelines for IaC. Use OIDC/Workload Identity Federation — no client secrets in pipelines.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 Landing Zone Accelerator</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Microsoft's reference Bicep implementation. Starting point for Platform team. Deploy via Azure portal or pipeline.</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Policy-as-Code</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Store all Azure Policy definitions and assignments as code. ALZ GitHub repo provides all Enterprise-Scale built-in custom policies.</w:t>
            </w:r>
          </w:p>
        </w:tc>
      </w:tr>
    </w:tbl>
    <w:p>
      <w:r>
        <w:t xml:space="preserve"/>
      </w:r>
    </w:p>
    <w:p>
      <w:pPr>
        <w:pStyle w:val="Heading2"/>
        <w:spacing w:after="120" w:before="280"/>
      </w:pPr>
      <w:r>
        <w:rPr>
          <w:rFonts w:ascii="Arial" w:cs="Arial" w:eastAsia="Arial" w:hAnsi="Arial"/>
          <w:b/>
          <w:bCs/>
          <w:color w:val="7030A0"/>
          <w:sz w:val="28"/>
          <w:szCs w:val="28"/>
        </w:rPr>
        <w:t xml:space="preserve">9.2 IaC Repository Structure</w:t>
      </w:r>
    </w:p>
    <w:p>
      <w:pPr>
        <w:spacing w:after="80" w:before="60"/>
      </w:pPr>
      <w:r>
        <w:rPr>
          <w:rFonts w:ascii="Arial" w:cs="Arial" w:eastAsia="Arial" w:hAnsi="Arial"/>
          <w:sz w:val="22"/>
          <w:szCs w:val="22"/>
        </w:rPr>
        <w:t xml:space="preserve">Recommended repository structure for Landing Zone platform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Path</w:t>
            </w:r>
          </w:p>
        </w:tc>
        <w:tc>
          <w:tcPr>
            <w:tcW w:type="dxa" w:w="61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Contents</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/platform/management-groups/</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MG hierarchy Bicep/Terraform definitions. Run once; re-apply for changes.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/platform/subscriptions/</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Subscription vending module. Input: name, MG, tags, network CIDR. Output: subscription + peering + Policy assignment.</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/platform/policies/</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Custom policy and initiative definitions. Built-in policy assignments referencing by policyDefinitionId.</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/platform/networking/</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Hub VNet, Azure Firewall, Gateway, Bastion, DNS Resolver Bicep modules.</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/platform/identity/</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Entra ID group creation, PIM configuration (where automatable), Conditional Access (Microsoft.Graph).</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/platform/monitoring/</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Log Analytics workspace, Data Collection Rules (DCR), Workbooks, Alert rules, Action Groups.</w:t>
            </w:r>
          </w:p>
        </w:tc>
      </w:tr>
      <w:tr>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/workloads/&lt;app-name&gt;/</w:t>
            </w:r>
          </w:p>
        </w:tc>
        <w:tc>
          <w:tcPr>
            <w:tcW w:type="dxa" w:w="6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Application-specific IaC. Managed by application team. Platform team provides guardrails and reviewed templates.</w:t>
            </w:r>
          </w:p>
        </w:tc>
      </w:tr>
      <w:tr>
        <w:tc>
          <w:tcPr>
            <w:tcW w:type="dxa" w:w="324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/pipelines/</w:t>
            </w:r>
          </w:p>
        </w:tc>
        <w:tc>
          <w:tcPr>
            <w:tcW w:type="dxa" w:w="61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CI/CD pipeline YAML files. Separate pipelines per platform component. Protected branches with PR reviews.</w:t>
            </w:r>
          </w:p>
        </w:tc>
      </w:tr>
    </w:tbl>
    <w:p>
      <w:r>
        <w:t xml:space="preserve"/>
      </w:r>
    </w:p>
    <w:p>
      <w:pPr>
        <w:pStyle w:val="Heading2"/>
        <w:spacing w:after="120" w:before="280"/>
      </w:pPr>
      <w:r>
        <w:rPr>
          <w:rFonts w:ascii="Arial" w:cs="Arial" w:eastAsia="Arial" w:hAnsi="Arial"/>
          <w:b/>
          <w:bCs/>
          <w:color w:val="7030A0"/>
          <w:sz w:val="28"/>
          <w:szCs w:val="28"/>
        </w:rPr>
        <w:t xml:space="preserve">9.3 Pipeline Security</w:t>
      </w:r>
    </w:p>
    <w:p>
      <w:pPr>
        <w:pStyle w:val="ListParagraph"/>
        <w:numPr>
          <w:ilvl w:val="0"/>
          <w:numId w:val="2"/>
        </w:numPr>
        <w:spacing w:after="40" w:before="40"/>
      </w:pPr>
      <w:r>
        <w:rPr>
          <w:rFonts w:ascii="Arial" w:cs="Arial" w:eastAsia="Arial" w:hAnsi="Arial"/>
          <w:sz w:val="22"/>
          <w:szCs w:val="22"/>
        </w:rPr>
        <w:t xml:space="preserve">Use Workload Identity Federation (OIDC) for pipeline-to-Azure authentication. Never use client secrets in pipelines.</w:t>
      </w:r>
    </w:p>
    <w:p>
      <w:pPr>
        <w:pStyle w:val="ListParagraph"/>
        <w:numPr>
          <w:ilvl w:val="0"/>
          <w:numId w:val="2"/>
        </w:numPr>
        <w:spacing w:after="40" w:before="40"/>
      </w:pPr>
      <w:r>
        <w:rPr>
          <w:rFonts w:ascii="Arial" w:cs="Arial" w:eastAsia="Arial" w:hAnsi="Arial"/>
          <w:sz w:val="22"/>
          <w:szCs w:val="22"/>
        </w:rPr>
        <w:t xml:space="preserve">Assign minimum-required RBAC role to the pipeline service principal (e.g., Contributor on target subscription only).</w:t>
      </w:r>
    </w:p>
    <w:p>
      <w:pPr>
        <w:pStyle w:val="ListParagraph"/>
        <w:numPr>
          <w:ilvl w:val="0"/>
          <w:numId w:val="2"/>
        </w:numPr>
        <w:spacing w:after="40" w:before="40"/>
      </w:pPr>
      <w:r>
        <w:rPr>
          <w:rFonts w:ascii="Arial" w:cs="Arial" w:eastAsia="Arial" w:hAnsi="Arial"/>
          <w:sz w:val="22"/>
          <w:szCs w:val="22"/>
        </w:rPr>
        <w:t xml:space="preserve">Use environments with approval gates for Production pipelines. Require 2 approvers for destructive operations.</w:t>
      </w:r>
    </w:p>
    <w:p>
      <w:pPr>
        <w:pStyle w:val="ListParagraph"/>
        <w:numPr>
          <w:ilvl w:val="0"/>
          <w:numId w:val="2"/>
        </w:numPr>
        <w:spacing w:after="40" w:before="40"/>
      </w:pPr>
      <w:r>
        <w:rPr>
          <w:rFonts w:ascii="Arial" w:cs="Arial" w:eastAsia="Arial" w:hAnsi="Arial"/>
          <w:sz w:val="22"/>
          <w:szCs w:val="22"/>
        </w:rPr>
        <w:t xml:space="preserve">Scan IaC templates with Checkov or PSRule for Azure (PSRule.Rules.Azure) in CI. Block PR merge on critical findings.</w:t>
      </w:r>
    </w:p>
    <w:p>
      <w:pPr>
        <w:pStyle w:val="ListParagraph"/>
        <w:numPr>
          <w:ilvl w:val="0"/>
          <w:numId w:val="2"/>
        </w:numPr>
        <w:spacing w:after="40" w:before="40"/>
      </w:pPr>
      <w:r>
        <w:rPr>
          <w:rFonts w:ascii="Arial" w:cs="Arial" w:eastAsia="Arial" w:hAnsi="Arial"/>
          <w:sz w:val="22"/>
          <w:szCs w:val="22"/>
        </w:rPr>
        <w:t xml:space="preserve">Enable GitHub Advanced Security or Azure DevOps Advanced Security for secret scanning. Fail pipeline on detected secrets.</w:t>
      </w:r>
    </w:p>
    <w:p>
      <w:pPr>
        <w:pStyle w:val="ListParagraph"/>
        <w:numPr>
          <w:ilvl w:val="0"/>
          <w:numId w:val="2"/>
        </w:numPr>
        <w:spacing w:after="40" w:before="40"/>
      </w:pPr>
      <w:r>
        <w:rPr>
          <w:rFonts w:ascii="Arial" w:cs="Arial" w:eastAsia="Arial" w:hAnsi="Arial"/>
          <w:sz w:val="22"/>
          <w:szCs w:val="22"/>
        </w:rPr>
        <w:t xml:space="preserve">Store sensitive pipeline variables in Azure Key Vault; reference via Key Vault task, not plain-text variables.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F2861" w:val="clear"/>
            <w:tcMar>
              <w:top w:type="dxa" w:w="160"/>
              <w:left w:type="dxa" w:w="240"/>
              <w:bottom w:type="dxa" w:w="100"/>
              <w:right w:type="dxa" w:w="240"/>
            </w:tcMar>
          </w:tcPr>
          <w:p>
            <w:r>
              <w:rPr>
                <w:rFonts w:ascii="Arial" w:cs="Arial" w:eastAsia="Arial" w:hAnsi="Arial"/>
                <w:b/>
                <w:bCs/>
                <w:color w:val="FFFFFF"/>
                <w:sz w:val="32"/>
                <w:szCs w:val="32"/>
              </w:rPr>
              <w:t xml:space="preserve">10. Deployment Readiness Checklist</w:t>
            </w:r>
          </w:p>
          <w:p>
            <w:r>
              <w:rPr>
                <w:rFonts w:ascii="Arial" w:cs="Arial" w:eastAsia="Arial" w:hAnsi="Arial"/>
                <w:color w:val="FFFFFF"/>
                <w:sz w:val="20"/>
                <w:szCs w:val="20"/>
              </w:rPr>
              <w:t xml:space="preserve">Pre-deployment and Go-Live Validation</w:t>
            </w:r>
          </w:p>
        </w:tc>
      </w:tr>
    </w:tbl>
    <w:p>
      <w:r>
        <w:t xml:space="preserve"/>
      </w:r>
    </w:p>
    <w:p>
      <w:pPr>
        <w:pStyle w:val="Heading2"/>
        <w:spacing w:after="120" w:before="280"/>
      </w:pPr>
      <w:r>
        <w:rPr>
          <w:rFonts w:ascii="Arial" w:cs="Arial" w:eastAsia="Arial" w:hAnsi="Arial"/>
          <w:b/>
          <w:bCs/>
          <w:color w:val="7030A0"/>
          <w:sz w:val="28"/>
          <w:szCs w:val="28"/>
        </w:rPr>
        <w:t xml:space="preserve">10.1 Pre-Deployment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Area</w:t>
            </w:r>
          </w:p>
        </w:tc>
        <w:tc>
          <w:tcPr>
            <w:tcW w:type="dxa" w:w="432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Checklist Item</w:t>
            </w:r>
          </w:p>
        </w:tc>
        <w:tc>
          <w:tcPr>
            <w:tcW w:type="dxa" w:w="2880"/>
            <w:tcBorders>
              <w:top w:val="single" w:color="D9D9D9" w:sz="1"/>
              <w:left w:val="single" w:color="D9D9D9" w:sz="1"/>
              <w:bottom w:val="single" w:color="D9D9D9" w:sz="1"/>
              <w:right w:val="single" w:color="D9D9D9" w:sz="1"/>
            </w:tcBorders>
            <w:shd w:fill="5F2861" w:val="clear"/>
            <w:tcMar>
              <w:top w:type="dxa" w:w="80"/>
              <w:left w:type="dxa" w:w="120"/>
              <w:bottom w:type="dxa" w:w="80"/>
              <w:right w:type="dxa" w:w="120"/>
            </w:tcMar>
          </w:tcPr>
          <w:p>
            <w:r>
              <w:rPr>
                <w:rFonts w:ascii="Arial" w:cs="Arial" w:eastAsia="Arial" w:hAnsi="Arial"/>
                <w:b/>
                <w:bCs/>
                <w:color w:val="FFFFFF"/>
                <w:sz w:val="21"/>
                <w:szCs w:val="21"/>
              </w:rPr>
              <w:t xml:space="preserve">Status</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Entra ID</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Single Entra ID tenant confirmed. Hybrid identity method selected (PHS/PTA/ADFS).</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Entra ID</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Break-glass accounts created (cloud-only, FIDO2 or cert-based). Alerts configured.</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MG Hierarchy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Management Group hierarchy designed and approved. Max 6 levels.</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MG Hierarchy</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Subscription naming convention defined and documented.</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Networking</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IP address plan (IPAM) documented. No overlapping ranges with on-premises.</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Networking</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Hub VNet subnet design reviewed. GatewaySubnet, AzureFirewallSubnet sized correctly.</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Networking</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ExpressRoute circuit or VPN tunnel tested. BGP routing validated.</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Networking</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 Firewall policies (base + child) reviewed. IDPS in Alert mode initially.</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Security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Defender for Cloud enabled on all subscriptions. Secure Score baseline recorded.</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Security</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Sentinel workspace deployed. Data connectors configured. Analytics rules enabled.</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Security</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Conditional Access policies reviewed. MFA enforced for all users.</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Governance</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Azure Policy assignments reviewed. Compliance baseline established.</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Governance</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Tagging policy enforced. Resource naming convention documented.</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Management</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Log Analytics workspace deployed. Diagnostic settings configured via Policy.</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Management</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Alert rules and action groups configured. Oncall runbooks in place.</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BCDR</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Recovery Services Vaults deployed. Backup policies applied to Tier 1+ resources.</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Automation</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IaC repository structured and reviewed. Pipeline OIDC auth configured.</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1"/>
                <w:szCs w:val="21"/>
              </w:rPr>
              <w:t xml:space="preserve">□ To Do</w:t>
            </w:r>
          </w:p>
        </w:tc>
      </w:tr>
      <w:tr>
        <w:tc>
          <w:tcPr>
            <w:tcW w:type="dxa" w:w="216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Automation</w:t>
            </w:r>
          </w:p>
        </w:tc>
        <w:tc>
          <w:tcPr>
            <w:tcW w:type="dxa" w:w="432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Subscription vending process tested end-to-end.</w:t>
            </w:r>
          </w:p>
        </w:tc>
        <w:tc>
          <w:tcPr>
            <w:tcW w:type="dxa" w:w="2880"/>
            <w:tcBorders>
              <w:top w:val="single" w:color="D9D9D9" w:sz="1"/>
              <w:left w:val="single" w:color="D9D9D9" w:sz="1"/>
              <w:bottom w:val="single" w:color="D9D9D9" w:sz="1"/>
              <w:right w:val="single" w:color="D9D9D9" w:sz="1"/>
            </w:tcBorders>
            <w:shd w:fill="F0F0F0" w:val="clear"/>
            <w:tcMar>
              <w:top w:type="dxa" w:w="80"/>
              <w:left w:type="dxa" w:w="120"/>
              <w:bottom w:type="dxa" w:w="80"/>
              <w:right w:type="dxa" w:w="120"/>
            </w:tcMar>
          </w:tcPr>
          <w:p>
            <w:r>
              <w:rPr>
                <w:rFonts w:ascii="Arial" w:cs="Arial" w:eastAsia="Arial" w:hAnsi="Arial"/>
                <w:sz w:val="21"/>
                <w:szCs w:val="21"/>
              </w:rPr>
              <w:t xml:space="preserve">□ To Do</w:t>
            </w:r>
          </w:p>
        </w:tc>
      </w:tr>
    </w:tbl>
    <w:p>
      <w:r>
        <w:t xml:space="preserve"/>
      </w:r>
    </w:p>
    <w:p>
      <w:pPr>
        <w:pStyle w:val="Heading2"/>
        <w:spacing w:after="120" w:before="280"/>
      </w:pPr>
      <w:r>
        <w:rPr>
          <w:rFonts w:ascii="Arial" w:cs="Arial" w:eastAsia="Arial" w:hAnsi="Arial"/>
          <w:b/>
          <w:bCs/>
          <w:color w:val="7030A0"/>
          <w:sz w:val="28"/>
          <w:szCs w:val="28"/>
        </w:rPr>
        <w:t xml:space="preserve">10.2 Key Microsoft References</w:t>
      </w:r>
    </w:p>
    <w:p>
      <w:pPr>
        <w:spacing w:after="80" w:before="60"/>
      </w:pPr>
      <w:r>
        <w:rPr>
          <w:rFonts w:ascii="Arial" w:cs="Arial" w:eastAsia="Arial" w:hAnsi="Arial"/>
          <w:sz w:val="22"/>
          <w:szCs w:val="22"/>
        </w:rPr>
        <w:t xml:space="preserve">The following Microsoft documentation and repositories are the authoritative sources for Azure Landing Zone guidance:</w:t>
      </w:r>
    </w:p>
    <w:p>
      <w:pPr>
        <w:pStyle w:val="ListParagraph"/>
        <w:numPr>
          <w:ilvl w:val="0"/>
          <w:numId w:val="2"/>
        </w:numPr>
        <w:spacing w:after="40" w:before="40"/>
      </w:pPr>
      <w:r>
        <w:rPr>
          <w:rFonts w:ascii="Arial" w:cs="Arial" w:eastAsia="Arial" w:hAnsi="Arial"/>
          <w:sz w:val="22"/>
          <w:szCs w:val="22"/>
        </w:rPr>
        <w:t xml:space="preserve">Azure Landing Zone documentation: https://aka.ms/alz</w:t>
      </w:r>
    </w:p>
    <w:p>
      <w:pPr>
        <w:pStyle w:val="ListParagraph"/>
        <w:numPr>
          <w:ilvl w:val="0"/>
          <w:numId w:val="2"/>
        </w:numPr>
        <w:spacing w:after="40" w:before="40"/>
      </w:pPr>
      <w:r>
        <w:rPr>
          <w:rFonts w:ascii="Arial" w:cs="Arial" w:eastAsia="Arial" w:hAnsi="Arial"/>
          <w:sz w:val="22"/>
          <w:szCs w:val="22"/>
        </w:rPr>
        <w:t xml:space="preserve">ALZ Bicep Accelerator (GitHub): https://aka.ms/alz/bicep</w:t>
      </w:r>
    </w:p>
    <w:p>
      <w:pPr>
        <w:pStyle w:val="ListParagraph"/>
        <w:numPr>
          <w:ilvl w:val="0"/>
          <w:numId w:val="2"/>
        </w:numPr>
        <w:spacing w:after="40" w:before="40"/>
      </w:pPr>
      <w:r>
        <w:rPr>
          <w:rFonts w:ascii="Arial" w:cs="Arial" w:eastAsia="Arial" w:hAnsi="Arial"/>
          <w:sz w:val="22"/>
          <w:szCs w:val="22"/>
        </w:rPr>
        <w:t xml:space="preserve">ALZ Terraform Accelerator (GitHub): https://aka.ms/alz/tf</w:t>
      </w:r>
    </w:p>
    <w:p>
      <w:pPr>
        <w:pStyle w:val="ListParagraph"/>
        <w:numPr>
          <w:ilvl w:val="0"/>
          <w:numId w:val="2"/>
        </w:numPr>
        <w:spacing w:after="40" w:before="40"/>
      </w:pPr>
      <w:r>
        <w:rPr>
          <w:rFonts w:ascii="Arial" w:cs="Arial" w:eastAsia="Arial" w:hAnsi="Arial"/>
          <w:sz w:val="22"/>
          <w:szCs w:val="22"/>
        </w:rPr>
        <w:t xml:space="preserve">Cloud Adoption Framework: https://aka.ms/caf</w:t>
      </w:r>
    </w:p>
    <w:p>
      <w:pPr>
        <w:pStyle w:val="ListParagraph"/>
        <w:numPr>
          <w:ilvl w:val="0"/>
          <w:numId w:val="2"/>
        </w:numPr>
        <w:spacing w:after="40" w:before="40"/>
      </w:pPr>
      <w:r>
        <w:rPr>
          <w:rFonts w:ascii="Arial" w:cs="Arial" w:eastAsia="Arial" w:hAnsi="Arial"/>
          <w:sz w:val="22"/>
          <w:szCs w:val="22"/>
        </w:rPr>
        <w:t xml:space="preserve">Azure Well-Architected Framework: https://aka.ms/waf</w:t>
      </w:r>
    </w:p>
    <w:p>
      <w:pPr>
        <w:pStyle w:val="ListParagraph"/>
        <w:numPr>
          <w:ilvl w:val="0"/>
          <w:numId w:val="2"/>
        </w:numPr>
        <w:spacing w:after="40" w:before="40"/>
      </w:pPr>
      <w:r>
        <w:rPr>
          <w:rFonts w:ascii="Arial" w:cs="Arial" w:eastAsia="Arial" w:hAnsi="Arial"/>
          <w:sz w:val="22"/>
          <w:szCs w:val="22"/>
        </w:rPr>
        <w:t xml:space="preserve">Microsoft Cloud Security Benchmark: https://aka.ms/mcsb</w:t>
      </w:r>
    </w:p>
    <w:p>
      <w:pPr>
        <w:pStyle w:val="ListParagraph"/>
        <w:numPr>
          <w:ilvl w:val="0"/>
          <w:numId w:val="2"/>
        </w:numPr>
        <w:spacing w:after="40" w:before="40"/>
      </w:pPr>
      <w:r>
        <w:rPr>
          <w:rFonts w:ascii="Arial" w:cs="Arial" w:eastAsia="Arial" w:hAnsi="Arial"/>
          <w:sz w:val="22"/>
          <w:szCs w:val="22"/>
        </w:rPr>
        <w:t xml:space="preserve">Azure Policy built-in definitions: https://aka.ms/azurepolicysamples</w:t>
      </w:r>
    </w:p>
    <w:p>
      <w:pPr>
        <w:pStyle w:val="ListParagraph"/>
        <w:numPr>
          <w:ilvl w:val="0"/>
          <w:numId w:val="2"/>
        </w:numPr>
        <w:spacing w:after="40" w:before="40"/>
      </w:pPr>
      <w:r>
        <w:rPr>
          <w:rFonts w:ascii="Arial" w:cs="Arial" w:eastAsia="Arial" w:hAnsi="Arial"/>
          <w:sz w:val="22"/>
          <w:szCs w:val="22"/>
        </w:rPr>
        <w:t xml:space="preserve">Enterprise-Scale Policy GitHub: https://github.com/Azure/Enterprise-Scale</w:t>
      </w:r>
    </w:p>
    <w:p>
      <w:r>
        <w:t xml:space="preserve"/>
      </w:r>
    </w:p>
    <w:p>
      <w:pPr>
        <w:pBdr>
          <w:bottom w:val="single" w:color="5F2861" w:sz="6" w:space="1"/>
        </w:pBdr>
        <w:spacing w:after="80" w:before="80"/>
      </w:pPr>
    </w:p>
    <w:p>
      <w:pPr>
        <w:spacing w:before="160"/>
        <w:jc w:val="center"/>
      </w:pPr>
      <w:r>
        <w:rPr>
          <w:rFonts w:ascii="Arial" w:cs="Arial" w:eastAsia="Arial" w:hAnsi="Arial"/>
          <w:i/>
          <w:iCs/>
          <w:color w:val="646464"/>
          <w:sz w:val="20"/>
          <w:szCs w:val="20"/>
        </w:rPr>
        <w:t xml:space="preserve">Azure Landing Zone Design Template — End of Document</w:t>
      </w:r>
    </w:p>
    <w:p>
      <w:pPr>
        <w:jc w:val="center"/>
      </w:pPr>
      <w:r>
        <w:rPr>
          <w:rFonts w:ascii="Arial" w:cs="Arial" w:eastAsia="Arial" w:hAnsi="Arial"/>
          <w:color w:val="808080"/>
          <w:sz w:val="18"/>
          <w:szCs w:val="18"/>
        </w:rPr>
        <w:t xml:space="preserve">This document should be reviewed and updated at least annually or following material changes to the Azure Landing Zone environment.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F2861" w:sz="4" w:space="4"/>
      </w:pBdr>
      <w:tabs>
        <w:tab w:val="right" w:pos="9026"/>
      </w:tabs>
    </w:pPr>
    <w:r>
      <w:rPr>
        <w:rFonts w:ascii="Arial" w:cs="Arial" w:eastAsia="Arial" w:hAnsi="Arial"/>
        <w:color w:val="646464"/>
        <w:sz w:val="18"/>
        <w:szCs w:val="18"/>
      </w:rPr>
      <w:t xml:space="preserve">© Organisation Name | Azure Landing Zone Design Template</w:t>
    </w:r>
    <w:r>
      <w:rPr>
        <w:sz w:val="18"/>
        <w:szCs w:val="18"/>
      </w:rPr>
      <w:t xml:space="preserve">	</w:t>
    </w:r>
    <w:r>
      <w:rPr>
        <w:rFonts w:ascii="Arial" w:cs="Arial" w:eastAsia="Arial" w:hAnsi="Arial"/>
        <w:color w:val="646464"/>
        <w:sz w:val="18"/>
        <w:szCs w:val="18"/>
      </w:rPr>
      <w:t xml:space="preserve">Page </w:t>
    </w:r>
    <w:r>
      <w:rPr>
        <w:rFonts w:ascii="Arial" w:cs="Arial" w:eastAsia="Arial" w:hAnsi="Arial"/>
        <w:color w:val="646464"/>
        <w:sz w:val="18"/>
        <w:szCs w:val="18"/>
      </w:rPr>
      <w:fldChar w:fldCharType="begin"/>
    </w:r>
    <w:r>
      <w:rPr>
        <w:rFonts w:ascii="Arial" w:cs="Arial" w:eastAsia="Arial" w:hAnsi="Arial"/>
        <w:color w:val="646464"/>
        <w:sz w:val="18"/>
        <w:szCs w:val="18"/>
      </w:rPr>
      <w:instrText xml:space="preserve"> PAGE </w:instrText>
    </w:r>
    <w:r>
      <w:rPr>
        <w:rFonts w:ascii="Arial" w:cs="Arial" w:eastAsia="Arial" w:hAnsi="Arial"/>
        <w:color w:val="646464"/>
        <w:sz w:val="18"/>
        <w:szCs w:val="18"/>
      </w:rPr>
      <w:fldChar w:fldCharType="separate"/>
    </w:r>
    <w:r>
      <w:rPr>
        <w:rFonts w:ascii="Arial" w:cs="Arial" w:eastAsia="Arial" w:hAnsi="Arial"/>
        <w:color w:val="646464"/>
        <w:sz w:val="18"/>
        <w:szCs w:val="18"/>
      </w:rPr>
      <w:t>1</w:t>
    </w:r>
    <w:r>
      <w:rPr>
        <w:rFonts w:ascii="Arial" w:cs="Arial" w:eastAsia="Arial" w:hAnsi="Arial"/>
        <w:color w:val="646464"/>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F2861" w:sz="4" w:space="4"/>
      </w:pBdr>
      <w:tabs>
        <w:tab w:val="right" w:pos="9026"/>
      </w:tabs>
    </w:pPr>
    <w:r>
      <w:rPr>
        <w:rFonts w:ascii="Arial" w:cs="Arial" w:eastAsia="Arial" w:hAnsi="Arial"/>
        <w:b/>
        <w:bCs/>
        <w:color w:val="7030A0"/>
        <w:sz w:val="20"/>
        <w:szCs w:val="20"/>
      </w:rPr>
      <w:t xml:space="preserve">Azure Landing Zone – Design Template</w:t>
    </w:r>
    <w:r>
      <w:rPr>
        <w:sz w:val="20"/>
        <w:szCs w:val="20"/>
      </w:rPr>
      <w:t xml:space="preserve">	</w:t>
    </w:r>
    <w:r>
      <w:rPr>
        <w:rFonts w:ascii="Arial" w:cs="Arial" w:eastAsia="Arial" w:hAnsi="Arial"/>
        <w:color w:val="646464"/>
        <w:sz w:val="18"/>
        <w:szCs w:val="18"/>
      </w:rPr>
      <w:t xml:space="preserve">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7030A0"/>
      <w:sz w:val="32"/>
      <w:szCs w:val="32"/>
    </w:rPr>
  </w:style>
  <w:style w:type="paragraph" w:styleId="Heading2">
    <w:name w:val="Heading 2"/>
    <w:basedOn w:val="Normal"/>
    <w:next w:val="Normal"/>
    <w:qFormat/>
    <w:rPr>
      <w:color w:val="7030A0"/>
      <w:sz w:val="26"/>
      <w:szCs w:val="26"/>
    </w:rPr>
  </w:style>
  <w:style w:type="paragraph" w:styleId="Heading3">
    <w:name w:val="Heading 3"/>
    <w:basedOn w:val="Normal"/>
    <w:next w:val="Normal"/>
    <w:qFormat/>
    <w:rPr>
      <w:color w:val="7030A0"/>
      <w:sz w:val="24"/>
      <w:szCs w:val="24"/>
    </w:rPr>
  </w:style>
  <w:style w:type="paragraph" w:styleId="Heading4">
    <w:name w:val="Heading 4"/>
    <w:basedOn w:val="Normal"/>
    <w:next w:val="Normal"/>
    <w:qFormat/>
    <w:rPr>
      <w:i/>
      <w:iCs/>
      <w:color w:val="7030A0"/>
    </w:rPr>
  </w:style>
  <w:style w:type="paragraph" w:styleId="Heading5">
    <w:name w:val="Heading 5"/>
    <w:basedOn w:val="Normal"/>
    <w:next w:val="Normal"/>
    <w:qFormat/>
    <w:rPr>
      <w:color w:val="7030A0"/>
    </w:rPr>
  </w:style>
  <w:style w:type="paragraph" w:styleId="Heading6">
    <w:name w:val="Heading 6"/>
    <w:basedOn w:val="Normal"/>
    <w:next w:val="Normal"/>
    <w:qFormat/>
    <w:rPr>
      <w:color w:val="7030A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7030A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7030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2026-05-16T16:30:19.170Z</dcterms:created>
  <dcterms:modified xsi:type="dcterms:W3CDTF">2026-05-16T16:30:19.170Z</dcterms:modified>
</cp:coreProperties>
</file>

<file path=docProps/custom.xml><?xml version="1.0" encoding="utf-8"?>
<Properties xmlns="http://schemas.openxmlformats.org/officeDocument/2006/custom-properties" xmlns:vt="http://schemas.openxmlformats.org/officeDocument/2006/docPropsVTypes"/>
</file>