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2179a3b8dec94cf8"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ed73c4a5363444a9"/>
                    <a:stretch>
                      <a:fillRect/>
                    </a:stretch>
                  </pic:blipFill>
                  <pic:spPr>
                    <a:xfrm>
                      <a:off x="0" y="0"/>
                      <a:ext cx="7560000" cy="10692000"/>
                    </a:xfrm>
                    <a:prstGeom prst="rect"/>
                  </pic:spPr>
                </pic:pic>
              </a:graphicData>
            </a:graphic>
          </wp:anchor>
        </w:drawing>
      </w:r>
    </w:p>
    <w:p>
      <w:pPr>
        <w:spacing w:before="4800"/>
      </w:pPr>
      <w:r/>
    </w:p>
    <w:p>
      <w:pPr>
        <w:spacing w:after="120"/>
        <w:ind w:left="1200" w:right="1200"/>
        <w:jc w:val="left"/>
      </w:pPr>
      <w:r>
        <w:rPr>
          <w:color w:val="7030A0"/>
          <w:spacing w:val="30"/>
          <w:sz w:val="80"/>
        </w:rPr>
        <w:t>Azure Landing Zone</w:t>
      </w:r>
    </w:p>
    <w:p>
      <w:pPr>
        <w:spacing w:after="200"/>
        <w:ind w:left="1200" w:right="1200"/>
        <w:jc w:val="left"/>
      </w:pPr>
      <w:r>
        <w:rPr>
          <w:color w:val="7030A0"/>
          <w:spacing w:val="20"/>
          <w:sz w:val="56"/>
        </w:rPr>
        <w:t>Design Template</w:t>
      </w:r>
    </w:p>
    <w:p>
      <w:pPr>
        <w:spacing w:after="400"/>
        <w:ind w:left="1200" w:right="1200"/>
        <w:jc w:val="left"/>
      </w:pPr>
      <w:r>
        <w:rPr>
          <w:color w:val="404040"/>
          <w:spacing w:val="30"/>
          <w:sz w:val="24"/>
        </w:rPr>
        <w:t>Microsoft Best Practices &amp; CIS Controls v8.1 Implementation Guide</w:t>
      </w:r>
    </w:p>
    <w:p>
      <w:pPr>
        <w:spacing w:before="3600"/>
        <w:ind w:left="1200"/>
        <w:jc w:val="left"/>
      </w:pPr>
      <w:r>
        <w:rPr>
          <w:color w:val="646464"/>
          <w:sz w:val="20"/>
        </w:rPr>
        <w:t>Cloud Adoption Framework (CAF) | Enterprise-Scale Architecture</w:t>
      </w:r>
    </w:p>
    <w:p>
      <w:pPr>
        <w:ind w:left="1200"/>
      </w:pPr>
      <w:r>
        <w:rPr>
          <w:color w:val="646464"/>
          <w:sz w:val="20"/>
        </w:rPr>
        <w:t>May 2026 Edition</w:t>
      </w:r>
    </w:p>
    <w:p>
      <w:pPr>
        <w:sectPr>
          <w:type w:val="nextPage"/>
          <w:pgSz w:w="11906" w:h="16838"/>
          <w:pgMar w:top="0" w:right="0" w:bottom="0" w:left="0" w:header="0" w:footer="0"/>
          <w:titlePg/>
        </w:sectPr>
      </w:pPr>
    </w:p>
    <w:p>
      <w:pPr>
        <w:pStyle w:val="Heading1"/>
      </w:pPr>
      <w:r>
        <w:t>Table of Contents</w:t>
      </w:r>
      <w:bookmarkStart w:name="_Toc000" w:id="1"/>
      <w:bookmarkEnd w:id="1"/>
    </w:p>
    <w:p>
      <w:pPr>
        <w:spacing w:after="300"/>
      </w:pPr>
      <w:r>
        <w:rPr>
          <w:color w:val="646464"/>
          <w:sz w:val="18"/>
        </w:rPr>
        <w:t>Right-click the TOC and select "Update Field" to refresh page numbers</w:t>
      </w:r>
    </w:p>
    <w:p>
      <w:r>
        <w:fldChar w:fldCharType="begin"/>
      </w:r>
      <w:r>
        <w:instrText xml:space="preserve"> TOC \o "1-3" \h \z \u </w:instrText>
      </w:r>
      <w:r>
        <w:fldChar w:fldCharType="separate"/>
      </w:r>
    </w:p>
    <w:p>
      <w:pPr>
        <w:pStyle w:val="TOC1"/>
      </w:pPr>
      <w:r>
        <w:t>Executive Summary</w:t>
      </w:r>
      <w:r>
        <w:tab/>
      </w:r>
      <w:r>
        <w:t>3</w:t>
      </w:r>
    </w:p>
    <w:p>
      <w:pPr>
        <w:pStyle w:val="TOC1"/>
      </w:pPr>
      <w:r>
        <w:t>Introduction to Azure Landing Zones</w:t>
      </w:r>
      <w:r>
        <w:tab/>
      </w:r>
      <w:r>
        <w:t>4</w:t>
      </w:r>
    </w:p>
    <w:p>
      <w:pPr>
        <w:pStyle w:val="TOC2"/>
      </w:pPr>
      <w:r>
        <w:t>Platform vs Application Landing Zones</w:t>
      </w:r>
      <w:r>
        <w:tab/>
      </w:r>
      <w:r>
        <w:t>4</w:t>
      </w:r>
    </w:p>
    <w:p>
      <w:pPr>
        <w:pStyle w:val="TOC2"/>
      </w:pPr>
      <w:r>
        <w:t>The Eight Design Areas</w:t>
      </w:r>
      <w:r>
        <w:tab/>
      </w:r>
      <w:r>
        <w:t>5</w:t>
      </w:r>
    </w:p>
    <w:p>
      <w:pPr>
        <w:pStyle w:val="TOC1"/>
      </w:pPr>
      <w:r>
        <w:t>Design Area 1: Azure Billing &amp; Microsoft Entra Tenant</w:t>
      </w:r>
      <w:r>
        <w:tab/>
      </w:r>
      <w:r>
        <w:t>6</w:t>
      </w:r>
    </w:p>
    <w:p>
      <w:pPr>
        <w:pStyle w:val="TOC1"/>
      </w:pPr>
      <w:r>
        <w:t>Design Area 2: Identity &amp; Access Management</w:t>
      </w:r>
      <w:r>
        <w:tab/>
      </w:r>
      <w:r>
        <w:t>7</w:t>
      </w:r>
    </w:p>
    <w:p>
      <w:pPr>
        <w:pStyle w:val="TOC1"/>
      </w:pPr>
      <w:r>
        <w:t>Design Area 3: Resource Organization</w:t>
      </w:r>
      <w:r>
        <w:tab/>
      </w:r>
      <w:r>
        <w:t>9</w:t>
      </w:r>
    </w:p>
    <w:p>
      <w:pPr>
        <w:pStyle w:val="TOC1"/>
      </w:pPr>
      <w:r>
        <w:t>Design Area 4: Network Topology &amp; Connectivity</w:t>
      </w:r>
      <w:r>
        <w:tab/>
      </w:r>
      <w:r>
        <w:t>10</w:t>
      </w:r>
    </w:p>
    <w:p>
      <w:pPr>
        <w:pStyle w:val="TOC1"/>
      </w:pPr>
      <w:r>
        <w:t>Design Area 5: Security</w:t>
      </w:r>
      <w:r>
        <w:tab/>
      </w:r>
      <w:r>
        <w:t>12</w:t>
      </w:r>
    </w:p>
    <w:p>
      <w:pPr>
        <w:pStyle w:val="TOC1"/>
      </w:pPr>
      <w:r>
        <w:t>Design Area 6: Management</w:t>
      </w:r>
      <w:r>
        <w:tab/>
      </w:r>
      <w:r>
        <w:t>14</w:t>
      </w:r>
    </w:p>
    <w:p>
      <w:pPr>
        <w:pStyle w:val="TOC1"/>
      </w:pPr>
      <w:r>
        <w:t>Design Area 7: Governance</w:t>
      </w:r>
      <w:r>
        <w:tab/>
      </w:r>
      <w:r>
        <w:t>15</w:t>
      </w:r>
    </w:p>
    <w:p>
      <w:pPr>
        <w:pStyle w:val="TOC1"/>
      </w:pPr>
      <w:r>
        <w:t>Design Area 8: Platform Automation &amp; DevOps</w:t>
      </w:r>
      <w:r>
        <w:tab/>
      </w:r>
      <w:r>
        <w:t>16</w:t>
      </w:r>
    </w:p>
    <w:p>
      <w:pPr>
        <w:pStyle w:val="TOC1"/>
      </w:pPr>
      <w:r>
        <w:t>CIS Controls v8.1 Mapping to Azure Landing Zones</w:t>
      </w:r>
      <w:r>
        <w:tab/>
      </w:r>
      <w:r>
        <w:t>17</w:t>
      </w:r>
    </w:p>
    <w:p>
      <w:pPr>
        <w:pStyle w:val="TOC1"/>
      </w:pPr>
      <w:r>
        <w:t>Implementation Roadmap</w:t>
      </w:r>
      <w:r>
        <w:tab/>
      </w:r>
      <w:r>
        <w:t>21</w:t>
      </w:r>
    </w:p>
    <w:p>
      <w:r>
        <w:fldChar w:fldCharType="end"/>
      </w:r>
    </w:p>
    <w:p>
      <w:pPr>
        <w:sectPr>
          <w:type w:val="nextPage"/>
          <w:pgSz w:w="11906" w:h="16838"/>
          <w:pgMar w:top="1800" w:right="1440" w:bottom="1440" w:left="1440" w:header="720" w:footer="720"/>
        </w:sectPr>
      </w:pPr>
    </w:p>
    <w:p>
      <w:pPr>
        <w:pStyle w:val="Heading1"/>
      </w:pPr>
      <w:r>
        <w:t>Executive Summary</w:t>
      </w:r>
      <w:bookmarkStart w:name="_Toc001" w:id="2"/>
      <w:bookmarkEnd w:id="2"/>
    </w:p>
    <w:p>
      <w:r>
        <w:t>This document provides a comprehensive design template for implementing Azure Landing Zones based on Microsoft's Cloud Adoption Framework (CAF) and Enterprise-Scale architecture. An Azure Landing Zone represents the standardized, recommended approach for setting up and managing Azure environments at scale, ensuring consistency across organizations through aligned requirements for security, compliance, and operational efficiency.</w:t>
      </w:r>
    </w:p>
    <w:p>
      <w:r>
        <w:t>The template covers all eight design areas defined in the Cloud Adoption Framework, providing detailed best practices, implementation guidance, and architectural decisions for each area. Additionally, this document maps Center for Internet Security (CIS) Controls v8.1 safeguards to Azure-native services and Landing Zone components, enabling organizations to build security-compliant cloud foundations from day one.</w:t>
      </w:r>
    </w:p>
    <w:p>
      <w:r>
        <w:t>Key outcomes of implementing this Landing Zone design include:</w:t>
      </w:r>
    </w:p>
    <w:p>
      <w:pPr>
        <w:numPr>
          <w:ilvl w:val="0"/>
          <w:numId w:val="1"/>
        </w:numPr>
      </w:pPr>
      <w:r>
        <w:t>Standardized Azure environment with consistent governance, security, and compliance controls</w:t>
      </w:r>
    </w:p>
    <w:p>
      <w:pPr>
        <w:numPr>
          <w:ilvl w:val="0"/>
          <w:numId w:val="1"/>
        </w:numPr>
      </w:pPr>
      <w:r>
        <w:t>Separation of platform (shared services) and application (workload) landing zones</w:t>
      </w:r>
    </w:p>
    <w:p>
      <w:pPr>
        <w:numPr>
          <w:ilvl w:val="0"/>
          <w:numId w:val="1"/>
        </w:numPr>
      </w:pPr>
      <w:r>
        <w:t>Comprehensive CIS Controls v8.1 coverage through Azure Policy, Microsoft Defender for Cloud, and Microsoft Sentinel</w:t>
      </w:r>
    </w:p>
    <w:p>
      <w:pPr>
        <w:numPr>
          <w:ilvl w:val="0"/>
          <w:numId w:val="1"/>
        </w:numPr>
      </w:pPr>
      <w:r>
        <w:t>Automated deployment through Infrastructure as Code (Bicep/Terraform) with Azure Verified Modules</w:t>
      </w:r>
    </w:p>
    <w:p>
      <w:pPr>
        <w:numPr>
          <w:ilvl w:val="0"/>
          <w:numId w:val="1"/>
        </w:numPr>
      </w:pPr>
      <w:r>
        <w:t>Scalable management group hierarchy enabling policy inheritance and RBAC at scale</w:t>
      </w:r>
    </w:p>
    <w:p>
      <w:pPr>
        <w:pStyle w:val="Heading1"/>
      </w:pPr>
      <w:r>
        <w:t>Introduction to Azure Landing Zones</w:t>
      </w:r>
      <w:bookmarkStart w:name="_Toc002" w:id="3"/>
      <w:bookmarkEnd w:id="3"/>
    </w:p>
    <w:p>
      <w:r>
        <w:t>An Azure landing zone is the standardized and recommended approach for all organizations utilizing Azure. It provides a consistent way to set up and manage your Azure environment at scale, ensuring consistency across your organization by aligning with key requirements for security, compliance, and operational efficiency through platform and application landing zones.</w:t>
      </w:r>
    </w:p>
    <w:p>
      <w:pPr>
        <w:pStyle w:val="Heading2"/>
      </w:pPr>
      <w:r>
        <w:t>Platform vs Application Landing Zones</w:t>
      </w:r>
    </w:p>
    <w:p>
      <w:r>
        <w:t>An Azure landing zone model typically consists of platform subscriptions and workload landing zone subscriptions aligned under defined management groups:</w:t>
      </w:r>
    </w:p>
    <w:p>
      <w:pPr>
        <w:pStyle w:val="Heading3"/>
      </w:pPr>
      <w:r>
        <w:t>Platform Landing Zones</w:t>
      </w:r>
    </w:p>
    <w:p>
      <w:r>
        <w:t>Platform capabilities such as identity, connectivity, and management are implemented using dedicated platform subscriptions. These subscriptions are placed under the appropriate management group hierarchy to provide shared services across the environment. Large enterprises often use multiple platform subscriptions, especially for connectivity or regional design requirements. Platform landing zones host:</w:t>
      </w:r>
    </w:p>
    <w:p>
      <w:pPr>
        <w:numPr>
          <w:ilvl w:val="0"/>
          <w:numId w:val="1"/>
        </w:numPr>
      </w:pPr>
      <w:r>
        <w:t>Identity services: Microsoft Entra ID, Domain Services, and authentication infrastructure</w:t>
      </w:r>
    </w:p>
    <w:p>
      <w:pPr>
        <w:numPr>
          <w:ilvl w:val="0"/>
          <w:numId w:val="1"/>
        </w:numPr>
      </w:pPr>
      <w:r>
        <w:t>Connectivity: ExpressRoute gateways, VPN gateways, Azure Firewall, and DNS</w:t>
      </w:r>
    </w:p>
    <w:p>
      <w:pPr>
        <w:numPr>
          <w:ilvl w:val="0"/>
          <w:numId w:val="1"/>
        </w:numPr>
      </w:pPr>
      <w:r>
        <w:t>Management: Log Analytics workspaces, monitoring infrastructure, and automation accounts</w:t>
      </w:r>
    </w:p>
    <w:p>
      <w:pPr>
        <w:numPr>
          <w:ilvl w:val="0"/>
          <w:numId w:val="1"/>
        </w:numPr>
      </w:pPr>
      <w:r>
        <w:t>Security: Microsoft Sentinel, Key Vault, and security monitoring tools</w:t>
      </w:r>
    </w:p>
    <w:p>
      <w:pPr>
        <w:pStyle w:val="Heading3"/>
      </w:pPr>
      <w:r>
        <w:t>Application Landing Zones</w:t>
      </w:r>
    </w:p>
    <w:p>
      <w:r>
        <w:t>Workload landing zone subscriptions are designed to host individual applications or workloads. These subscriptions are typically placed under the "Landing Zones" management group and may be separated by environment, such as development, testing, and production. Each workload commonly uses one or more subscriptions to support scaling and isolation.</w:t>
      </w:r>
    </w:p>
    <w:p>
      <w:pPr>
        <w:pStyle w:val="Heading2"/>
      </w:pPr>
      <w:r>
        <w:t>The Eight Design Areas</w:t>
      </w:r>
    </w:p>
    <w:p>
      <w:r>
        <w:t>A strong Azure landing zone depends on eight key design areas defined in the Cloud Adoption Framework. Together, these areas create a stable foundation that supports security, scale, and long-term operations as cloud usage grows:</w:t>
      </w:r>
    </w:p>
    <w:tbl>
      <w:tblPr>
        <w:tblW w:w="5000" w:type="pct"/>
        <w:tblBorders>
          <w:top w:val="single" w:color="5F2861" w:sz="12"/>
          <w:bottom w:val="single" w:color="5F2861" w:sz="12"/>
          <w:insideH w:val="single" w:color="D9D9D9" w:sz="4"/>
        </w:tblBorders>
      </w:tblPr>
      <w:tblGrid>
        <w:gridCol w:w="2200"/>
        <w:gridCol w:w="4500"/>
        <w:gridCol w:w="3300"/>
      </w:tblGrid>
      <w:tr>
        <w:trPr>
          <w:tblHeader/>
        </w:trPr>
        <w:tc>
          <w:tcPr>
            <w:tcW w:w="2200" w:type="dxa"/>
            <w:shd w:val="clear" w:fill="F2EEF2"/>
          </w:tcPr>
          <w:p>
            <w:pPr>
              <w:spacing w:before="40" w:after="40"/>
              <w:jc w:val="left"/>
            </w:pPr>
            <w:r>
              <w:rPr>
                <w:b/>
                <w:color w:val="1a202c"/>
                <w:sz w:val="20"/>
              </w:rPr>
              <w:t>Category</w:t>
            </w:r>
          </w:p>
        </w:tc>
        <w:tc>
          <w:tcPr>
            <w:tcW w:w="4500" w:type="dxa"/>
            <w:shd w:val="clear" w:fill="F2EEF2"/>
          </w:tcPr>
          <w:p>
            <w:pPr>
              <w:spacing w:before="40" w:after="40"/>
              <w:jc w:val="left"/>
            </w:pPr>
            <w:r>
              <w:rPr>
                <w:b/>
                <w:color w:val="1a202c"/>
                <w:sz w:val="20"/>
              </w:rPr>
              <w:t>Design Area</w:t>
            </w:r>
          </w:p>
        </w:tc>
        <w:tc>
          <w:tcPr>
            <w:tcW w:w="3300" w:type="dxa"/>
            <w:shd w:val="clear" w:fill="F2EEF2"/>
          </w:tcPr>
          <w:p>
            <w:pPr>
              <w:spacing w:before="40" w:after="40"/>
              <w:jc w:val="left"/>
            </w:pPr>
            <w:r>
              <w:rPr>
                <w:b/>
                <w:color w:val="1a202c"/>
                <w:sz w:val="20"/>
              </w:rPr>
              <w:t>Key Components</w:t>
            </w:r>
          </w:p>
        </w:tc>
      </w:tr>
      <w:tr>
        <w:tc>
          <w:tcPr>
            <w:tcW w:w="2200" w:type="dxa"/>
          </w:tcPr>
          <w:p>
            <w:pPr>
              <w:spacing w:before="40" w:after="40"/>
              <w:jc w:val="left"/>
            </w:pPr>
            <w:r>
              <w:rPr>
                <w:color w:val="404040"/>
                <w:sz w:val="20"/>
              </w:rPr>
              <w:t>Environment</w:t>
            </w:r>
          </w:p>
        </w:tc>
        <w:tc>
          <w:tcPr>
            <w:tcW w:w="4500" w:type="dxa"/>
          </w:tcPr>
          <w:p>
            <w:pPr>
              <w:spacing w:before="40" w:after="40"/>
              <w:jc w:val="left"/>
            </w:pPr>
            <w:r>
              <w:rPr>
                <w:color w:val="404040"/>
                <w:sz w:val="20"/>
              </w:rPr>
              <w:t>Azure Billing &amp; Entra Tenant</w:t>
            </w:r>
          </w:p>
        </w:tc>
        <w:tc>
          <w:tcPr>
            <w:tcW w:w="3300" w:type="dxa"/>
          </w:tcPr>
          <w:p>
            <w:pPr>
              <w:spacing w:before="40" w:after="40"/>
              <w:jc w:val="left"/>
            </w:pPr>
            <w:r>
              <w:rPr>
                <w:color w:val="404040"/>
                <w:sz w:val="20"/>
              </w:rPr>
              <w:t>EA/MCA enrollment; billing scopes; tenant provisioning</w:t>
            </w:r>
          </w:p>
        </w:tc>
      </w:tr>
      <w:tr>
        <w:tc>
          <w:tcPr>
            <w:tcW w:w="2200" w:type="dxa"/>
          </w:tcPr>
          <w:p>
            <w:pPr>
              <w:spacing w:before="40" w:after="40"/>
              <w:jc w:val="left"/>
            </w:pPr>
            <w:r>
              <w:rPr>
                <w:color w:val="404040"/>
                <w:sz w:val="20"/>
              </w:rPr>
              <w:t>Environment</w:t>
            </w:r>
          </w:p>
        </w:tc>
        <w:tc>
          <w:tcPr>
            <w:tcW w:w="4500" w:type="dxa"/>
          </w:tcPr>
          <w:p>
            <w:pPr>
              <w:spacing w:before="40" w:after="40"/>
              <w:jc w:val="left"/>
            </w:pPr>
            <w:r>
              <w:rPr>
                <w:color w:val="404040"/>
                <w:sz w:val="20"/>
              </w:rPr>
              <w:t>Identity &amp; Access Management</w:t>
            </w:r>
          </w:p>
        </w:tc>
        <w:tc>
          <w:tcPr>
            <w:tcW w:w="3300" w:type="dxa"/>
          </w:tcPr>
          <w:p>
            <w:pPr>
              <w:spacing w:before="40" w:after="40"/>
              <w:jc w:val="left"/>
            </w:pPr>
            <w:r>
              <w:rPr>
                <w:color w:val="404040"/>
                <w:sz w:val="20"/>
              </w:rPr>
              <w:t>Entra ID; PIM; MFA; RBAC; conditional access</w:t>
            </w:r>
          </w:p>
        </w:tc>
      </w:tr>
      <w:tr>
        <w:tc>
          <w:tcPr>
            <w:tcW w:w="2200" w:type="dxa"/>
          </w:tcPr>
          <w:p>
            <w:pPr>
              <w:spacing w:before="40" w:after="40"/>
              <w:jc w:val="left"/>
            </w:pPr>
            <w:r>
              <w:rPr>
                <w:color w:val="404040"/>
                <w:sz w:val="20"/>
              </w:rPr>
              <w:t>Environment</w:t>
            </w:r>
          </w:p>
        </w:tc>
        <w:tc>
          <w:tcPr>
            <w:tcW w:w="4500" w:type="dxa"/>
          </w:tcPr>
          <w:p>
            <w:pPr>
              <w:spacing w:before="40" w:after="40"/>
              <w:jc w:val="left"/>
            </w:pPr>
            <w:r>
              <w:rPr>
                <w:color w:val="404040"/>
                <w:sz w:val="20"/>
              </w:rPr>
              <w:t>Resource Organization</w:t>
            </w:r>
          </w:p>
        </w:tc>
        <w:tc>
          <w:tcPr>
            <w:tcW w:w="3300" w:type="dxa"/>
          </w:tcPr>
          <w:p>
            <w:pPr>
              <w:spacing w:before="40" w:after="40"/>
              <w:jc w:val="left"/>
            </w:pPr>
            <w:r>
              <w:rPr>
                <w:color w:val="404040"/>
                <w:sz w:val="20"/>
              </w:rPr>
              <w:t>Management groups; subscription vending; tagging</w:t>
            </w:r>
          </w:p>
        </w:tc>
      </w:tr>
      <w:tr>
        <w:tc>
          <w:tcPr>
            <w:tcW w:w="2200" w:type="dxa"/>
          </w:tcPr>
          <w:p>
            <w:pPr>
              <w:spacing w:before="40" w:after="40"/>
              <w:jc w:val="left"/>
            </w:pPr>
            <w:r>
              <w:rPr>
                <w:color w:val="404040"/>
                <w:sz w:val="20"/>
              </w:rPr>
              <w:t>Environment</w:t>
            </w:r>
          </w:p>
        </w:tc>
        <w:tc>
          <w:tcPr>
            <w:tcW w:w="4500" w:type="dxa"/>
          </w:tcPr>
          <w:p>
            <w:pPr>
              <w:spacing w:before="40" w:after="40"/>
              <w:jc w:val="left"/>
            </w:pPr>
            <w:r>
              <w:rPr>
                <w:color w:val="404040"/>
                <w:sz w:val="20"/>
              </w:rPr>
              <w:t>Network Topology &amp; Connectivity</w:t>
            </w:r>
          </w:p>
        </w:tc>
        <w:tc>
          <w:tcPr>
            <w:tcW w:w="3300" w:type="dxa"/>
          </w:tcPr>
          <w:p>
            <w:pPr>
              <w:spacing w:before="40" w:after="40"/>
              <w:jc w:val="left"/>
            </w:pPr>
            <w:r>
              <w:rPr>
                <w:color w:val="404040"/>
                <w:sz w:val="20"/>
              </w:rPr>
              <w:t>Hub/spoke or vWAN; Firewall; Private DNS; ExpressRoute</w:t>
            </w:r>
          </w:p>
        </w:tc>
      </w:tr>
      <w:tr>
        <w:tc>
          <w:tcPr>
            <w:tcW w:w="2200" w:type="dxa"/>
          </w:tcPr>
          <w:p>
            <w:pPr>
              <w:spacing w:before="40" w:after="40"/>
              <w:jc w:val="left"/>
            </w:pPr>
            <w:r>
              <w:rPr>
                <w:color w:val="404040"/>
                <w:sz w:val="20"/>
              </w:rPr>
              <w:t>Compliance</w:t>
            </w:r>
          </w:p>
        </w:tc>
        <w:tc>
          <w:tcPr>
            <w:tcW w:w="4500" w:type="dxa"/>
          </w:tcPr>
          <w:p>
            <w:pPr>
              <w:spacing w:before="40" w:after="40"/>
              <w:jc w:val="left"/>
            </w:pPr>
            <w:r>
              <w:rPr>
                <w:color w:val="404040"/>
                <w:sz w:val="20"/>
              </w:rPr>
              <w:t>Security</w:t>
            </w:r>
          </w:p>
        </w:tc>
        <w:tc>
          <w:tcPr>
            <w:tcW w:w="3300" w:type="dxa"/>
          </w:tcPr>
          <w:p>
            <w:pPr>
              <w:spacing w:before="40" w:after="40"/>
              <w:jc w:val="left"/>
            </w:pPr>
            <w:r>
              <w:rPr>
                <w:color w:val="404040"/>
                <w:sz w:val="20"/>
              </w:rPr>
              <w:t>Defender for Cloud; Sentinel; Key Vault; encryption</w:t>
            </w:r>
          </w:p>
        </w:tc>
      </w:tr>
      <w:tr>
        <w:tc>
          <w:tcPr>
            <w:tcW w:w="2200" w:type="dxa"/>
          </w:tcPr>
          <w:p>
            <w:pPr>
              <w:spacing w:before="40" w:after="40"/>
              <w:jc w:val="left"/>
            </w:pPr>
            <w:r>
              <w:rPr>
                <w:color w:val="404040"/>
                <w:sz w:val="20"/>
              </w:rPr>
              <w:t>Compliance</w:t>
            </w:r>
          </w:p>
        </w:tc>
        <w:tc>
          <w:tcPr>
            <w:tcW w:w="4500" w:type="dxa"/>
          </w:tcPr>
          <w:p>
            <w:pPr>
              <w:spacing w:before="40" w:after="40"/>
              <w:jc w:val="left"/>
            </w:pPr>
            <w:r>
              <w:rPr>
                <w:color w:val="404040"/>
                <w:sz w:val="20"/>
              </w:rPr>
              <w:t>Management</w:t>
            </w:r>
          </w:p>
        </w:tc>
        <w:tc>
          <w:tcPr>
            <w:tcW w:w="3300" w:type="dxa"/>
          </w:tcPr>
          <w:p>
            <w:pPr>
              <w:spacing w:before="40" w:after="40"/>
              <w:jc w:val="left"/>
            </w:pPr>
            <w:r>
              <w:rPr>
                <w:color w:val="404040"/>
                <w:sz w:val="20"/>
              </w:rPr>
              <w:t>Monitor; Log Analytics; Backup; Update Manager</w:t>
            </w:r>
          </w:p>
        </w:tc>
      </w:tr>
      <w:tr>
        <w:tc>
          <w:tcPr>
            <w:tcW w:w="2200" w:type="dxa"/>
          </w:tcPr>
          <w:p>
            <w:pPr>
              <w:spacing w:before="40" w:after="40"/>
              <w:jc w:val="left"/>
            </w:pPr>
            <w:r>
              <w:rPr>
                <w:color w:val="404040"/>
                <w:sz w:val="20"/>
              </w:rPr>
              <w:t>Compliance</w:t>
            </w:r>
          </w:p>
        </w:tc>
        <w:tc>
          <w:tcPr>
            <w:tcW w:w="4500" w:type="dxa"/>
          </w:tcPr>
          <w:p>
            <w:pPr>
              <w:spacing w:before="40" w:after="40"/>
              <w:jc w:val="left"/>
            </w:pPr>
            <w:r>
              <w:rPr>
                <w:color w:val="404040"/>
                <w:sz w:val="20"/>
              </w:rPr>
              <w:t>Governance</w:t>
            </w:r>
          </w:p>
        </w:tc>
        <w:tc>
          <w:tcPr>
            <w:tcW w:w="3300" w:type="dxa"/>
          </w:tcPr>
          <w:p>
            <w:pPr>
              <w:spacing w:before="40" w:after="40"/>
              <w:jc w:val="left"/>
            </w:pPr>
            <w:r>
              <w:rPr>
                <w:color w:val="404040"/>
                <w:sz w:val="20"/>
              </w:rPr>
              <w:t>Azure Policy; compliance initiatives; Cost Management</w:t>
            </w:r>
          </w:p>
        </w:tc>
      </w:tr>
      <w:tr>
        <w:tc>
          <w:tcPr>
            <w:tcW w:w="2200" w:type="dxa"/>
          </w:tcPr>
          <w:p>
            <w:pPr>
              <w:spacing w:before="40" w:after="40"/>
              <w:jc w:val="left"/>
            </w:pPr>
            <w:r>
              <w:rPr>
                <w:color w:val="404040"/>
                <w:sz w:val="20"/>
              </w:rPr>
              <w:t>Compliance</w:t>
            </w:r>
          </w:p>
        </w:tc>
        <w:tc>
          <w:tcPr>
            <w:tcW w:w="4500" w:type="dxa"/>
          </w:tcPr>
          <w:p>
            <w:pPr>
              <w:spacing w:before="40" w:after="40"/>
              <w:jc w:val="left"/>
            </w:pPr>
            <w:r>
              <w:rPr>
                <w:color w:val="404040"/>
                <w:sz w:val="20"/>
              </w:rPr>
              <w:t>Platform Automation &amp; DevOps</w:t>
            </w:r>
          </w:p>
        </w:tc>
        <w:tc>
          <w:tcPr>
            <w:tcW w:w="3300" w:type="dxa"/>
          </w:tcPr>
          <w:p>
            <w:pPr>
              <w:spacing w:before="40" w:after="40"/>
              <w:jc w:val="left"/>
            </w:pPr>
            <w:r>
              <w:rPr>
                <w:color w:val="404040"/>
                <w:sz w:val="20"/>
              </w:rPr>
              <w:t>IaC; AVM; CI/CD; canary testing</w:t>
            </w:r>
          </w:p>
        </w:tc>
      </w:tr>
    </w:tbl>
    <w:p>
      <w:r>
        <w:t>The reference architecture illustrates the relationships between these design areas and provides an opinionated target architecture for your Azure landing zone. You should use this reference architecture as a starting point and tailor it to meet your organization's specific requirements.</w:t>
      </w:r>
    </w:p>
    <w:p>
      <w:pPr>
        <w:pageBreakBefore/>
      </w:pPr>
    </w:p>
    <w:p>
      <w:pPr>
        <w:pStyle w:val="Heading1"/>
      </w:pPr>
      <w:r>
        <w:t>Design Area 1: Azure Billing &amp; Microsoft Entra Tenant</w:t>
      </w:r>
      <w:bookmarkStart w:name="_Toc003" w:id="4"/>
      <w:bookmarkEnd w:id="4"/>
    </w:p>
    <w:p>
      <w:r>
        <w:t>This design area establishes the correct tenant creation, enrollment model, and billing alignment for your Azure environment. It forms the foundational layer upon which all other design decisions are made.</w:t>
      </w:r>
    </w:p>
    <w:p>
      <w:pPr>
        <w:pStyle w:val="Heading2"/>
      </w:pPr>
      <w:r>
        <w:t>Best Practices</w:t>
      </w:r>
    </w:p>
    <w:p>
      <w:pPr>
        <w:numPr>
          <w:ilvl w:val="0"/>
          <w:numId w:val="1"/>
        </w:numPr>
      </w:pPr>
      <w:r>
        <w:t>Use a single authoritative Microsoft Entra tenant for production workloads to avoid identity fragmentation</w:t>
      </w:r>
    </w:p>
    <w:p>
      <w:pPr>
        <w:numPr>
          <w:ilvl w:val="0"/>
          <w:numId w:val="1"/>
        </w:numPr>
      </w:pPr>
      <w:r>
        <w:t>Select the appropriate Azure enrollment model: Enterprise Agreement (EA), Cloud Solution Provider (CSP), or Microsoft Customer Agreement (MCA)</w:t>
      </w:r>
    </w:p>
    <w:p>
      <w:pPr>
        <w:numPr>
          <w:ilvl w:val="0"/>
          <w:numId w:val="1"/>
        </w:numPr>
      </w:pPr>
      <w:r>
        <w:t>Establish billing scopes and cost boundaries early to enable proper chargeback/showback mechanisms</w:t>
      </w:r>
    </w:p>
    <w:p>
      <w:pPr>
        <w:numPr>
          <w:ilvl w:val="0"/>
          <w:numId w:val="1"/>
        </w:numPr>
      </w:pPr>
      <w:r>
        <w:t>Document billing ownership and incident contacts for each subscription</w:t>
      </w:r>
    </w:p>
    <w:p>
      <w:pPr>
        <w:numPr>
          <w:ilvl w:val="0"/>
          <w:numId w:val="1"/>
        </w:numPr>
      </w:pPr>
      <w:r>
        <w:t>Avoid mixing personal/Microsoft accounts (MSAs) with organizational accounts</w:t>
      </w:r>
    </w:p>
    <w:p>
      <w:pPr>
        <w:pStyle w:val="Heading2"/>
      </w:pPr>
      <w:r>
        <w:t>Implementation Guidance</w:t>
      </w:r>
    </w:p>
    <w:p>
      <w:r>
        <w:t>The billing and tenant design should align with your organization's procurement structure. For enterprises with existing Microsoft agreements, the EA or MCA enrollment provides the most flexibility. Define billing scopes at the management group level to aggregate costs by business unit, environment, or application portfolio.</w:t>
      </w:r>
    </w:p>
    <w:p>
      <w:pPr>
        <w:pStyle w:val="Heading2"/>
      </w:pPr>
      <w:r>
        <w:t>CIS Controls Alignment</w:t>
      </w:r>
    </w:p>
    <w:tbl>
      <w:tblPr>
        <w:tblW w:w="5000" w:type="pct"/>
        <w:tblBorders>
          <w:top w:val="single" w:color="5F2861" w:sz="12"/>
          <w:bottom w:val="single" w:color="5F2861" w:sz="12"/>
          <w:insideH w:val="single" w:color="D9D9D9" w:sz="4"/>
        </w:tblBorders>
      </w:tblPr>
      <w:tblGrid>
        <w:gridCol w:w="1400"/>
        <w:gridCol w:w="3600"/>
        <w:gridCol w:w="5000"/>
      </w:tblGrid>
      <w:tr>
        <w:trPr>
          <w:tblHeader/>
        </w:trPr>
        <w:tc>
          <w:tcPr>
            <w:tcW w:w="1400" w:type="dxa"/>
            <w:shd w:val="clear" w:fill="F2EEF2"/>
          </w:tcPr>
          <w:p>
            <w:pPr>
              <w:spacing w:before="40" w:after="40"/>
              <w:jc w:val="left"/>
            </w:pPr>
            <w:r>
              <w:rPr>
                <w:b/>
                <w:color w:val="1a202c"/>
                <w:sz w:val="20"/>
              </w:rPr>
              <w:t>CIS Control</w:t>
            </w:r>
          </w:p>
        </w:tc>
        <w:tc>
          <w:tcPr>
            <w:tcW w:w="3600" w:type="dxa"/>
            <w:shd w:val="clear" w:fill="F2EEF2"/>
          </w:tcPr>
          <w:p>
            <w:pPr>
              <w:spacing w:before="40" w:after="40"/>
              <w:jc w:val="left"/>
            </w:pPr>
            <w:r>
              <w:rPr>
                <w:b/>
                <w:color w:val="1a202c"/>
                <w:sz w:val="20"/>
              </w:rPr>
              <w:t>Control Name</w:t>
            </w:r>
          </w:p>
        </w:tc>
        <w:tc>
          <w:tcPr>
            <w:tcW w:w="5000" w:type="dxa"/>
            <w:shd w:val="clear" w:fill="F2EEF2"/>
          </w:tcPr>
          <w:p>
            <w:pPr>
              <w:spacing w:before="40" w:after="40"/>
              <w:jc w:val="left"/>
            </w:pPr>
            <w:r>
              <w:rPr>
                <w:b/>
                <w:color w:val="1a202c"/>
                <w:sz w:val="20"/>
              </w:rPr>
              <w:t>Azure Implementation</w:t>
            </w:r>
          </w:p>
        </w:tc>
      </w:tr>
      <w:tr>
        <w:tc>
          <w:tcPr>
            <w:tcW w:w="1400" w:type="dxa"/>
          </w:tcPr>
          <w:p>
            <w:pPr>
              <w:spacing w:before="40" w:after="40"/>
              <w:jc w:val="left"/>
            </w:pPr>
            <w:r>
              <w:rPr>
                <w:color w:val="404040"/>
                <w:sz w:val="20"/>
              </w:rPr>
              <w:t>CIS 6.7</w:t>
            </w:r>
          </w:p>
        </w:tc>
        <w:tc>
          <w:tcPr>
            <w:tcW w:w="3600" w:type="dxa"/>
          </w:tcPr>
          <w:p>
            <w:pPr>
              <w:spacing w:before="40" w:after="40"/>
              <w:jc w:val="left"/>
            </w:pPr>
            <w:r>
              <w:rPr>
                <w:color w:val="404040"/>
                <w:sz w:val="20"/>
              </w:rPr>
              <w:t>Centralize identity and authentication while ensuring isolation</w:t>
            </w:r>
          </w:p>
        </w:tc>
        <w:tc>
          <w:tcPr>
            <w:tcW w:w="5000" w:type="dxa"/>
          </w:tcPr>
          <w:p>
            <w:pPr>
              <w:spacing w:before="40" w:after="40"/>
              <w:jc w:val="left"/>
            </w:pPr>
            <w:r>
              <w:rPr>
                <w:color w:val="404040"/>
                <w:sz w:val="20"/>
              </w:rPr>
              <w:t>Single authoritative Entra tenant with conditional access policies</w:t>
            </w:r>
          </w:p>
        </w:tc>
      </w:tr>
      <w:tr>
        <w:tc>
          <w:tcPr>
            <w:tcW w:w="1400" w:type="dxa"/>
          </w:tcPr>
          <w:p>
            <w:pPr>
              <w:spacing w:before="40" w:after="40"/>
              <w:jc w:val="left"/>
            </w:pPr>
            <w:r>
              <w:rPr>
                <w:color w:val="404040"/>
                <w:sz w:val="20"/>
              </w:rPr>
              <w:t>CIS 16.1</w:t>
            </w:r>
          </w:p>
        </w:tc>
        <w:tc>
          <w:tcPr>
            <w:tcW w:w="3600" w:type="dxa"/>
          </w:tcPr>
          <w:p>
            <w:pPr>
              <w:spacing w:before="40" w:after="40"/>
              <w:jc w:val="left"/>
            </w:pPr>
            <w:r>
              <w:rPr>
                <w:color w:val="404040"/>
                <w:sz w:val="20"/>
              </w:rPr>
              <w:t>Establish and maintain an inventory of assets</w:t>
            </w:r>
          </w:p>
        </w:tc>
        <w:tc>
          <w:tcPr>
            <w:tcW w:w="5000" w:type="dxa"/>
          </w:tcPr>
          <w:p>
            <w:pPr>
              <w:spacing w:before="40" w:after="40"/>
              <w:jc w:val="left"/>
            </w:pPr>
            <w:r>
              <w:rPr>
                <w:color w:val="404040"/>
                <w:sz w:val="20"/>
              </w:rPr>
              <w:t>Azure Billing enrollment tracking all subscriptions</w:t>
            </w:r>
          </w:p>
        </w:tc>
      </w:tr>
    </w:tbl>
    <w:p>
      <w:pPr>
        <w:pageBreakBefore/>
      </w:pPr>
    </w:p>
    <w:p>
      <w:pPr>
        <w:pStyle w:val="Heading1"/>
      </w:pPr>
      <w:r>
        <w:t>Design Area 2: Identity &amp; Access Management</w:t>
      </w:r>
      <w:bookmarkStart w:name="_Toc004" w:id="5"/>
      <w:bookmarkEnd w:id="5"/>
    </w:p>
    <w:p>
      <w:r>
        <w:t>Identity acts as the primary control plane security boundary in Azure environments. However, it operates alongside subscription boundaries, tenant isolation, and network segmentation, which together provide layered protection across control and data planes. Because most cloud risks now focus on identity misuse, this area requires early and thorough attention.</w:t>
      </w:r>
    </w:p>
    <w:p>
      <w:pPr>
        <w:pStyle w:val="Heading2"/>
      </w:pPr>
      <w:r>
        <w:t>Best Practices</w:t>
      </w:r>
    </w:p>
    <w:p>
      <w:pPr>
        <w:numPr>
          <w:ilvl w:val="0"/>
          <w:numId w:val="1"/>
        </w:numPr>
      </w:pPr>
      <w:r>
        <w:t>Enforce Microsoft Entra multifactor authentication (MFA) for all users who access Azure resources</w:t>
      </w:r>
    </w:p>
    <w:p>
      <w:pPr>
        <w:numPr>
          <w:ilvl w:val="0"/>
          <w:numId w:val="1"/>
        </w:numPr>
      </w:pPr>
      <w:r>
        <w:t>Apply phishing-resistant authentication methods such as FIDO2 security keys or Windows Hello for Business</w:t>
      </w:r>
    </w:p>
    <w:p>
      <w:pPr>
        <w:numPr>
          <w:ilvl w:val="0"/>
          <w:numId w:val="1"/>
        </w:numPr>
      </w:pPr>
      <w:r>
        <w:t>Clearly separate administrative access from daily user access through distinct accounts</w:t>
      </w:r>
    </w:p>
    <w:p>
      <w:pPr>
        <w:numPr>
          <w:ilvl w:val="0"/>
          <w:numId w:val="1"/>
        </w:numPr>
      </w:pPr>
      <w:r>
        <w:t>Use Microsoft Entra Privileged Identity Management (PIM) to apply just-in-time access</w:t>
      </w:r>
    </w:p>
    <w:p>
      <w:pPr>
        <w:numPr>
          <w:ilvl w:val="0"/>
          <w:numId w:val="1"/>
        </w:numPr>
      </w:pPr>
      <w:r>
        <w:t>Implement break-glass accounts with monitoring and alerting for emergency access</w:t>
      </w:r>
    </w:p>
    <w:p>
      <w:pPr>
        <w:numPr>
          <w:ilvl w:val="0"/>
          <w:numId w:val="1"/>
        </w:numPr>
      </w:pPr>
      <w:r>
        <w:t>Govern workload identities with lifecycle controls and periodic review</w:t>
      </w:r>
    </w:p>
    <w:p>
      <w:pPr>
        <w:numPr>
          <w:ilvl w:val="0"/>
          <w:numId w:val="1"/>
        </w:numPr>
      </w:pPr>
      <w:r>
        <w:t>Use group-based RBAC assignments rather than individual user grants in production</w:t>
      </w:r>
    </w:p>
    <w:p>
      <w:pPr>
        <w:pStyle w:val="Heading2"/>
      </w:pPr>
      <w:r>
        <w:t>Conditional Access Policies</w:t>
      </w:r>
    </w:p>
    <w:p>
      <w:r>
        <w:t>Implement baseline conditional access policies including:</w:t>
      </w:r>
    </w:p>
    <w:p>
      <w:pPr>
        <w:numPr>
          <w:ilvl w:val="0"/>
          <w:numId w:val="1"/>
        </w:numPr>
      </w:pPr>
      <w:r>
        <w:t>Require MFA for all users accessing Azure portal and management APIs</w:t>
      </w:r>
    </w:p>
    <w:p>
      <w:pPr>
        <w:numPr>
          <w:ilvl w:val="0"/>
          <w:numId w:val="1"/>
        </w:numPr>
      </w:pPr>
      <w:r>
        <w:t>Block legacy authentication protocols</w:t>
      </w:r>
    </w:p>
    <w:p>
      <w:pPr>
        <w:numPr>
          <w:ilvl w:val="0"/>
          <w:numId w:val="1"/>
        </w:numPr>
      </w:pPr>
      <w:r>
        <w:t>Require compliant or hybrid Azure AD joined devices for administrative access</w:t>
      </w:r>
    </w:p>
    <w:p>
      <w:pPr>
        <w:numPr>
          <w:ilvl w:val="0"/>
          <w:numId w:val="1"/>
        </w:numPr>
      </w:pPr>
      <w:r>
        <w:t>Implement risk-based policies using Identity Protection</w:t>
      </w:r>
    </w:p>
    <w:p>
      <w:pPr>
        <w:numPr>
          <w:ilvl w:val="0"/>
          <w:numId w:val="1"/>
        </w:numPr>
      </w:pPr>
      <w:r>
        <w:t>Restrict access by location and IP address ranges</w:t>
      </w:r>
    </w:p>
    <w:p>
      <w:pPr>
        <w:pStyle w:val="Heading2"/>
      </w:pPr>
      <w:r>
        <w:t>CIS Controls Alignment</w:t>
      </w:r>
    </w:p>
    <w:tbl>
      <w:tblPr>
        <w:tblW w:w="5000" w:type="pct"/>
        <w:tblBorders>
          <w:top w:val="single" w:color="5F2861" w:sz="12"/>
          <w:bottom w:val="single" w:color="5F2861" w:sz="12"/>
          <w:insideH w:val="single" w:color="D9D9D9" w:sz="4"/>
        </w:tblBorders>
      </w:tblPr>
      <w:tblGrid>
        <w:gridCol w:w="1400"/>
        <w:gridCol w:w="3600"/>
        <w:gridCol w:w="5000"/>
      </w:tblGrid>
      <w:tr>
        <w:trPr>
          <w:tblHeader/>
        </w:trPr>
        <w:tc>
          <w:tcPr>
            <w:tcW w:w="1400" w:type="dxa"/>
            <w:shd w:val="clear" w:fill="F2EEF2"/>
          </w:tcPr>
          <w:p>
            <w:pPr>
              <w:spacing w:before="40" w:after="40"/>
              <w:jc w:val="left"/>
            </w:pPr>
            <w:r>
              <w:rPr>
                <w:b/>
                <w:color w:val="1a202c"/>
                <w:sz w:val="20"/>
              </w:rPr>
              <w:t>CIS Control</w:t>
            </w:r>
          </w:p>
        </w:tc>
        <w:tc>
          <w:tcPr>
            <w:tcW w:w="3600" w:type="dxa"/>
            <w:shd w:val="clear" w:fill="F2EEF2"/>
          </w:tcPr>
          <w:p>
            <w:pPr>
              <w:spacing w:before="40" w:after="40"/>
              <w:jc w:val="left"/>
            </w:pPr>
            <w:r>
              <w:rPr>
                <w:b/>
                <w:color w:val="1a202c"/>
                <w:sz w:val="20"/>
              </w:rPr>
              <w:t>Control Name</w:t>
            </w:r>
          </w:p>
        </w:tc>
        <w:tc>
          <w:tcPr>
            <w:tcW w:w="5000" w:type="dxa"/>
            <w:shd w:val="clear" w:fill="F2EEF2"/>
          </w:tcPr>
          <w:p>
            <w:pPr>
              <w:spacing w:before="40" w:after="40"/>
              <w:jc w:val="left"/>
            </w:pPr>
            <w:r>
              <w:rPr>
                <w:b/>
                <w:color w:val="1a202c"/>
                <w:sz w:val="20"/>
              </w:rPr>
              <w:t>Azure Implementation</w:t>
            </w:r>
          </w:p>
        </w:tc>
      </w:tr>
      <w:tr>
        <w:tc>
          <w:tcPr>
            <w:tcW w:w="1400" w:type="dxa"/>
          </w:tcPr>
          <w:p>
            <w:pPr>
              <w:spacing w:before="40" w:after="40"/>
              <w:jc w:val="left"/>
            </w:pPr>
            <w:r>
              <w:rPr>
                <w:color w:val="404040"/>
                <w:sz w:val="20"/>
              </w:rPr>
              <w:t>CIS 5.4</w:t>
            </w:r>
          </w:p>
        </w:tc>
        <w:tc>
          <w:tcPr>
            <w:tcW w:w="3600" w:type="dxa"/>
          </w:tcPr>
          <w:p>
            <w:pPr>
              <w:spacing w:before="40" w:after="40"/>
              <w:jc w:val="left"/>
            </w:pPr>
            <w:r>
              <w:rPr>
                <w:color w:val="404040"/>
                <w:sz w:val="20"/>
              </w:rPr>
              <w:t>Restrict Administrator Privileges to Dedicated Accounts</w:t>
            </w:r>
          </w:p>
        </w:tc>
        <w:tc>
          <w:tcPr>
            <w:tcW w:w="5000" w:type="dxa"/>
          </w:tcPr>
          <w:p>
            <w:pPr>
              <w:spacing w:before="40" w:after="40"/>
              <w:jc w:val="left"/>
            </w:pPr>
            <w:r>
              <w:rPr>
                <w:color w:val="404040"/>
                <w:sz w:val="20"/>
              </w:rPr>
              <w:t>PIM for just-in-time admin access; separate admin accounts</w:t>
            </w:r>
          </w:p>
        </w:tc>
      </w:tr>
      <w:tr>
        <w:tc>
          <w:tcPr>
            <w:tcW w:w="1400" w:type="dxa"/>
          </w:tcPr>
          <w:p>
            <w:pPr>
              <w:spacing w:before="40" w:after="40"/>
              <w:jc w:val="left"/>
            </w:pPr>
            <w:r>
              <w:rPr>
                <w:color w:val="404040"/>
                <w:sz w:val="20"/>
              </w:rPr>
              <w:t>CIS 6.3</w:t>
            </w:r>
          </w:p>
        </w:tc>
        <w:tc>
          <w:tcPr>
            <w:tcW w:w="3600" w:type="dxa"/>
          </w:tcPr>
          <w:p>
            <w:pPr>
              <w:spacing w:before="40" w:after="40"/>
              <w:jc w:val="left"/>
            </w:pPr>
            <w:r>
              <w:rPr>
                <w:color w:val="404040"/>
                <w:sz w:val="20"/>
              </w:rPr>
              <w:t>Require MFA for Externally-Exposed Applications</w:t>
            </w:r>
          </w:p>
        </w:tc>
        <w:tc>
          <w:tcPr>
            <w:tcW w:w="5000" w:type="dxa"/>
          </w:tcPr>
          <w:p>
            <w:pPr>
              <w:spacing w:before="40" w:after="40"/>
              <w:jc w:val="left"/>
            </w:pPr>
            <w:r>
              <w:rPr>
                <w:color w:val="404040"/>
                <w:sz w:val="20"/>
              </w:rPr>
              <w:t>MFA enforcement via Conditional Access</w:t>
            </w:r>
          </w:p>
        </w:tc>
      </w:tr>
      <w:tr>
        <w:tc>
          <w:tcPr>
            <w:tcW w:w="1400" w:type="dxa"/>
          </w:tcPr>
          <w:p>
            <w:pPr>
              <w:spacing w:before="40" w:after="40"/>
              <w:jc w:val="left"/>
            </w:pPr>
            <w:r>
              <w:rPr>
                <w:color w:val="404040"/>
                <w:sz w:val="20"/>
              </w:rPr>
              <w:t>CIS 6.4</w:t>
            </w:r>
          </w:p>
        </w:tc>
        <w:tc>
          <w:tcPr>
            <w:tcW w:w="3600" w:type="dxa"/>
          </w:tcPr>
          <w:p>
            <w:pPr>
              <w:spacing w:before="40" w:after="40"/>
              <w:jc w:val="left"/>
            </w:pPr>
            <w:r>
              <w:rPr>
                <w:color w:val="404040"/>
                <w:sz w:val="20"/>
              </w:rPr>
              <w:t>Require MFA for All Services</w:t>
            </w:r>
          </w:p>
        </w:tc>
        <w:tc>
          <w:tcPr>
            <w:tcW w:w="5000" w:type="dxa"/>
          </w:tcPr>
          <w:p>
            <w:pPr>
              <w:spacing w:before="40" w:after="40"/>
              <w:jc w:val="left"/>
            </w:pPr>
            <w:r>
              <w:rPr>
                <w:color w:val="404040"/>
                <w:sz w:val="20"/>
              </w:rPr>
              <w:t>MFA for all users; phishing-resistant methods preferred</w:t>
            </w:r>
          </w:p>
        </w:tc>
      </w:tr>
      <w:tr>
        <w:tc>
          <w:tcPr>
            <w:tcW w:w="1400" w:type="dxa"/>
          </w:tcPr>
          <w:p>
            <w:pPr>
              <w:spacing w:before="40" w:after="40"/>
              <w:jc w:val="left"/>
            </w:pPr>
            <w:r>
              <w:rPr>
                <w:color w:val="404040"/>
                <w:sz w:val="20"/>
              </w:rPr>
              <w:t>CIS 6.5</w:t>
            </w:r>
          </w:p>
        </w:tc>
        <w:tc>
          <w:tcPr>
            <w:tcW w:w="3600" w:type="dxa"/>
          </w:tcPr>
          <w:p>
            <w:pPr>
              <w:spacing w:before="40" w:after="40"/>
              <w:jc w:val="left"/>
            </w:pPr>
            <w:r>
              <w:rPr>
                <w:color w:val="404040"/>
                <w:sz w:val="20"/>
              </w:rPr>
              <w:t>Require MFA for Administrative Access</w:t>
            </w:r>
          </w:p>
        </w:tc>
        <w:tc>
          <w:tcPr>
            <w:tcW w:w="5000" w:type="dxa"/>
          </w:tcPr>
          <w:p>
            <w:pPr>
              <w:spacing w:before="40" w:after="40"/>
              <w:jc w:val="left"/>
            </w:pPr>
            <w:r>
              <w:rPr>
                <w:color w:val="404040"/>
                <w:sz w:val="20"/>
              </w:rPr>
              <w:t>PIM activation requires MFA; break-glass monitoring</w:t>
            </w:r>
          </w:p>
        </w:tc>
      </w:tr>
      <w:tr>
        <w:tc>
          <w:tcPr>
            <w:tcW w:w="1400" w:type="dxa"/>
          </w:tcPr>
          <w:p>
            <w:pPr>
              <w:spacing w:before="40" w:after="40"/>
              <w:jc w:val="left"/>
            </w:pPr>
            <w:r>
              <w:rPr>
                <w:color w:val="404040"/>
                <w:sz w:val="20"/>
              </w:rPr>
              <w:t>CIS 6.7</w:t>
            </w:r>
          </w:p>
        </w:tc>
        <w:tc>
          <w:tcPr>
            <w:tcW w:w="3600" w:type="dxa"/>
          </w:tcPr>
          <w:p>
            <w:pPr>
              <w:spacing w:before="40" w:after="40"/>
              <w:jc w:val="left"/>
            </w:pPr>
            <w:r>
              <w:rPr>
                <w:color w:val="404040"/>
                <w:sz w:val="20"/>
              </w:rPr>
              <w:t>Centralize Identity and Access Management</w:t>
            </w:r>
          </w:p>
        </w:tc>
        <w:tc>
          <w:tcPr>
            <w:tcW w:w="5000" w:type="dxa"/>
          </w:tcPr>
          <w:p>
            <w:pPr>
              <w:spacing w:before="40" w:after="40"/>
              <w:jc w:val="left"/>
            </w:pPr>
            <w:r>
              <w:rPr>
                <w:color w:val="404040"/>
                <w:sz w:val="20"/>
              </w:rPr>
              <w:t>Microsoft Entra ID as centralized identity provider</w:t>
            </w:r>
          </w:p>
        </w:tc>
      </w:tr>
      <w:tr>
        <w:tc>
          <w:tcPr>
            <w:tcW w:w="1400" w:type="dxa"/>
          </w:tcPr>
          <w:p>
            <w:pPr>
              <w:spacing w:before="40" w:after="40"/>
              <w:jc w:val="left"/>
            </w:pPr>
            <w:r>
              <w:rPr>
                <w:color w:val="404040"/>
                <w:sz w:val="20"/>
              </w:rPr>
              <w:t>CIS 6.8</w:t>
            </w:r>
          </w:p>
        </w:tc>
        <w:tc>
          <w:tcPr>
            <w:tcW w:w="3600" w:type="dxa"/>
          </w:tcPr>
          <w:p>
            <w:pPr>
              <w:spacing w:before="40" w:after="40"/>
              <w:jc w:val="left"/>
            </w:pPr>
            <w:r>
              <w:rPr>
                <w:color w:val="404040"/>
                <w:sz w:val="20"/>
              </w:rPr>
              <w:t>Define and Maintain Role-Based Access Control</w:t>
            </w:r>
          </w:p>
        </w:tc>
        <w:tc>
          <w:tcPr>
            <w:tcW w:w="5000" w:type="dxa"/>
          </w:tcPr>
          <w:p>
            <w:pPr>
              <w:spacing w:before="40" w:after="40"/>
              <w:jc w:val="left"/>
            </w:pPr>
            <w:r>
              <w:rPr>
                <w:color w:val="404040"/>
                <w:sz w:val="20"/>
              </w:rPr>
              <w:t>RBAC at management group scope; least privilege principle</w:t>
            </w:r>
          </w:p>
        </w:tc>
      </w:tr>
    </w:tbl>
    <w:p>
      <w:pPr>
        <w:pageBreakBefore/>
      </w:pPr>
    </w:p>
    <w:p>
      <w:pPr>
        <w:pStyle w:val="Heading1"/>
      </w:pPr>
      <w:r>
        <w:t>Design Area 3: Resource Organization</w:t>
      </w:r>
      <w:bookmarkStart w:name="_Toc005" w:id="6"/>
      <w:bookmarkEnd w:id="6"/>
    </w:p>
    <w:p>
      <w:r>
        <w:t>Management groups provide a structured way to apply access controls, policies, and compliance rules across multiple subscriptions. A well-designed resource organization enables governance at scale and ensures consistent application of security and compliance controls.</w:t>
      </w:r>
    </w:p>
    <w:p>
      <w:pPr>
        <w:pStyle w:val="Heading2"/>
      </w:pPr>
      <w:r>
        <w:t>Management Group Hierarchy</w:t>
      </w:r>
    </w:p>
    <w:p>
      <w:r>
        <w:t>Keep the hierarchy limited to three or four levels for maintainability. Instead of copying the company org chart, design management groups around function:</w:t>
      </w:r>
    </w:p>
    <w:tbl>
      <w:tblPr>
        <w:tblW w:w="5000" w:type="pct"/>
        <w:tblBorders>
          <w:top w:val="single" w:color="5F2861" w:sz="12"/>
          <w:bottom w:val="single" w:color="5F2861" w:sz="12"/>
          <w:insideH w:val="single" w:color="D9D9D9" w:sz="4"/>
        </w:tblBorders>
      </w:tblPr>
      <w:tblGrid>
        <w:gridCol w:w="3500"/>
        <w:gridCol w:w="6500"/>
      </w:tblGrid>
      <w:tr>
        <w:trPr>
          <w:tblHeader/>
        </w:trPr>
        <w:tc>
          <w:tcPr>
            <w:tcW w:w="3500" w:type="dxa"/>
            <w:shd w:val="clear" w:fill="F2EEF2"/>
          </w:tcPr>
          <w:p>
            <w:pPr>
              <w:spacing w:before="40" w:after="40"/>
              <w:jc w:val="left"/>
            </w:pPr>
            <w:r>
              <w:rPr>
                <w:b/>
                <w:color w:val="1a202c"/>
                <w:sz w:val="20"/>
              </w:rPr>
              <w:t>Management Group</w:t>
            </w:r>
          </w:p>
        </w:tc>
        <w:tc>
          <w:tcPr>
            <w:tcW w:w="6500" w:type="dxa"/>
            <w:shd w:val="clear" w:fill="F2EEF2"/>
          </w:tcPr>
          <w:p>
            <w:pPr>
              <w:spacing w:before="40" w:after="40"/>
              <w:jc w:val="left"/>
            </w:pPr>
            <w:r>
              <w:rPr>
                <w:b/>
                <w:color w:val="1a202c"/>
                <w:sz w:val="20"/>
              </w:rPr>
              <w:t>Purpose</w:t>
            </w:r>
          </w:p>
        </w:tc>
      </w:tr>
      <w:tr>
        <w:tc>
          <w:tcPr>
            <w:tcW w:w="3500" w:type="dxa"/>
          </w:tcPr>
          <w:p>
            <w:pPr>
              <w:spacing w:before="40" w:after="40"/>
              <w:jc w:val="left"/>
            </w:pPr>
            <w:r>
              <w:rPr>
                <w:color w:val="404040"/>
                <w:sz w:val="20"/>
              </w:rPr>
              <w:t>Tenant Root</w:t>
            </w:r>
          </w:p>
        </w:tc>
        <w:tc>
          <w:tcPr>
            <w:tcW w:w="6500" w:type="dxa"/>
          </w:tcPr>
          <w:p>
            <w:pPr>
              <w:spacing w:before="40" w:after="40"/>
              <w:jc w:val="left"/>
            </w:pPr>
            <w:r>
              <w:rPr>
                <w:color w:val="404040"/>
                <w:sz w:val="20"/>
              </w:rPr>
              <w:t>Top-level container for all management groups</w:t>
            </w:r>
          </w:p>
        </w:tc>
      </w:tr>
      <w:tr>
        <w:tc>
          <w:tcPr>
            <w:tcW w:w="3500" w:type="dxa"/>
          </w:tcPr>
          <w:p>
            <w:pPr>
              <w:spacing w:before="40" w:after="40"/>
              <w:jc w:val="left"/>
            </w:pPr>
            <w:r>
              <w:rPr>
                <w:color w:val="404040"/>
                <w:sz w:val="20"/>
              </w:rPr>
              <w:t>Platform</w:t>
            </w:r>
          </w:p>
        </w:tc>
        <w:tc>
          <w:tcPr>
            <w:tcW w:w="6500" w:type="dxa"/>
          </w:tcPr>
          <w:p>
            <w:pPr>
              <w:spacing w:before="40" w:after="40"/>
              <w:jc w:val="left"/>
            </w:pPr>
            <w:r>
              <w:rPr>
                <w:color w:val="404040"/>
                <w:sz w:val="20"/>
              </w:rPr>
              <w:t>Hosts shared platform services subscriptions</w:t>
            </w:r>
          </w:p>
        </w:tc>
      </w:tr>
      <w:tr>
        <w:tc>
          <w:tcPr>
            <w:tcW w:w="3500" w:type="dxa"/>
          </w:tcPr>
          <w:p>
            <w:pPr>
              <w:spacing w:before="40" w:after="40"/>
              <w:jc w:val="left"/>
            </w:pPr>
            <w:r>
              <w:rPr>
                <w:color w:val="404040"/>
                <w:sz w:val="20"/>
              </w:rPr>
              <w:t>  Identity</w:t>
            </w:r>
          </w:p>
        </w:tc>
        <w:tc>
          <w:tcPr>
            <w:tcW w:w="6500" w:type="dxa"/>
          </w:tcPr>
          <w:p>
            <w:pPr>
              <w:spacing w:before="40" w:after="40"/>
              <w:jc w:val="left"/>
            </w:pPr>
            <w:r>
              <w:rPr>
                <w:color w:val="404040"/>
                <w:sz w:val="20"/>
              </w:rPr>
              <w:t>Domain controllers, Entra DS, AD-related services</w:t>
            </w:r>
          </w:p>
        </w:tc>
      </w:tr>
      <w:tr>
        <w:tc>
          <w:tcPr>
            <w:tcW w:w="3500" w:type="dxa"/>
          </w:tcPr>
          <w:p>
            <w:pPr>
              <w:spacing w:before="40" w:after="40"/>
              <w:jc w:val="left"/>
            </w:pPr>
            <w:r>
              <w:rPr>
                <w:color w:val="404040"/>
                <w:sz w:val="20"/>
              </w:rPr>
              <w:t>  Connectivity</w:t>
            </w:r>
          </w:p>
        </w:tc>
        <w:tc>
          <w:tcPr>
            <w:tcW w:w="6500" w:type="dxa"/>
          </w:tcPr>
          <w:p>
            <w:pPr>
              <w:spacing w:before="40" w:after="40"/>
              <w:jc w:val="left"/>
            </w:pPr>
            <w:r>
              <w:rPr>
                <w:color w:val="404040"/>
                <w:sz w:val="20"/>
              </w:rPr>
              <w:t>Hub networks, gateways, firewall, DNS</w:t>
            </w:r>
          </w:p>
        </w:tc>
      </w:tr>
      <w:tr>
        <w:tc>
          <w:tcPr>
            <w:tcW w:w="3500" w:type="dxa"/>
          </w:tcPr>
          <w:p>
            <w:pPr>
              <w:spacing w:before="40" w:after="40"/>
              <w:jc w:val="left"/>
            </w:pPr>
            <w:r>
              <w:rPr>
                <w:color w:val="404040"/>
                <w:sz w:val="20"/>
              </w:rPr>
              <w:t>  Management</w:t>
            </w:r>
          </w:p>
        </w:tc>
        <w:tc>
          <w:tcPr>
            <w:tcW w:w="6500" w:type="dxa"/>
          </w:tcPr>
          <w:p>
            <w:pPr>
              <w:spacing w:before="40" w:after="40"/>
              <w:jc w:val="left"/>
            </w:pPr>
            <w:r>
              <w:rPr>
                <w:color w:val="404040"/>
                <w:sz w:val="20"/>
              </w:rPr>
              <w:t>Log Analytics, automation, monitoring</w:t>
            </w:r>
          </w:p>
        </w:tc>
      </w:tr>
      <w:tr>
        <w:tc>
          <w:tcPr>
            <w:tcW w:w="3500" w:type="dxa"/>
          </w:tcPr>
          <w:p>
            <w:pPr>
              <w:spacing w:before="40" w:after="40"/>
              <w:jc w:val="left"/>
            </w:pPr>
            <w:r>
              <w:rPr>
                <w:color w:val="404040"/>
                <w:sz w:val="20"/>
              </w:rPr>
              <w:t>  Security</w:t>
            </w:r>
          </w:p>
        </w:tc>
        <w:tc>
          <w:tcPr>
            <w:tcW w:w="6500" w:type="dxa"/>
          </w:tcPr>
          <w:p>
            <w:pPr>
              <w:spacing w:before="40" w:after="40"/>
              <w:jc w:val="left"/>
            </w:pPr>
            <w:r>
              <w:rPr>
                <w:color w:val="404040"/>
                <w:sz w:val="20"/>
              </w:rPr>
              <w:t>Microsoft Sentinel, security tooling (new in 2025)</w:t>
            </w:r>
          </w:p>
        </w:tc>
      </w:tr>
      <w:tr>
        <w:tc>
          <w:tcPr>
            <w:tcW w:w="3500" w:type="dxa"/>
          </w:tcPr>
          <w:p>
            <w:pPr>
              <w:spacing w:before="40" w:after="40"/>
              <w:jc w:val="left"/>
            </w:pPr>
            <w:r>
              <w:rPr>
                <w:color w:val="404040"/>
                <w:sz w:val="20"/>
              </w:rPr>
              <w:t>Landing Zones</w:t>
            </w:r>
          </w:p>
        </w:tc>
        <w:tc>
          <w:tcPr>
            <w:tcW w:w="6500" w:type="dxa"/>
          </w:tcPr>
          <w:p>
            <w:pPr>
              <w:spacing w:before="40" w:after="40"/>
              <w:jc w:val="left"/>
            </w:pPr>
            <w:r>
              <w:rPr>
                <w:color w:val="404040"/>
                <w:sz w:val="20"/>
              </w:rPr>
              <w:t>Hosts application workload subscriptions</w:t>
            </w:r>
          </w:p>
        </w:tc>
      </w:tr>
      <w:tr>
        <w:tc>
          <w:tcPr>
            <w:tcW w:w="3500" w:type="dxa"/>
          </w:tcPr>
          <w:p>
            <w:pPr>
              <w:spacing w:before="40" w:after="40"/>
              <w:jc w:val="left"/>
            </w:pPr>
            <w:r>
              <w:rPr>
                <w:color w:val="404040"/>
                <w:sz w:val="20"/>
              </w:rPr>
              <w:t>  Corp</w:t>
            </w:r>
          </w:p>
        </w:tc>
        <w:tc>
          <w:tcPr>
            <w:tcW w:w="6500" w:type="dxa"/>
          </w:tcPr>
          <w:p>
            <w:pPr>
              <w:spacing w:before="40" w:after="40"/>
              <w:jc w:val="left"/>
            </w:pPr>
            <w:r>
              <w:rPr>
                <w:color w:val="404040"/>
                <w:sz w:val="20"/>
              </w:rPr>
              <w:t>Internal/corporate workloads with hybrid connectivity</w:t>
            </w:r>
          </w:p>
        </w:tc>
      </w:tr>
      <w:tr>
        <w:tc>
          <w:tcPr>
            <w:tcW w:w="3500" w:type="dxa"/>
          </w:tcPr>
          <w:p>
            <w:pPr>
              <w:spacing w:before="40" w:after="40"/>
              <w:jc w:val="left"/>
            </w:pPr>
            <w:r>
              <w:rPr>
                <w:color w:val="404040"/>
                <w:sz w:val="20"/>
              </w:rPr>
              <w:t>  Online</w:t>
            </w:r>
          </w:p>
        </w:tc>
        <w:tc>
          <w:tcPr>
            <w:tcW w:w="6500" w:type="dxa"/>
          </w:tcPr>
          <w:p>
            <w:pPr>
              <w:spacing w:before="40" w:after="40"/>
              <w:jc w:val="left"/>
            </w:pPr>
            <w:r>
              <w:rPr>
                <w:color w:val="404040"/>
                <w:sz w:val="20"/>
              </w:rPr>
              <w:t>Internet-facing workloads</w:t>
            </w:r>
          </w:p>
        </w:tc>
      </w:tr>
      <w:tr>
        <w:tc>
          <w:tcPr>
            <w:tcW w:w="3500" w:type="dxa"/>
          </w:tcPr>
          <w:p>
            <w:pPr>
              <w:spacing w:before="40" w:after="40"/>
              <w:jc w:val="left"/>
            </w:pPr>
            <w:r>
              <w:rPr>
                <w:color w:val="404040"/>
                <w:sz w:val="20"/>
              </w:rPr>
              <w:t>Sandbox</w:t>
            </w:r>
          </w:p>
        </w:tc>
        <w:tc>
          <w:tcPr>
            <w:tcW w:w="6500" w:type="dxa"/>
          </w:tcPr>
          <w:p>
            <w:pPr>
              <w:spacing w:before="40" w:after="40"/>
              <w:jc w:val="left"/>
            </w:pPr>
            <w:r>
              <w:rPr>
                <w:color w:val="404040"/>
                <w:sz w:val="20"/>
              </w:rPr>
              <w:t>Experimental resources with no connectivity to production</w:t>
            </w:r>
          </w:p>
        </w:tc>
      </w:tr>
      <w:tr>
        <w:tc>
          <w:tcPr>
            <w:tcW w:w="3500" w:type="dxa"/>
          </w:tcPr>
          <w:p>
            <w:pPr>
              <w:spacing w:before="40" w:after="40"/>
              <w:jc w:val="left"/>
            </w:pPr>
            <w:r>
              <w:rPr>
                <w:color w:val="404040"/>
                <w:sz w:val="20"/>
              </w:rPr>
              <w:t>Decommissioned</w:t>
            </w:r>
          </w:p>
        </w:tc>
        <w:tc>
          <w:tcPr>
            <w:tcW w:w="6500" w:type="dxa"/>
          </w:tcPr>
          <w:p>
            <w:pPr>
              <w:spacing w:before="40" w:after="40"/>
              <w:jc w:val="left"/>
            </w:pPr>
            <w:r>
              <w:rPr>
                <w:color w:val="404040"/>
                <w:sz w:val="20"/>
              </w:rPr>
              <w:t>Retired subscriptions pending cleanup</w:t>
            </w:r>
          </w:p>
        </w:tc>
      </w:tr>
    </w:tbl>
    <w:p>
      <w:pPr>
        <w:pStyle w:val="Heading2"/>
      </w:pPr>
      <w:r>
        <w:t>Best Practices</w:t>
      </w:r>
    </w:p>
    <w:p>
      <w:pPr>
        <w:numPr>
          <w:ilvl w:val="0"/>
          <w:numId w:val="1"/>
        </w:numPr>
      </w:pPr>
      <w:r>
        <w:t>Separate platform landing zones from application landing zones at the management group level</w:t>
      </w:r>
    </w:p>
    <w:p>
      <w:pPr>
        <w:numPr>
          <w:ilvl w:val="0"/>
          <w:numId w:val="1"/>
        </w:numPr>
      </w:pPr>
      <w:r>
        <w:t>Use subscription vending for automated provisioning with consistent governance</w:t>
      </w:r>
    </w:p>
    <w:p>
      <w:pPr>
        <w:numPr>
          <w:ilvl w:val="0"/>
          <w:numId w:val="1"/>
        </w:numPr>
      </w:pPr>
      <w:r>
        <w:t>Implement a standardized naming and tagging taxonomy across all resources</w:t>
      </w:r>
    </w:p>
    <w:p>
      <w:pPr>
        <w:numPr>
          <w:ilvl w:val="0"/>
          <w:numId w:val="1"/>
        </w:numPr>
      </w:pPr>
      <w:r>
        <w:t>Keep the management group hierarchy shallow (3-4 levels maximum)</w:t>
      </w:r>
    </w:p>
    <w:p>
      <w:pPr>
        <w:numPr>
          <w:ilvl w:val="0"/>
          <w:numId w:val="1"/>
        </w:numPr>
      </w:pPr>
      <w:r>
        <w:t>Design around function rather than organizational structure</w:t>
      </w:r>
    </w:p>
    <w:p>
      <w:pPr>
        <w:pStyle w:val="Heading2"/>
      </w:pPr>
      <w:r>
        <w:t>Subscription Vending</w:t>
      </w:r>
    </w:p>
    <w:p>
      <w:r>
        <w:t>Automate subscription creation with vending modules to enforce: management group placement, tags, RBAC assignments, network attach (hub/VWAN), and DDoS plans before teams deploy workloads. This operationalizes subscription democratization while keeping governance intact.</w:t>
      </w:r>
    </w:p>
    <w:p>
      <w:pPr>
        <w:pStyle w:val="Heading2"/>
      </w:pPr>
      <w:r>
        <w:t>CIS Controls Alignment</w:t>
      </w:r>
    </w:p>
    <w:tbl>
      <w:tblPr>
        <w:tblW w:w="5000" w:type="pct"/>
        <w:tblBorders>
          <w:top w:val="single" w:color="5F2861" w:sz="12"/>
          <w:bottom w:val="single" w:color="5F2861" w:sz="12"/>
          <w:insideH w:val="single" w:color="D9D9D9" w:sz="4"/>
        </w:tblBorders>
      </w:tblPr>
      <w:tblGrid>
        <w:gridCol w:w="1400"/>
        <w:gridCol w:w="3600"/>
        <w:gridCol w:w="5000"/>
      </w:tblGrid>
      <w:tr>
        <w:trPr>
          <w:tblHeader/>
        </w:trPr>
        <w:tc>
          <w:tcPr>
            <w:tcW w:w="1400" w:type="dxa"/>
            <w:shd w:val="clear" w:fill="F2EEF2"/>
          </w:tcPr>
          <w:p>
            <w:pPr>
              <w:spacing w:before="40" w:after="40"/>
              <w:jc w:val="left"/>
            </w:pPr>
            <w:r>
              <w:rPr>
                <w:b/>
                <w:color w:val="1a202c"/>
                <w:sz w:val="20"/>
              </w:rPr>
              <w:t>CIS Control</w:t>
            </w:r>
          </w:p>
        </w:tc>
        <w:tc>
          <w:tcPr>
            <w:tcW w:w="3600" w:type="dxa"/>
            <w:shd w:val="clear" w:fill="F2EEF2"/>
          </w:tcPr>
          <w:p>
            <w:pPr>
              <w:spacing w:before="40" w:after="40"/>
              <w:jc w:val="left"/>
            </w:pPr>
            <w:r>
              <w:rPr>
                <w:b/>
                <w:color w:val="1a202c"/>
                <w:sz w:val="20"/>
              </w:rPr>
              <w:t>Control Name</w:t>
            </w:r>
          </w:p>
        </w:tc>
        <w:tc>
          <w:tcPr>
            <w:tcW w:w="5000" w:type="dxa"/>
            <w:shd w:val="clear" w:fill="F2EEF2"/>
          </w:tcPr>
          <w:p>
            <w:pPr>
              <w:spacing w:before="40" w:after="40"/>
              <w:jc w:val="left"/>
            </w:pPr>
            <w:r>
              <w:rPr>
                <w:b/>
                <w:color w:val="1a202c"/>
                <w:sz w:val="20"/>
              </w:rPr>
              <w:t>Azure Implementation</w:t>
            </w:r>
          </w:p>
        </w:tc>
      </w:tr>
      <w:tr>
        <w:tc>
          <w:tcPr>
            <w:tcW w:w="1400" w:type="dxa"/>
          </w:tcPr>
          <w:p>
            <w:pPr>
              <w:spacing w:before="40" w:after="40"/>
              <w:jc w:val="left"/>
            </w:pPr>
            <w:r>
              <w:rPr>
                <w:color w:val="404040"/>
                <w:sz w:val="20"/>
              </w:rPr>
              <w:t>CIS 3.3</w:t>
            </w:r>
          </w:p>
        </w:tc>
        <w:tc>
          <w:tcPr>
            <w:tcW w:w="3600" w:type="dxa"/>
          </w:tcPr>
          <w:p>
            <w:pPr>
              <w:spacing w:before="40" w:after="40"/>
              <w:jc w:val="left"/>
            </w:pPr>
            <w:r>
              <w:rPr>
                <w:color w:val="404040"/>
                <w:sz w:val="20"/>
              </w:rPr>
              <w:t>Configure Data Access Control Lists</w:t>
            </w:r>
          </w:p>
        </w:tc>
        <w:tc>
          <w:tcPr>
            <w:tcW w:w="5000" w:type="dxa"/>
          </w:tcPr>
          <w:p>
            <w:pPr>
              <w:spacing w:before="40" w:after="40"/>
              <w:jc w:val="left"/>
            </w:pPr>
            <w:r>
              <w:rPr>
                <w:color w:val="404040"/>
                <w:sz w:val="20"/>
              </w:rPr>
              <w:t>RBAC at management group scope; subscription-level access controls</w:t>
            </w:r>
          </w:p>
        </w:tc>
      </w:tr>
      <w:tr>
        <w:tc>
          <w:tcPr>
            <w:tcW w:w="1400" w:type="dxa"/>
          </w:tcPr>
          <w:p>
            <w:pPr>
              <w:spacing w:before="40" w:after="40"/>
              <w:jc w:val="left"/>
            </w:pPr>
            <w:r>
              <w:rPr>
                <w:color w:val="404040"/>
                <w:sz w:val="20"/>
              </w:rPr>
              <w:t>CIS 6.1</w:t>
            </w:r>
          </w:p>
        </w:tc>
        <w:tc>
          <w:tcPr>
            <w:tcW w:w="3600" w:type="dxa"/>
          </w:tcPr>
          <w:p>
            <w:pPr>
              <w:spacing w:before="40" w:after="40"/>
              <w:jc w:val="left"/>
            </w:pPr>
            <w:r>
              <w:rPr>
                <w:color w:val="404040"/>
                <w:sz w:val="20"/>
              </w:rPr>
              <w:t>Establish an Access Granting Process</w:t>
            </w:r>
          </w:p>
        </w:tc>
        <w:tc>
          <w:tcPr>
            <w:tcW w:w="5000" w:type="dxa"/>
          </w:tcPr>
          <w:p>
            <w:pPr>
              <w:spacing w:before="40" w:after="40"/>
              <w:jc w:val="left"/>
            </w:pPr>
            <w:r>
              <w:rPr>
                <w:color w:val="404040"/>
                <w:sz w:val="20"/>
              </w:rPr>
              <w:t>Subscription vending with automated RBAC assignment</w:t>
            </w:r>
          </w:p>
        </w:tc>
      </w:tr>
      <w:tr>
        <w:tc>
          <w:tcPr>
            <w:tcW w:w="1400" w:type="dxa"/>
          </w:tcPr>
          <w:p>
            <w:pPr>
              <w:spacing w:before="40" w:after="40"/>
              <w:jc w:val="left"/>
            </w:pPr>
            <w:r>
              <w:rPr>
                <w:color w:val="404040"/>
                <w:sz w:val="20"/>
              </w:rPr>
              <w:t>CIS 16.1</w:t>
            </w:r>
          </w:p>
        </w:tc>
        <w:tc>
          <w:tcPr>
            <w:tcW w:w="3600" w:type="dxa"/>
          </w:tcPr>
          <w:p>
            <w:pPr>
              <w:spacing w:before="40" w:after="40"/>
              <w:jc w:val="left"/>
            </w:pPr>
            <w:r>
              <w:rPr>
                <w:color w:val="404040"/>
                <w:sz w:val="20"/>
              </w:rPr>
              <w:t>Establish and Maintain Inventory of Assets</w:t>
            </w:r>
          </w:p>
        </w:tc>
        <w:tc>
          <w:tcPr>
            <w:tcW w:w="5000" w:type="dxa"/>
          </w:tcPr>
          <w:p>
            <w:pPr>
              <w:spacing w:before="40" w:after="40"/>
              <w:jc w:val="left"/>
            </w:pPr>
            <w:r>
              <w:rPr>
                <w:color w:val="404040"/>
                <w:sz w:val="20"/>
              </w:rPr>
              <w:t>Resource Graph + standardized tagging taxonomy</w:t>
            </w:r>
          </w:p>
        </w:tc>
      </w:tr>
    </w:tbl>
    <w:p>
      <w:pPr>
        <w:pageBreakBefore/>
      </w:pPr>
    </w:p>
    <w:p>
      <w:pPr>
        <w:pStyle w:val="Heading1"/>
      </w:pPr>
      <w:r>
        <w:t>Design Area 4: Network Topology &amp; Connectivity</w:t>
      </w:r>
      <w:bookmarkStart w:name="_Toc006" w:id="7"/>
      <w:bookmarkEnd w:id="7"/>
    </w:p>
    <w:p>
      <w:r>
        <w:t>Network architecture must align with business connectivity needs, especially when hybrid or multicloud environments are involved. Organizations typically choose between Azure Virtual WAN for large-scale connectivity or a hub-and-spoke model for more controlled traffic flow.</w:t>
      </w:r>
    </w:p>
    <w:p>
      <w:pPr>
        <w:pStyle w:val="Heading2"/>
      </w:pPr>
      <w:r>
        <w:t>Network Architecture Options</w:t>
      </w:r>
    </w:p>
    <w:p>
      <w:pPr>
        <w:pStyle w:val="Heading3"/>
      </w:pPr>
      <w:r>
        <w:t>Hub-and-Spoke Model</w:t>
      </w:r>
    </w:p>
    <w:p>
      <w:r>
        <w:t>The traditional hub-and-spoke topology provides centralized control with the hub virtual network hosting shared services: Azure Firewall, DNS servers, ExpressRoute/VPN gateways. Spoke virtual networks connect to the hub via peering and host workload-specific resources.</w:t>
      </w:r>
    </w:p>
    <w:p>
      <w:pPr>
        <w:pStyle w:val="Heading3"/>
      </w:pPr>
      <w:r>
        <w:t>Azure Virtual WAN</w:t>
      </w:r>
    </w:p>
    <w:p>
      <w:r>
        <w:t>Azure Virtual WAN provides a managed, scalable solution for large-scale branch-to-branch and branch-to-Azure connectivity. It simplifies network architecture by providing integrated VPN, ExpressRoute, and SD-WAN connectivity with automated routing and security.</w:t>
      </w:r>
    </w:p>
    <w:p>
      <w:pPr>
        <w:pStyle w:val="Heading2"/>
      </w:pPr>
      <w:r>
        <w:t>Best Practices</w:t>
      </w:r>
    </w:p>
    <w:p>
      <w:pPr>
        <w:numPr>
          <w:ilvl w:val="0"/>
          <w:numId w:val="1"/>
        </w:numPr>
      </w:pPr>
      <w:r>
        <w:t>Clearly separate internal workloads from internet-facing resources</w:t>
      </w:r>
    </w:p>
    <w:p>
      <w:pPr>
        <w:numPr>
          <w:ilvl w:val="0"/>
          <w:numId w:val="1"/>
        </w:numPr>
      </w:pPr>
      <w:r>
        <w:t>Implement traffic inspection using Azure Firewall or network virtual appliances</w:t>
      </w:r>
    </w:p>
    <w:p>
      <w:pPr>
        <w:numPr>
          <w:ilvl w:val="0"/>
          <w:numId w:val="1"/>
        </w:numPr>
      </w:pPr>
      <w:r>
        <w:t>Plan Private DNS architecture carefully for hybrid name resolution</w:t>
      </w:r>
    </w:p>
    <w:p>
      <w:pPr>
        <w:numPr>
          <w:ilvl w:val="0"/>
          <w:numId w:val="1"/>
        </w:numPr>
      </w:pPr>
      <w:r>
        <w:t>Implement ExpressRoute and VPN coexistence for performance and resiliency</w:t>
      </w:r>
    </w:p>
    <w:p>
      <w:pPr>
        <w:numPr>
          <w:ilvl w:val="0"/>
          <w:numId w:val="1"/>
        </w:numPr>
      </w:pPr>
      <w:r>
        <w:t>Enable DDoS Protection Standard for internet-facing workloads</w:t>
      </w:r>
    </w:p>
    <w:p>
      <w:pPr>
        <w:numPr>
          <w:ilvl w:val="0"/>
          <w:numId w:val="1"/>
        </w:numPr>
      </w:pPr>
      <w:r>
        <w:t>Use Azure Private Link for PaaS services to avoid public endpoints</w:t>
      </w:r>
    </w:p>
    <w:p>
      <w:pPr>
        <w:pStyle w:val="Heading2"/>
      </w:pPr>
      <w:r>
        <w:t>CIS Controls Alignment</w:t>
      </w:r>
    </w:p>
    <w:tbl>
      <w:tblPr>
        <w:tblW w:w="5000" w:type="pct"/>
        <w:tblBorders>
          <w:top w:val="single" w:color="5F2861" w:sz="12"/>
          <w:bottom w:val="single" w:color="5F2861" w:sz="12"/>
          <w:insideH w:val="single" w:color="D9D9D9" w:sz="4"/>
        </w:tblBorders>
      </w:tblPr>
      <w:tblGrid>
        <w:gridCol w:w="1400"/>
        <w:gridCol w:w="3600"/>
        <w:gridCol w:w="5000"/>
      </w:tblGrid>
      <w:tr>
        <w:trPr>
          <w:tblHeader/>
        </w:trPr>
        <w:tc>
          <w:tcPr>
            <w:tcW w:w="1400" w:type="dxa"/>
            <w:shd w:val="clear" w:fill="F2EEF2"/>
          </w:tcPr>
          <w:p>
            <w:pPr>
              <w:spacing w:before="40" w:after="40"/>
              <w:jc w:val="left"/>
            </w:pPr>
            <w:r>
              <w:rPr>
                <w:b/>
                <w:color w:val="1a202c"/>
                <w:sz w:val="20"/>
              </w:rPr>
              <w:t>CIS Control</w:t>
            </w:r>
          </w:p>
        </w:tc>
        <w:tc>
          <w:tcPr>
            <w:tcW w:w="3600" w:type="dxa"/>
            <w:shd w:val="clear" w:fill="F2EEF2"/>
          </w:tcPr>
          <w:p>
            <w:pPr>
              <w:spacing w:before="40" w:after="40"/>
              <w:jc w:val="left"/>
            </w:pPr>
            <w:r>
              <w:rPr>
                <w:b/>
                <w:color w:val="1a202c"/>
                <w:sz w:val="20"/>
              </w:rPr>
              <w:t>Control Name</w:t>
            </w:r>
          </w:p>
        </w:tc>
        <w:tc>
          <w:tcPr>
            <w:tcW w:w="5000" w:type="dxa"/>
            <w:shd w:val="clear" w:fill="F2EEF2"/>
          </w:tcPr>
          <w:p>
            <w:pPr>
              <w:spacing w:before="40" w:after="40"/>
              <w:jc w:val="left"/>
            </w:pPr>
            <w:r>
              <w:rPr>
                <w:b/>
                <w:color w:val="1a202c"/>
                <w:sz w:val="20"/>
              </w:rPr>
              <w:t>Azure Implementation</w:t>
            </w:r>
          </w:p>
        </w:tc>
      </w:tr>
      <w:tr>
        <w:tc>
          <w:tcPr>
            <w:tcW w:w="1400" w:type="dxa"/>
          </w:tcPr>
          <w:p>
            <w:pPr>
              <w:spacing w:before="40" w:after="40"/>
              <w:jc w:val="left"/>
            </w:pPr>
            <w:r>
              <w:rPr>
                <w:color w:val="404040"/>
                <w:sz w:val="20"/>
              </w:rPr>
              <w:t>CIS 12.1</w:t>
            </w:r>
          </w:p>
        </w:tc>
        <w:tc>
          <w:tcPr>
            <w:tcW w:w="3600" w:type="dxa"/>
          </w:tcPr>
          <w:p>
            <w:pPr>
              <w:spacing w:before="40" w:after="40"/>
              <w:jc w:val="left"/>
            </w:pPr>
            <w:r>
              <w:rPr>
                <w:color w:val="404040"/>
                <w:sz w:val="20"/>
              </w:rPr>
              <w:t>Ensure Networks Are Segmented</w:t>
            </w:r>
          </w:p>
        </w:tc>
        <w:tc>
          <w:tcPr>
            <w:tcW w:w="5000" w:type="dxa"/>
          </w:tcPr>
          <w:p>
            <w:pPr>
              <w:spacing w:before="40" w:after="40"/>
              <w:jc w:val="left"/>
            </w:pPr>
            <w:r>
              <w:rPr>
                <w:color w:val="404040"/>
                <w:sz w:val="20"/>
              </w:rPr>
              <w:t>Hub-and-spoke/VWAN segmentation; VNet isolation</w:t>
            </w:r>
          </w:p>
        </w:tc>
      </w:tr>
      <w:tr>
        <w:tc>
          <w:tcPr>
            <w:tcW w:w="1400" w:type="dxa"/>
          </w:tcPr>
          <w:p>
            <w:pPr>
              <w:spacing w:before="40" w:after="40"/>
              <w:jc w:val="left"/>
            </w:pPr>
            <w:r>
              <w:rPr>
                <w:color w:val="404040"/>
                <w:sz w:val="20"/>
              </w:rPr>
              <w:t>CIS 12.2</w:t>
            </w:r>
          </w:p>
        </w:tc>
        <w:tc>
          <w:tcPr>
            <w:tcW w:w="3600" w:type="dxa"/>
          </w:tcPr>
          <w:p>
            <w:pPr>
              <w:spacing w:before="40" w:after="40"/>
              <w:jc w:val="left"/>
            </w:pPr>
            <w:r>
              <w:rPr>
                <w:color w:val="404040"/>
                <w:sz w:val="20"/>
              </w:rPr>
              <w:t>Implement Secure Access to Corporate Resources</w:t>
            </w:r>
          </w:p>
        </w:tc>
        <w:tc>
          <w:tcPr>
            <w:tcW w:w="5000" w:type="dxa"/>
          </w:tcPr>
          <w:p>
            <w:pPr>
              <w:spacing w:before="40" w:after="40"/>
              <w:jc w:val="left"/>
            </w:pPr>
            <w:r>
              <w:rPr>
                <w:color w:val="404040"/>
                <w:sz w:val="20"/>
              </w:rPr>
              <w:t>Private Link; ExpressRoute private peering</w:t>
            </w:r>
          </w:p>
        </w:tc>
      </w:tr>
      <w:tr>
        <w:tc>
          <w:tcPr>
            <w:tcW w:w="1400" w:type="dxa"/>
          </w:tcPr>
          <w:p>
            <w:pPr>
              <w:spacing w:before="40" w:after="40"/>
              <w:jc w:val="left"/>
            </w:pPr>
            <w:r>
              <w:rPr>
                <w:color w:val="404040"/>
                <w:sz w:val="20"/>
              </w:rPr>
              <w:t>CIS 12.4</w:t>
            </w:r>
          </w:p>
        </w:tc>
        <w:tc>
          <w:tcPr>
            <w:tcW w:w="3600" w:type="dxa"/>
          </w:tcPr>
          <w:p>
            <w:pPr>
              <w:spacing w:before="40" w:after="40"/>
              <w:jc w:val="left"/>
            </w:pPr>
            <w:r>
              <w:rPr>
                <w:color w:val="404040"/>
                <w:sz w:val="20"/>
              </w:rPr>
              <w:t>Implement Secure Access to Corporate Resources</w:t>
            </w:r>
          </w:p>
        </w:tc>
        <w:tc>
          <w:tcPr>
            <w:tcW w:w="5000" w:type="dxa"/>
          </w:tcPr>
          <w:p>
            <w:pPr>
              <w:spacing w:before="40" w:after="40"/>
              <w:jc w:val="left"/>
            </w:pPr>
            <w:r>
              <w:rPr>
                <w:color w:val="404040"/>
                <w:sz w:val="20"/>
              </w:rPr>
              <w:t>Azure Firewall; NSG rules; ASGs</w:t>
            </w:r>
          </w:p>
        </w:tc>
      </w:tr>
      <w:tr>
        <w:tc>
          <w:tcPr>
            <w:tcW w:w="1400" w:type="dxa"/>
          </w:tcPr>
          <w:p>
            <w:pPr>
              <w:spacing w:before="40" w:after="40"/>
              <w:jc w:val="left"/>
            </w:pPr>
            <w:r>
              <w:rPr>
                <w:color w:val="404040"/>
                <w:sz w:val="20"/>
              </w:rPr>
              <w:t>CIS 12.6</w:t>
            </w:r>
          </w:p>
        </w:tc>
        <w:tc>
          <w:tcPr>
            <w:tcW w:w="3600" w:type="dxa"/>
          </w:tcPr>
          <w:p>
            <w:pPr>
              <w:spacing w:before="40" w:after="40"/>
              <w:jc w:val="left"/>
            </w:pPr>
            <w:r>
              <w:rPr>
                <w:color w:val="404040"/>
                <w:sz w:val="20"/>
              </w:rPr>
              <w:t>Secure Access to Corporate Resources</w:t>
            </w:r>
          </w:p>
        </w:tc>
        <w:tc>
          <w:tcPr>
            <w:tcW w:w="5000" w:type="dxa"/>
          </w:tcPr>
          <w:p>
            <w:pPr>
              <w:spacing w:before="40" w:after="40"/>
              <w:jc w:val="left"/>
            </w:pPr>
            <w:r>
              <w:rPr>
                <w:color w:val="404040"/>
                <w:sz w:val="20"/>
              </w:rPr>
              <w:t>Network segmentation with security boundaries</w:t>
            </w:r>
          </w:p>
        </w:tc>
      </w:tr>
      <w:tr>
        <w:tc>
          <w:tcPr>
            <w:tcW w:w="1400" w:type="dxa"/>
          </w:tcPr>
          <w:p>
            <w:pPr>
              <w:spacing w:before="40" w:after="40"/>
              <w:jc w:val="left"/>
            </w:pPr>
            <w:r>
              <w:rPr>
                <w:color w:val="404040"/>
                <w:sz w:val="20"/>
              </w:rPr>
              <w:t>CIS 13.1</w:t>
            </w:r>
          </w:p>
        </w:tc>
        <w:tc>
          <w:tcPr>
            <w:tcW w:w="3600" w:type="dxa"/>
          </w:tcPr>
          <w:p>
            <w:pPr>
              <w:spacing w:before="40" w:after="40"/>
              <w:jc w:val="left"/>
            </w:pPr>
            <w:r>
              <w:rPr>
                <w:color w:val="404040"/>
                <w:sz w:val="20"/>
              </w:rPr>
              <w:t>Segment Traffic Flow</w:t>
            </w:r>
          </w:p>
        </w:tc>
        <w:tc>
          <w:tcPr>
            <w:tcW w:w="5000" w:type="dxa"/>
          </w:tcPr>
          <w:p>
            <w:pPr>
              <w:spacing w:before="40" w:after="40"/>
              <w:jc w:val="left"/>
            </w:pPr>
            <w:r>
              <w:rPr>
                <w:color w:val="404040"/>
                <w:sz w:val="20"/>
              </w:rPr>
              <w:t>Azure Firewall as traffic inspection choke point</w:t>
            </w:r>
          </w:p>
        </w:tc>
      </w:tr>
      <w:tr>
        <w:tc>
          <w:tcPr>
            <w:tcW w:w="1400" w:type="dxa"/>
          </w:tcPr>
          <w:p>
            <w:pPr>
              <w:spacing w:before="40" w:after="40"/>
              <w:jc w:val="left"/>
            </w:pPr>
            <w:r>
              <w:rPr>
                <w:color w:val="404040"/>
                <w:sz w:val="20"/>
              </w:rPr>
              <w:t>CIS 13.3</w:t>
            </w:r>
          </w:p>
        </w:tc>
        <w:tc>
          <w:tcPr>
            <w:tcW w:w="3600" w:type="dxa"/>
          </w:tcPr>
          <w:p>
            <w:pPr>
              <w:spacing w:before="40" w:after="40"/>
              <w:jc w:val="left"/>
            </w:pPr>
            <w:r>
              <w:rPr>
                <w:color w:val="404040"/>
                <w:sz w:val="20"/>
              </w:rPr>
              <w:t>Deploy DDoS Protection</w:t>
            </w:r>
          </w:p>
        </w:tc>
        <w:tc>
          <w:tcPr>
            <w:tcW w:w="5000" w:type="dxa"/>
          </w:tcPr>
          <w:p>
            <w:pPr>
              <w:spacing w:before="40" w:after="40"/>
              <w:jc w:val="left"/>
            </w:pPr>
            <w:r>
              <w:rPr>
                <w:color w:val="404040"/>
                <w:sz w:val="20"/>
              </w:rPr>
              <w:t>DDoS Protection Standard for public endpoints</w:t>
            </w:r>
          </w:p>
        </w:tc>
      </w:tr>
    </w:tbl>
    <w:p>
      <w:pPr>
        <w:pageBreakBefore/>
      </w:pPr>
    </w:p>
    <w:p>
      <w:pPr>
        <w:pStyle w:val="Heading1"/>
      </w:pPr>
      <w:r>
        <w:t>Design Area 5: Security</w:t>
      </w:r>
      <w:bookmarkStart w:name="_Toc007" w:id="8"/>
      <w:bookmarkEnd w:id="8"/>
    </w:p>
    <w:p>
      <w:r>
        <w:t>Security must be applied consistently across all Azure resources. This design area encompasses the controls to protect workloads and platform infrastructure, including threat detection, vulnerability management, secrets management, and security monitoring.</w:t>
      </w:r>
    </w:p>
    <w:p>
      <w:pPr>
        <w:pStyle w:val="Heading2"/>
      </w:pPr>
      <w:r>
        <w:t>Microsoft Defender for Cloud</w:t>
      </w:r>
    </w:p>
    <w:p>
      <w:r>
        <w:t>Enable Microsoft Defender for Cloud across all subscriptions to provide security recommendations, alerts, and remediation guidance. Configure Defender plans based on workload requirements:</w:t>
      </w:r>
    </w:p>
    <w:p>
      <w:pPr>
        <w:numPr>
          <w:ilvl w:val="0"/>
          <w:numId w:val="1"/>
        </w:numPr>
      </w:pPr>
      <w:r>
        <w:t>Defender for Servers: Server vulnerability assessment and threat detection</w:t>
      </w:r>
    </w:p>
    <w:p>
      <w:pPr>
        <w:numPr>
          <w:ilvl w:val="0"/>
          <w:numId w:val="1"/>
        </w:numPr>
      </w:pPr>
      <w:r>
        <w:t>Defender for Storage: Protection against malware and data exfiltration</w:t>
      </w:r>
    </w:p>
    <w:p>
      <w:pPr>
        <w:numPr>
          <w:ilvl w:val="0"/>
          <w:numId w:val="1"/>
        </w:numPr>
      </w:pPr>
      <w:r>
        <w:t>Defender for SQL: Database vulnerability assessment and threat detection</w:t>
      </w:r>
    </w:p>
    <w:p>
      <w:pPr>
        <w:numPr>
          <w:ilvl w:val="0"/>
          <w:numId w:val="1"/>
        </w:numPr>
      </w:pPr>
      <w:r>
        <w:t>Defender for Containers: Kubernetes and container registry security</w:t>
      </w:r>
    </w:p>
    <w:p>
      <w:pPr>
        <w:numPr>
          <w:ilvl w:val="0"/>
          <w:numId w:val="1"/>
        </w:numPr>
      </w:pPr>
      <w:r>
        <w:t>Defender for Key Vault: Threat detection for secrets management</w:t>
      </w:r>
    </w:p>
    <w:p>
      <w:pPr>
        <w:pStyle w:val="Heading2"/>
      </w:pPr>
      <w:r>
        <w:t>Microsoft Sentinel</w:t>
      </w:r>
    </w:p>
    <w:p>
      <w:r>
        <w:t>Deploy Microsoft Sentinel in a dedicated Security subscription for centralized SIEM. This provides separation of duties between operational and security monitoring. Connect all Azure subscriptions, Microsoft 365, and on-premises sources to Sentinel for comprehensive threat detection and response.</w:t>
      </w:r>
    </w:p>
    <w:p>
      <w:pPr>
        <w:pStyle w:val="Heading2"/>
      </w:pPr>
      <w:r>
        <w:t>Key Vault &amp; Secrets Management</w:t>
      </w:r>
    </w:p>
    <w:p>
      <w:r>
        <w:t>Implement Azure Key Vault with the following best practices:</w:t>
      </w:r>
    </w:p>
    <w:p>
      <w:pPr>
        <w:numPr>
          <w:ilvl w:val="0"/>
          <w:numId w:val="1"/>
        </w:numPr>
      </w:pPr>
      <w:r>
        <w:t>Deploy separate Key Vault instances per environment (dev, test, prod)</w:t>
      </w:r>
    </w:p>
    <w:p>
      <w:pPr>
        <w:numPr>
          <w:ilvl w:val="0"/>
          <w:numId w:val="1"/>
        </w:numPr>
      </w:pPr>
      <w:r>
        <w:t>Enable soft-delete and purge protection</w:t>
      </w:r>
    </w:p>
    <w:p>
      <w:pPr>
        <w:numPr>
          <w:ilvl w:val="0"/>
          <w:numId w:val="1"/>
        </w:numPr>
      </w:pPr>
      <w:r>
        <w:t>Use Private Link for Key Vault access</w:t>
      </w:r>
    </w:p>
    <w:p>
      <w:pPr>
        <w:numPr>
          <w:ilvl w:val="0"/>
          <w:numId w:val="1"/>
        </w:numPr>
      </w:pPr>
      <w:r>
        <w:t>Implement key rotation policies</w:t>
      </w:r>
    </w:p>
    <w:p>
      <w:pPr>
        <w:numPr>
          <w:ilvl w:val="0"/>
          <w:numId w:val="1"/>
        </w:numPr>
      </w:pPr>
      <w:r>
        <w:t>Monitor Key Vault access with diagnostic settings</w:t>
      </w:r>
    </w:p>
    <w:p>
      <w:pPr>
        <w:pStyle w:val="Heading2"/>
      </w:pPr>
      <w:r>
        <w:t>CIS Controls Alignment</w:t>
      </w:r>
    </w:p>
    <w:tbl>
      <w:tblPr>
        <w:tblW w:w="5000" w:type="pct"/>
        <w:tblBorders>
          <w:top w:val="single" w:color="5F2861" w:sz="12"/>
          <w:bottom w:val="single" w:color="5F2861" w:sz="12"/>
          <w:insideH w:val="single" w:color="D9D9D9" w:sz="4"/>
        </w:tblBorders>
      </w:tblPr>
      <w:tblGrid>
        <w:gridCol w:w="1400"/>
        <w:gridCol w:w="3600"/>
        <w:gridCol w:w="5000"/>
      </w:tblGrid>
      <w:tr>
        <w:trPr>
          <w:tblHeader/>
        </w:trPr>
        <w:tc>
          <w:tcPr>
            <w:tcW w:w="1400" w:type="dxa"/>
            <w:shd w:val="clear" w:fill="F2EEF2"/>
          </w:tcPr>
          <w:p>
            <w:pPr>
              <w:spacing w:before="40" w:after="40"/>
              <w:jc w:val="left"/>
            </w:pPr>
            <w:r>
              <w:rPr>
                <w:b/>
                <w:color w:val="1a202c"/>
                <w:sz w:val="20"/>
              </w:rPr>
              <w:t>CIS Control</w:t>
            </w:r>
          </w:p>
        </w:tc>
        <w:tc>
          <w:tcPr>
            <w:tcW w:w="3600" w:type="dxa"/>
            <w:shd w:val="clear" w:fill="F2EEF2"/>
          </w:tcPr>
          <w:p>
            <w:pPr>
              <w:spacing w:before="40" w:after="40"/>
              <w:jc w:val="left"/>
            </w:pPr>
            <w:r>
              <w:rPr>
                <w:b/>
                <w:color w:val="1a202c"/>
                <w:sz w:val="20"/>
              </w:rPr>
              <w:t>Control Name</w:t>
            </w:r>
          </w:p>
        </w:tc>
        <w:tc>
          <w:tcPr>
            <w:tcW w:w="5000" w:type="dxa"/>
            <w:shd w:val="clear" w:fill="F2EEF2"/>
          </w:tcPr>
          <w:p>
            <w:pPr>
              <w:spacing w:before="40" w:after="40"/>
              <w:jc w:val="left"/>
            </w:pPr>
            <w:r>
              <w:rPr>
                <w:b/>
                <w:color w:val="1a202c"/>
                <w:sz w:val="20"/>
              </w:rPr>
              <w:t>Azure Implementation</w:t>
            </w:r>
          </w:p>
        </w:tc>
      </w:tr>
      <w:tr>
        <w:tc>
          <w:tcPr>
            <w:tcW w:w="1400" w:type="dxa"/>
          </w:tcPr>
          <w:p>
            <w:pPr>
              <w:spacing w:before="40" w:after="40"/>
              <w:jc w:val="left"/>
            </w:pPr>
            <w:r>
              <w:rPr>
                <w:color w:val="404040"/>
                <w:sz w:val="20"/>
              </w:rPr>
              <w:t>CIS 8.2</w:t>
            </w:r>
          </w:p>
        </w:tc>
        <w:tc>
          <w:tcPr>
            <w:tcW w:w="3600" w:type="dxa"/>
          </w:tcPr>
          <w:p>
            <w:pPr>
              <w:spacing w:before="40" w:after="40"/>
              <w:jc w:val="left"/>
            </w:pPr>
            <w:r>
              <w:rPr>
                <w:color w:val="404040"/>
                <w:sz w:val="20"/>
              </w:rPr>
              <w:t>Collect Audit Logs</w:t>
            </w:r>
          </w:p>
        </w:tc>
        <w:tc>
          <w:tcPr>
            <w:tcW w:w="5000" w:type="dxa"/>
          </w:tcPr>
          <w:p>
            <w:pPr>
              <w:spacing w:before="40" w:after="40"/>
              <w:jc w:val="left"/>
            </w:pPr>
            <w:r>
              <w:rPr>
                <w:color w:val="404040"/>
                <w:sz w:val="20"/>
              </w:rPr>
              <w:t>Azure Monitor; Log Analytics; diagnostic settings</w:t>
            </w:r>
          </w:p>
        </w:tc>
      </w:tr>
      <w:tr>
        <w:tc>
          <w:tcPr>
            <w:tcW w:w="1400" w:type="dxa"/>
          </w:tcPr>
          <w:p>
            <w:pPr>
              <w:spacing w:before="40" w:after="40"/>
              <w:jc w:val="left"/>
            </w:pPr>
            <w:r>
              <w:rPr>
                <w:color w:val="404040"/>
                <w:sz w:val="20"/>
              </w:rPr>
              <w:t>CIS 8.5</w:t>
            </w:r>
          </w:p>
        </w:tc>
        <w:tc>
          <w:tcPr>
            <w:tcW w:w="3600" w:type="dxa"/>
          </w:tcPr>
          <w:p>
            <w:pPr>
              <w:spacing w:before="40" w:after="40"/>
              <w:jc w:val="left"/>
            </w:pPr>
            <w:r>
              <w:rPr>
                <w:color w:val="404040"/>
                <w:sz w:val="20"/>
              </w:rPr>
              <w:t>Deploy Anti-Malware</w:t>
            </w:r>
          </w:p>
        </w:tc>
        <w:tc>
          <w:tcPr>
            <w:tcW w:w="5000" w:type="dxa"/>
          </w:tcPr>
          <w:p>
            <w:pPr>
              <w:spacing w:before="40" w:after="40"/>
              <w:jc w:val="left"/>
            </w:pPr>
            <w:r>
              <w:rPr>
                <w:color w:val="404040"/>
                <w:sz w:val="20"/>
              </w:rPr>
              <w:t>Defender for Cloud; Defender for Storage antivirus</w:t>
            </w:r>
          </w:p>
        </w:tc>
      </w:tr>
      <w:tr>
        <w:tc>
          <w:tcPr>
            <w:tcW w:w="1400" w:type="dxa"/>
          </w:tcPr>
          <w:p>
            <w:pPr>
              <w:spacing w:before="40" w:after="40"/>
              <w:jc w:val="left"/>
            </w:pPr>
            <w:r>
              <w:rPr>
                <w:color w:val="404040"/>
                <w:sz w:val="20"/>
              </w:rPr>
              <w:t>CIS 10.1</w:t>
            </w:r>
          </w:p>
        </w:tc>
        <w:tc>
          <w:tcPr>
            <w:tcW w:w="3600" w:type="dxa"/>
          </w:tcPr>
          <w:p>
            <w:pPr>
              <w:spacing w:before="40" w:after="40"/>
              <w:jc w:val="left"/>
            </w:pPr>
            <w:r>
              <w:rPr>
                <w:color w:val="404040"/>
                <w:sz w:val="20"/>
              </w:rPr>
              <w:t>Deploy Anti-Malware</w:t>
            </w:r>
          </w:p>
        </w:tc>
        <w:tc>
          <w:tcPr>
            <w:tcW w:w="5000" w:type="dxa"/>
          </w:tcPr>
          <w:p>
            <w:pPr>
              <w:spacing w:before="40" w:after="40"/>
              <w:jc w:val="left"/>
            </w:pPr>
            <w:r>
              <w:rPr>
                <w:color w:val="404040"/>
                <w:sz w:val="20"/>
              </w:rPr>
              <w:t>Defender for Servers anti-malware</w:t>
            </w:r>
          </w:p>
        </w:tc>
      </w:tr>
      <w:tr>
        <w:tc>
          <w:tcPr>
            <w:tcW w:w="1400" w:type="dxa"/>
          </w:tcPr>
          <w:p>
            <w:pPr>
              <w:spacing w:before="40" w:after="40"/>
              <w:jc w:val="left"/>
            </w:pPr>
            <w:r>
              <w:rPr>
                <w:color w:val="404040"/>
                <w:sz w:val="20"/>
              </w:rPr>
              <w:t>CIS 13.2</w:t>
            </w:r>
          </w:p>
        </w:tc>
        <w:tc>
          <w:tcPr>
            <w:tcW w:w="3600" w:type="dxa"/>
          </w:tcPr>
          <w:p>
            <w:pPr>
              <w:spacing w:before="40" w:after="40"/>
              <w:jc w:val="left"/>
            </w:pPr>
            <w:r>
              <w:rPr>
                <w:color w:val="404040"/>
                <w:sz w:val="20"/>
              </w:rPr>
              <w:t>Deploy Intrusion Detection</w:t>
            </w:r>
          </w:p>
        </w:tc>
        <w:tc>
          <w:tcPr>
            <w:tcW w:w="5000" w:type="dxa"/>
          </w:tcPr>
          <w:p>
            <w:pPr>
              <w:spacing w:before="40" w:after="40"/>
              <w:jc w:val="left"/>
            </w:pPr>
            <w:r>
              <w:rPr>
                <w:color w:val="404040"/>
                <w:sz w:val="20"/>
              </w:rPr>
              <w:t>Microsoft Sentinel; Defender for Cloud alerts</w:t>
            </w:r>
          </w:p>
        </w:tc>
      </w:tr>
      <w:tr>
        <w:tc>
          <w:tcPr>
            <w:tcW w:w="1400" w:type="dxa"/>
          </w:tcPr>
          <w:p>
            <w:pPr>
              <w:spacing w:before="40" w:after="40"/>
              <w:jc w:val="left"/>
            </w:pPr>
            <w:r>
              <w:rPr>
                <w:color w:val="404040"/>
                <w:sz w:val="20"/>
              </w:rPr>
              <w:t>CIS 16.9</w:t>
            </w:r>
          </w:p>
        </w:tc>
        <w:tc>
          <w:tcPr>
            <w:tcW w:w="3600" w:type="dxa"/>
          </w:tcPr>
          <w:p>
            <w:pPr>
              <w:spacing w:before="40" w:after="40"/>
              <w:jc w:val="left"/>
            </w:pPr>
            <w:r>
              <w:rPr>
                <w:color w:val="404040"/>
                <w:sz w:val="20"/>
              </w:rPr>
              <w:t>Encrypt Data at Rest</w:t>
            </w:r>
          </w:p>
        </w:tc>
        <w:tc>
          <w:tcPr>
            <w:tcW w:w="5000" w:type="dxa"/>
          </w:tcPr>
          <w:p>
            <w:pPr>
              <w:spacing w:before="40" w:after="40"/>
              <w:jc w:val="left"/>
            </w:pPr>
            <w:r>
              <w:rPr>
                <w:color w:val="404040"/>
                <w:sz w:val="20"/>
              </w:rPr>
              <w:t>Key Vault for encryption keys; storage encryption</w:t>
            </w:r>
          </w:p>
        </w:tc>
      </w:tr>
      <w:tr>
        <w:tc>
          <w:tcPr>
            <w:tcW w:w="1400" w:type="dxa"/>
          </w:tcPr>
          <w:p>
            <w:pPr>
              <w:spacing w:before="40" w:after="40"/>
              <w:jc w:val="left"/>
            </w:pPr>
            <w:r>
              <w:rPr>
                <w:color w:val="404040"/>
                <w:sz w:val="20"/>
              </w:rPr>
              <w:t>CIS 16.12</w:t>
            </w:r>
          </w:p>
        </w:tc>
        <w:tc>
          <w:tcPr>
            <w:tcW w:w="3600" w:type="dxa"/>
          </w:tcPr>
          <w:p>
            <w:pPr>
              <w:spacing w:before="40" w:after="40"/>
              <w:jc w:val="left"/>
            </w:pPr>
            <w:r>
              <w:rPr>
                <w:color w:val="404040"/>
                <w:sz w:val="20"/>
              </w:rPr>
              <w:t>Encrypt Data at Rest</w:t>
            </w:r>
          </w:p>
        </w:tc>
        <w:tc>
          <w:tcPr>
            <w:tcW w:w="5000" w:type="dxa"/>
          </w:tcPr>
          <w:p>
            <w:pPr>
              <w:spacing w:before="40" w:after="40"/>
              <w:jc w:val="left"/>
            </w:pPr>
            <w:r>
              <w:rPr>
                <w:color w:val="404040"/>
                <w:sz w:val="20"/>
              </w:rPr>
              <w:t>Platform-managed and customer-managed keys</w:t>
            </w:r>
          </w:p>
        </w:tc>
      </w:tr>
    </w:tbl>
    <w:p>
      <w:pPr>
        <w:pageBreakBefore/>
      </w:pPr>
    </w:p>
    <w:p>
      <w:pPr>
        <w:pStyle w:val="Heading1"/>
      </w:pPr>
      <w:r>
        <w:t>Design Area 6: Management</w:t>
      </w:r>
      <w:bookmarkStart w:name="_Toc008" w:id="9"/>
      <w:bookmarkEnd w:id="9"/>
    </w:p>
    <w:p>
      <w:r>
        <w:t>This design area focuses on visibility, operational compliance, backup/recovery, and day-to-day operations. Proper management tooling ensures that the landing zone remains healthy, compliant, and recoverable throughout its lifecycle.</w:t>
      </w:r>
    </w:p>
    <w:p>
      <w:pPr>
        <w:pStyle w:val="Heading2"/>
      </w:pPr>
      <w:r>
        <w:t>Monitoring &amp; Logging</w:t>
      </w:r>
    </w:p>
    <w:p>
      <w:r>
        <w:t>Implement centralized monitoring using Azure Monitor and Log Analytics workspace topology. Deploy the Azure Monitor Agent (AMA) with data collection rules (DCRs) for unified log collection. Establish diagnostic settings for all Azure resources to ensure comprehensive logging.</w:t>
      </w:r>
    </w:p>
    <w:p>
      <w:pPr>
        <w:pStyle w:val="Heading2"/>
      </w:pPr>
      <w:r>
        <w:t>Best Practices</w:t>
      </w:r>
    </w:p>
    <w:p>
      <w:pPr>
        <w:numPr>
          <w:ilvl w:val="0"/>
          <w:numId w:val="1"/>
        </w:numPr>
      </w:pPr>
      <w:r>
        <w:t>Deploy one or two central Log Analytics workspaces for log aggregation</w:t>
      </w:r>
    </w:p>
    <w:p>
      <w:pPr>
        <w:numPr>
          <w:ilvl w:val="0"/>
          <w:numId w:val="1"/>
        </w:numPr>
      </w:pPr>
      <w:r>
        <w:t>Use Azure Monitor Agent (AMA) replacing legacy MMA agents</w:t>
      </w:r>
    </w:p>
    <w:p>
      <w:pPr>
        <w:numPr>
          <w:ilvl w:val="0"/>
          <w:numId w:val="1"/>
        </w:numPr>
      </w:pPr>
      <w:r>
        <w:t>Implement update management with maintenance windows and update rings</w:t>
      </w:r>
    </w:p>
    <w:p>
      <w:pPr>
        <w:numPr>
          <w:ilvl w:val="0"/>
          <w:numId w:val="1"/>
        </w:numPr>
      </w:pPr>
      <w:r>
        <w:t>Enable Azure Backup for all production workloads</w:t>
      </w:r>
    </w:p>
    <w:p>
      <w:pPr>
        <w:numPr>
          <w:ilvl w:val="0"/>
          <w:numId w:val="1"/>
        </w:numPr>
      </w:pPr>
      <w:r>
        <w:t>Use Azure Automation for runbooks and operational tasks</w:t>
      </w:r>
    </w:p>
    <w:p>
      <w:pPr>
        <w:numPr>
          <w:ilvl w:val="0"/>
          <w:numId w:val="1"/>
        </w:numPr>
      </w:pPr>
      <w:r>
        <w:t>Maintain inventory through Azure Resource Graph queries</w:t>
      </w:r>
    </w:p>
    <w:p>
      <w:pPr>
        <w:numPr>
          <w:ilvl w:val="0"/>
          <w:numId w:val="1"/>
        </w:numPr>
      </w:pPr>
      <w:r>
        <w:t>Implement service health alerts for all subscriptions</w:t>
      </w:r>
    </w:p>
    <w:p>
      <w:pPr>
        <w:pStyle w:val="Heading2"/>
      </w:pPr>
      <w:r>
        <w:t>CIS Controls Alignment</w:t>
      </w:r>
    </w:p>
    <w:tbl>
      <w:tblPr>
        <w:tblW w:w="5000" w:type="pct"/>
        <w:tblBorders>
          <w:top w:val="single" w:color="5F2861" w:sz="12"/>
          <w:bottom w:val="single" w:color="5F2861" w:sz="12"/>
          <w:insideH w:val="single" w:color="D9D9D9" w:sz="4"/>
        </w:tblBorders>
      </w:tblPr>
      <w:tblGrid>
        <w:gridCol w:w="1400"/>
        <w:gridCol w:w="3600"/>
        <w:gridCol w:w="5000"/>
      </w:tblGrid>
      <w:tr>
        <w:trPr>
          <w:tblHeader/>
        </w:trPr>
        <w:tc>
          <w:tcPr>
            <w:tcW w:w="1400" w:type="dxa"/>
            <w:shd w:val="clear" w:fill="F2EEF2"/>
          </w:tcPr>
          <w:p>
            <w:pPr>
              <w:spacing w:before="40" w:after="40"/>
              <w:jc w:val="left"/>
            </w:pPr>
            <w:r>
              <w:rPr>
                <w:b/>
                <w:color w:val="1a202c"/>
                <w:sz w:val="20"/>
              </w:rPr>
              <w:t>CIS Control</w:t>
            </w:r>
          </w:p>
        </w:tc>
        <w:tc>
          <w:tcPr>
            <w:tcW w:w="3600" w:type="dxa"/>
            <w:shd w:val="clear" w:fill="F2EEF2"/>
          </w:tcPr>
          <w:p>
            <w:pPr>
              <w:spacing w:before="40" w:after="40"/>
              <w:jc w:val="left"/>
            </w:pPr>
            <w:r>
              <w:rPr>
                <w:b/>
                <w:color w:val="1a202c"/>
                <w:sz w:val="20"/>
              </w:rPr>
              <w:t>Control Name</w:t>
            </w:r>
          </w:p>
        </w:tc>
        <w:tc>
          <w:tcPr>
            <w:tcW w:w="5000" w:type="dxa"/>
            <w:shd w:val="clear" w:fill="F2EEF2"/>
          </w:tcPr>
          <w:p>
            <w:pPr>
              <w:spacing w:before="40" w:after="40"/>
              <w:jc w:val="left"/>
            </w:pPr>
            <w:r>
              <w:rPr>
                <w:b/>
                <w:color w:val="1a202c"/>
                <w:sz w:val="20"/>
              </w:rPr>
              <w:t>Azure Implementation</w:t>
            </w:r>
          </w:p>
        </w:tc>
      </w:tr>
      <w:tr>
        <w:tc>
          <w:tcPr>
            <w:tcW w:w="1400" w:type="dxa"/>
          </w:tcPr>
          <w:p>
            <w:pPr>
              <w:spacing w:before="40" w:after="40"/>
              <w:jc w:val="left"/>
            </w:pPr>
            <w:r>
              <w:rPr>
                <w:color w:val="404040"/>
                <w:sz w:val="20"/>
              </w:rPr>
              <w:t>CIS 8.2</w:t>
            </w:r>
          </w:p>
        </w:tc>
        <w:tc>
          <w:tcPr>
            <w:tcW w:w="3600" w:type="dxa"/>
          </w:tcPr>
          <w:p>
            <w:pPr>
              <w:spacing w:before="40" w:after="40"/>
              <w:jc w:val="left"/>
            </w:pPr>
            <w:r>
              <w:rPr>
                <w:color w:val="404040"/>
                <w:sz w:val="20"/>
              </w:rPr>
              <w:t>Collect Audit Logs</w:t>
            </w:r>
          </w:p>
        </w:tc>
        <w:tc>
          <w:tcPr>
            <w:tcW w:w="5000" w:type="dxa"/>
          </w:tcPr>
          <w:p>
            <w:pPr>
              <w:spacing w:before="40" w:after="40"/>
              <w:jc w:val="left"/>
            </w:pPr>
            <w:r>
              <w:rPr>
                <w:color w:val="404040"/>
                <w:sz w:val="20"/>
              </w:rPr>
              <w:t>Azure Monitor; Log Analytics; diagnostic settings</w:t>
            </w:r>
          </w:p>
        </w:tc>
      </w:tr>
      <w:tr>
        <w:tc>
          <w:tcPr>
            <w:tcW w:w="1400" w:type="dxa"/>
          </w:tcPr>
          <w:p>
            <w:pPr>
              <w:spacing w:before="40" w:after="40"/>
              <w:jc w:val="left"/>
            </w:pPr>
            <w:r>
              <w:rPr>
                <w:color w:val="404040"/>
                <w:sz w:val="20"/>
              </w:rPr>
              <w:t>CIS 8.11</w:t>
            </w:r>
          </w:p>
        </w:tc>
        <w:tc>
          <w:tcPr>
            <w:tcW w:w="3600" w:type="dxa"/>
          </w:tcPr>
          <w:p>
            <w:pPr>
              <w:spacing w:before="40" w:after="40"/>
              <w:jc w:val="left"/>
            </w:pPr>
            <w:r>
              <w:rPr>
                <w:color w:val="404040"/>
                <w:sz w:val="20"/>
              </w:rPr>
              <w:t>Collect Audit Logs</w:t>
            </w:r>
          </w:p>
        </w:tc>
        <w:tc>
          <w:tcPr>
            <w:tcW w:w="5000" w:type="dxa"/>
          </w:tcPr>
          <w:p>
            <w:pPr>
              <w:spacing w:before="40" w:after="40"/>
              <w:jc w:val="left"/>
            </w:pPr>
            <w:r>
              <w:rPr>
                <w:color w:val="404040"/>
                <w:sz w:val="20"/>
              </w:rPr>
              <w:t>Centralized audit log collection to Log Analytics</w:t>
            </w:r>
          </w:p>
        </w:tc>
      </w:tr>
      <w:tr>
        <w:tc>
          <w:tcPr>
            <w:tcW w:w="1400" w:type="dxa"/>
          </w:tcPr>
          <w:p>
            <w:pPr>
              <w:spacing w:before="40" w:after="40"/>
              <w:jc w:val="left"/>
            </w:pPr>
            <w:r>
              <w:rPr>
                <w:color w:val="404040"/>
                <w:sz w:val="20"/>
              </w:rPr>
              <w:t>CIS 11.1</w:t>
            </w:r>
          </w:p>
        </w:tc>
        <w:tc>
          <w:tcPr>
            <w:tcW w:w="3600" w:type="dxa"/>
          </w:tcPr>
          <w:p>
            <w:pPr>
              <w:spacing w:before="40" w:after="40"/>
              <w:jc w:val="left"/>
            </w:pPr>
            <w:r>
              <w:rPr>
                <w:color w:val="404040"/>
                <w:sz w:val="20"/>
              </w:rPr>
              <w:t>Ensure Regular Automated Backups</w:t>
            </w:r>
          </w:p>
        </w:tc>
        <w:tc>
          <w:tcPr>
            <w:tcW w:w="5000" w:type="dxa"/>
          </w:tcPr>
          <w:p>
            <w:pPr>
              <w:spacing w:before="40" w:after="40"/>
              <w:jc w:val="left"/>
            </w:pPr>
            <w:r>
              <w:rPr>
                <w:color w:val="404040"/>
                <w:sz w:val="20"/>
              </w:rPr>
              <w:t>Azure Backup; backup policies at scope</w:t>
            </w:r>
          </w:p>
        </w:tc>
      </w:tr>
      <w:tr>
        <w:tc>
          <w:tcPr>
            <w:tcW w:w="1400" w:type="dxa"/>
          </w:tcPr>
          <w:p>
            <w:pPr>
              <w:spacing w:before="40" w:after="40"/>
              <w:jc w:val="left"/>
            </w:pPr>
            <w:r>
              <w:rPr>
                <w:color w:val="404040"/>
                <w:sz w:val="20"/>
              </w:rPr>
              <w:t>CIS 11.2</w:t>
            </w:r>
          </w:p>
        </w:tc>
        <w:tc>
          <w:tcPr>
            <w:tcW w:w="3600" w:type="dxa"/>
          </w:tcPr>
          <w:p>
            <w:pPr>
              <w:spacing w:before="40" w:after="40"/>
              <w:jc w:val="left"/>
            </w:pPr>
            <w:r>
              <w:rPr>
                <w:color w:val="404040"/>
                <w:sz w:val="20"/>
              </w:rPr>
              <w:t>Perform Complete System Backups</w:t>
            </w:r>
          </w:p>
        </w:tc>
        <w:tc>
          <w:tcPr>
            <w:tcW w:w="5000" w:type="dxa"/>
          </w:tcPr>
          <w:p>
            <w:pPr>
              <w:spacing w:before="40" w:after="40"/>
              <w:jc w:val="left"/>
            </w:pPr>
            <w:r>
              <w:rPr>
                <w:color w:val="404040"/>
                <w:sz w:val="20"/>
              </w:rPr>
              <w:t>Workload backup via Azure Backup service</w:t>
            </w:r>
          </w:p>
        </w:tc>
      </w:tr>
      <w:tr>
        <w:tc>
          <w:tcPr>
            <w:tcW w:w="1400" w:type="dxa"/>
          </w:tcPr>
          <w:p>
            <w:pPr>
              <w:spacing w:before="40" w:after="40"/>
              <w:jc w:val="left"/>
            </w:pPr>
            <w:r>
              <w:rPr>
                <w:color w:val="404040"/>
                <w:sz w:val="20"/>
              </w:rPr>
              <w:t>CIS 11.3</w:t>
            </w:r>
          </w:p>
        </w:tc>
        <w:tc>
          <w:tcPr>
            <w:tcW w:w="3600" w:type="dxa"/>
          </w:tcPr>
          <w:p>
            <w:pPr>
              <w:spacing w:before="40" w:after="40"/>
              <w:jc w:val="left"/>
            </w:pPr>
            <w:r>
              <w:rPr>
                <w:color w:val="404040"/>
                <w:sz w:val="20"/>
              </w:rPr>
              <w:t>Protect Backups</w:t>
            </w:r>
          </w:p>
        </w:tc>
        <w:tc>
          <w:tcPr>
            <w:tcW w:w="5000" w:type="dxa"/>
          </w:tcPr>
          <w:p>
            <w:pPr>
              <w:spacing w:before="40" w:after="40"/>
              <w:jc w:val="left"/>
            </w:pPr>
            <w:r>
              <w:rPr>
                <w:color w:val="404040"/>
                <w:sz w:val="20"/>
              </w:rPr>
              <w:t>Backup encryption; geo-redundant storage</w:t>
            </w:r>
          </w:p>
        </w:tc>
      </w:tr>
    </w:tbl>
    <w:p>
      <w:pPr>
        <w:pageBreakBefore/>
      </w:pPr>
    </w:p>
    <w:p>
      <w:pPr>
        <w:pStyle w:val="Heading1"/>
      </w:pPr>
      <w:r>
        <w:t>Design Area 7: Governance</w:t>
      </w:r>
      <w:bookmarkStart w:name="_Toc009" w:id="10"/>
      <w:bookmarkEnd w:id="10"/>
    </w:p>
    <w:p>
      <w:r>
        <w:t>Governance encompasses automated auditing and enforcement mechanisms. Azure Policy provides the primary governance layer, enabling organizations to enforce rules and effects over resources to ensure compliance with corporate standards and regulatory requirements.</w:t>
      </w:r>
    </w:p>
    <w:p>
      <w:pPr>
        <w:pStyle w:val="Heading2"/>
      </w:pPr>
      <w:r>
        <w:t>Azure Policy Implementation</w:t>
      </w:r>
    </w:p>
    <w:p>
      <w:r>
        <w:t>Assign policy initiatives at management group scope for maximum coverage and consistency. Microsoft provides built-in regulatory initiatives aligned with common standards:</w:t>
      </w:r>
    </w:p>
    <w:p>
      <w:pPr>
        <w:numPr>
          <w:ilvl w:val="0"/>
          <w:numId w:val="1"/>
        </w:numPr>
      </w:pPr>
      <w:r>
        <w:t>ISO 27001:2012 — Information security management</w:t>
      </w:r>
    </w:p>
    <w:p>
      <w:pPr>
        <w:numPr>
          <w:ilvl w:val="0"/>
          <w:numId w:val="1"/>
        </w:numPr>
      </w:pPr>
      <w:r>
        <w:t>NIST SP 800-53 Rev 5 — Security and privacy controls</w:t>
      </w:r>
    </w:p>
    <w:p>
      <w:pPr>
        <w:numPr>
          <w:ilvl w:val="0"/>
          <w:numId w:val="1"/>
        </w:numPr>
      </w:pPr>
      <w:r>
        <w:t>PCI DSS v4 — Payment card industry data security</w:t>
      </w:r>
    </w:p>
    <w:p>
      <w:pPr>
        <w:numPr>
          <w:ilvl w:val="0"/>
          <w:numId w:val="1"/>
        </w:numPr>
      </w:pPr>
      <w:r>
        <w:t>CIS Microsoft Azure Foundations Benchmark</w:t>
      </w:r>
    </w:p>
    <w:p>
      <w:pPr>
        <w:pStyle w:val="Heading2"/>
      </w:pPr>
      <w:r>
        <w:t>Best Practices</w:t>
      </w:r>
    </w:p>
    <w:p>
      <w:pPr>
        <w:numPr>
          <w:ilvl w:val="0"/>
          <w:numId w:val="1"/>
        </w:numPr>
      </w:pPr>
      <w:r>
        <w:t>Assign initiatives at management group scope, not individual subscriptions</w:t>
      </w:r>
    </w:p>
    <w:p>
      <w:pPr>
        <w:numPr>
          <w:ilvl w:val="0"/>
          <w:numId w:val="1"/>
        </w:numPr>
      </w:pPr>
      <w:r>
        <w:t>Track policy compliance and assignment drift through regular reporting</w:t>
      </w:r>
    </w:p>
    <w:p>
      <w:pPr>
        <w:numPr>
          <w:ilvl w:val="0"/>
          <w:numId w:val="1"/>
        </w:numPr>
      </w:pPr>
      <w:r>
        <w:t>Establish a policy exemption workflow with documented justifications</w:t>
      </w:r>
    </w:p>
    <w:p>
      <w:pPr>
        <w:numPr>
          <w:ilvl w:val="0"/>
          <w:numId w:val="1"/>
        </w:numPr>
      </w:pPr>
      <w:r>
        <w:t>Use Azure Policy for tagging enforcement and resource consistency</w:t>
      </w:r>
    </w:p>
    <w:p>
      <w:pPr>
        <w:numPr>
          <w:ilvl w:val="0"/>
          <w:numId w:val="1"/>
        </w:numPr>
      </w:pPr>
      <w:r>
        <w:t>Deploy Azure Cost Management for budget controls and anomaly detection</w:t>
      </w:r>
    </w:p>
    <w:p>
      <w:pPr>
        <w:numPr>
          <w:ilvl w:val="0"/>
          <w:numId w:val="1"/>
        </w:numPr>
      </w:pPr>
      <w:r>
        <w:t>Use tools like AzGovViz for governance visualization and drift detection</w:t>
      </w:r>
    </w:p>
    <w:p>
      <w:pPr>
        <w:pStyle w:val="Heading2"/>
      </w:pPr>
      <w:r>
        <w:t>CIS Controls Alignment</w:t>
      </w:r>
    </w:p>
    <w:tbl>
      <w:tblPr>
        <w:tblW w:w="5000" w:type="pct"/>
        <w:tblBorders>
          <w:top w:val="single" w:color="5F2861" w:sz="12"/>
          <w:bottom w:val="single" w:color="5F2861" w:sz="12"/>
          <w:insideH w:val="single" w:color="D9D9D9" w:sz="4"/>
        </w:tblBorders>
      </w:tblPr>
      <w:tblGrid>
        <w:gridCol w:w="1400"/>
        <w:gridCol w:w="3600"/>
        <w:gridCol w:w="5000"/>
      </w:tblGrid>
      <w:tr>
        <w:trPr>
          <w:tblHeader/>
        </w:trPr>
        <w:tc>
          <w:tcPr>
            <w:tcW w:w="1400" w:type="dxa"/>
            <w:shd w:val="clear" w:fill="F2EEF2"/>
          </w:tcPr>
          <w:p>
            <w:pPr>
              <w:spacing w:before="40" w:after="40"/>
              <w:jc w:val="left"/>
            </w:pPr>
            <w:r>
              <w:rPr>
                <w:b/>
                <w:color w:val="1a202c"/>
                <w:sz w:val="20"/>
              </w:rPr>
              <w:t>CIS Control</w:t>
            </w:r>
          </w:p>
        </w:tc>
        <w:tc>
          <w:tcPr>
            <w:tcW w:w="3600" w:type="dxa"/>
            <w:shd w:val="clear" w:fill="F2EEF2"/>
          </w:tcPr>
          <w:p>
            <w:pPr>
              <w:spacing w:before="40" w:after="40"/>
              <w:jc w:val="left"/>
            </w:pPr>
            <w:r>
              <w:rPr>
                <w:b/>
                <w:color w:val="1a202c"/>
                <w:sz w:val="20"/>
              </w:rPr>
              <w:t>Control Name</w:t>
            </w:r>
          </w:p>
        </w:tc>
        <w:tc>
          <w:tcPr>
            <w:tcW w:w="5000" w:type="dxa"/>
            <w:shd w:val="clear" w:fill="F2EEF2"/>
          </w:tcPr>
          <w:p>
            <w:pPr>
              <w:spacing w:before="40" w:after="40"/>
              <w:jc w:val="left"/>
            </w:pPr>
            <w:r>
              <w:rPr>
                <w:b/>
                <w:color w:val="1a202c"/>
                <w:sz w:val="20"/>
              </w:rPr>
              <w:t>Azure Implementation</w:t>
            </w:r>
          </w:p>
        </w:tc>
      </w:tr>
      <w:tr>
        <w:tc>
          <w:tcPr>
            <w:tcW w:w="1400" w:type="dxa"/>
          </w:tcPr>
          <w:p>
            <w:pPr>
              <w:spacing w:before="40" w:after="40"/>
              <w:jc w:val="left"/>
            </w:pPr>
            <w:r>
              <w:rPr>
                <w:color w:val="404040"/>
                <w:sz w:val="20"/>
              </w:rPr>
              <w:t>CIS 4.1</w:t>
            </w:r>
          </w:p>
        </w:tc>
        <w:tc>
          <w:tcPr>
            <w:tcW w:w="3600" w:type="dxa"/>
          </w:tcPr>
          <w:p>
            <w:pPr>
              <w:spacing w:before="40" w:after="40"/>
              <w:jc w:val="left"/>
            </w:pPr>
            <w:r>
              <w:rPr>
                <w:color w:val="404040"/>
                <w:sz w:val="20"/>
              </w:rPr>
              <w:t>Establish and Maintain a Secure Configuration Process</w:t>
            </w:r>
          </w:p>
        </w:tc>
        <w:tc>
          <w:tcPr>
            <w:tcW w:w="5000" w:type="dxa"/>
          </w:tcPr>
          <w:p>
            <w:pPr>
              <w:spacing w:before="40" w:after="40"/>
              <w:jc w:val="left"/>
            </w:pPr>
            <w:r>
              <w:rPr>
                <w:color w:val="404040"/>
                <w:sz w:val="20"/>
              </w:rPr>
              <w:t>Azure Policy for secure configuration baselines</w:t>
            </w:r>
          </w:p>
        </w:tc>
      </w:tr>
      <w:tr>
        <w:tc>
          <w:tcPr>
            <w:tcW w:w="1400" w:type="dxa"/>
          </w:tcPr>
          <w:p>
            <w:pPr>
              <w:spacing w:before="40" w:after="40"/>
              <w:jc w:val="left"/>
            </w:pPr>
            <w:r>
              <w:rPr>
                <w:color w:val="404040"/>
                <w:sz w:val="20"/>
              </w:rPr>
              <w:t>CIS 4.2</w:t>
            </w:r>
          </w:p>
        </w:tc>
        <w:tc>
          <w:tcPr>
            <w:tcW w:w="3600" w:type="dxa"/>
          </w:tcPr>
          <w:p>
            <w:pPr>
              <w:spacing w:before="40" w:after="40"/>
              <w:jc w:val="left"/>
            </w:pPr>
            <w:r>
              <w:rPr>
                <w:color w:val="404040"/>
                <w:sz w:val="20"/>
              </w:rPr>
              <w:t>Establish and Maintain a Secure Configuration Process</w:t>
            </w:r>
          </w:p>
        </w:tc>
        <w:tc>
          <w:tcPr>
            <w:tcW w:w="5000" w:type="dxa"/>
          </w:tcPr>
          <w:p>
            <w:pPr>
              <w:spacing w:before="40" w:after="40"/>
              <w:jc w:val="left"/>
            </w:pPr>
            <w:r>
              <w:rPr>
                <w:color w:val="404040"/>
                <w:sz w:val="20"/>
              </w:rPr>
              <w:t>Policy initiatives for configuration enforcement</w:t>
            </w:r>
          </w:p>
        </w:tc>
      </w:tr>
      <w:tr>
        <w:tc>
          <w:tcPr>
            <w:tcW w:w="1400" w:type="dxa"/>
          </w:tcPr>
          <w:p>
            <w:pPr>
              <w:spacing w:before="40" w:after="40"/>
              <w:jc w:val="left"/>
            </w:pPr>
            <w:r>
              <w:rPr>
                <w:color w:val="404040"/>
                <w:sz w:val="20"/>
              </w:rPr>
              <w:t>CIS 4.7</w:t>
            </w:r>
          </w:p>
        </w:tc>
        <w:tc>
          <w:tcPr>
            <w:tcW w:w="3600" w:type="dxa"/>
          </w:tcPr>
          <w:p>
            <w:pPr>
              <w:spacing w:before="40" w:after="40"/>
              <w:jc w:val="left"/>
            </w:pPr>
            <w:r>
              <w:rPr>
                <w:color w:val="404040"/>
                <w:sz w:val="20"/>
              </w:rPr>
              <w:t>Manage Default Accounts on Enterprise Assets</w:t>
            </w:r>
          </w:p>
        </w:tc>
        <w:tc>
          <w:tcPr>
            <w:tcW w:w="5000" w:type="dxa"/>
          </w:tcPr>
          <w:p>
            <w:pPr>
              <w:spacing w:before="40" w:after="40"/>
              <w:jc w:val="left"/>
            </w:pPr>
            <w:r>
              <w:rPr>
                <w:color w:val="404040"/>
                <w:sz w:val="20"/>
              </w:rPr>
              <w:t>Policy to manage default accounts and credentials</w:t>
            </w:r>
          </w:p>
        </w:tc>
      </w:tr>
      <w:tr>
        <w:tc>
          <w:tcPr>
            <w:tcW w:w="1400" w:type="dxa"/>
          </w:tcPr>
          <w:p>
            <w:pPr>
              <w:spacing w:before="40" w:after="40"/>
              <w:jc w:val="left"/>
            </w:pPr>
            <w:r>
              <w:rPr>
                <w:color w:val="404040"/>
                <w:sz w:val="20"/>
              </w:rPr>
              <w:t>CIS 4.8</w:t>
            </w:r>
          </w:p>
        </w:tc>
        <w:tc>
          <w:tcPr>
            <w:tcW w:w="3600" w:type="dxa"/>
          </w:tcPr>
          <w:p>
            <w:pPr>
              <w:spacing w:before="40" w:after="40"/>
              <w:jc w:val="left"/>
            </w:pPr>
            <w:r>
              <w:rPr>
                <w:color w:val="404040"/>
                <w:sz w:val="20"/>
              </w:rPr>
              <w:t>Uninstall or Disable Unnecessary Services</w:t>
            </w:r>
          </w:p>
        </w:tc>
        <w:tc>
          <w:tcPr>
            <w:tcW w:w="5000" w:type="dxa"/>
          </w:tcPr>
          <w:p>
            <w:pPr>
              <w:spacing w:before="40" w:after="40"/>
              <w:jc w:val="left"/>
            </w:pPr>
            <w:r>
              <w:rPr>
                <w:color w:val="404040"/>
                <w:sz w:val="20"/>
              </w:rPr>
              <w:t>Policy to detect and disable unnecessary services</w:t>
            </w:r>
          </w:p>
        </w:tc>
      </w:tr>
    </w:tbl>
    <w:p>
      <w:pPr>
        <w:pageBreakBefore/>
      </w:pPr>
    </w:p>
    <w:p>
      <w:pPr>
        <w:pStyle w:val="Heading1"/>
      </w:pPr>
      <w:r>
        <w:t>Design Area 8: Platform Automation &amp; DevOps</w:t>
      </w:r>
      <w:bookmarkStart w:name="_Toc010" w:id="11"/>
      <w:bookmarkEnd w:id="11"/>
    </w:p>
    <w:p>
      <w:r>
        <w:t>This design area defines how the platform itself is deployed in a repeatable and safe manner. Infrastructure as Code (IaC) and CI/CD pipelines ensure that platform changes are version-controlled, tested, and deployed consistently.</w:t>
      </w:r>
    </w:p>
    <w:p>
      <w:pPr>
        <w:pStyle w:val="Heading2"/>
      </w:pPr>
      <w:r>
        <w:t>Infrastructure as Code</w:t>
      </w:r>
    </w:p>
    <w:p>
      <w:r>
        <w:t>In 2026, Microsoft recommends Azure Verified Modules (AVM) for Platform Landing Zones, surfaced via the ALZ IaC Accelerator. This shift provides smaller, well-tested modules and faster feature velocity compared to the legacy monolithic approach.</w:t>
      </w:r>
    </w:p>
    <w:p>
      <w:pPr>
        <w:pStyle w:val="Heading2"/>
      </w:pPr>
      <w:r>
        <w:t>Deployment Options</w:t>
      </w:r>
    </w:p>
    <w:p>
      <w:pPr>
        <w:pStyle w:val="Heading3"/>
      </w:pPr>
      <w:r>
        <w:t>Bicep</w:t>
      </w:r>
    </w:p>
    <w:p>
      <w:r>
        <w:t>Bicep works well for Azure-focused teams that want native integration and faster access to new Azure features. It aligns closely with Azure resource management and simplifies template maintenance.</w:t>
      </w:r>
    </w:p>
    <w:p>
      <w:pPr>
        <w:pStyle w:val="Heading3"/>
      </w:pPr>
      <w:r>
        <w:t>Terraform</w:t>
      </w:r>
    </w:p>
    <w:p>
      <w:r>
        <w:t>Terraform suits organizations that operate across multiple cloud platforms. While it offers broader flexibility, support for new Azure features may arrive later compared to native tooling.</w:t>
      </w:r>
    </w:p>
    <w:p>
      <w:pPr>
        <w:pStyle w:val="Heading2"/>
      </w:pPr>
      <w:r>
        <w:t>Best Practices</w:t>
      </w:r>
    </w:p>
    <w:p>
      <w:pPr>
        <w:numPr>
          <w:ilvl w:val="0"/>
          <w:numId w:val="1"/>
        </w:numPr>
      </w:pPr>
      <w:r>
        <w:t>Use Azure Verified Modules (AVM) for all platform components</w:t>
      </w:r>
    </w:p>
    <w:p>
      <w:pPr>
        <w:numPr>
          <w:ilvl w:val="0"/>
          <w:numId w:val="1"/>
        </w:numPr>
      </w:pPr>
      <w:r>
        <w:t>Implement canary testing environments for platform changes</w:t>
      </w:r>
    </w:p>
    <w:p>
      <w:pPr>
        <w:numPr>
          <w:ilvl w:val="0"/>
          <w:numId w:val="1"/>
        </w:numPr>
      </w:pPr>
      <w:r>
        <w:t>Use Workload Identity Federation for secure pipeline authentication</w:t>
      </w:r>
    </w:p>
    <w:p>
      <w:pPr>
        <w:numPr>
          <w:ilvl w:val="0"/>
          <w:numId w:val="1"/>
        </w:numPr>
      </w:pPr>
      <w:r>
        <w:t>Implement branch protection and code review for all IaC changes</w:t>
      </w:r>
    </w:p>
    <w:p>
      <w:pPr>
        <w:numPr>
          <w:ilvl w:val="0"/>
          <w:numId w:val="1"/>
        </w:numPr>
      </w:pPr>
      <w:r>
        <w:t>Automate testing with pipeline validation gates</w:t>
      </w:r>
    </w:p>
    <w:p>
      <w:pPr>
        <w:numPr>
          <w:ilvl w:val="0"/>
          <w:numId w:val="1"/>
        </w:numPr>
      </w:pPr>
      <w:r>
        <w:t>Use GitHub Actions or Azure DevOps for CI/CD pipelines</w:t>
      </w:r>
    </w:p>
    <w:p>
      <w:pPr>
        <w:pStyle w:val="Heading2"/>
      </w:pPr>
      <w:r>
        <w:t>CIS Controls Alignment</w:t>
      </w:r>
    </w:p>
    <w:tbl>
      <w:tblPr>
        <w:tblW w:w="5000" w:type="pct"/>
        <w:tblBorders>
          <w:top w:val="single" w:color="5F2861" w:sz="12"/>
          <w:bottom w:val="single" w:color="5F2861" w:sz="12"/>
          <w:insideH w:val="single" w:color="D9D9D9" w:sz="4"/>
        </w:tblBorders>
      </w:tblPr>
      <w:tblGrid>
        <w:gridCol w:w="1400"/>
        <w:gridCol w:w="3600"/>
        <w:gridCol w:w="5000"/>
      </w:tblGrid>
      <w:tr>
        <w:trPr>
          <w:tblHeader/>
        </w:trPr>
        <w:tc>
          <w:tcPr>
            <w:tcW w:w="1400" w:type="dxa"/>
            <w:shd w:val="clear" w:fill="F2EEF2"/>
          </w:tcPr>
          <w:p>
            <w:pPr>
              <w:spacing w:before="40" w:after="40"/>
              <w:jc w:val="left"/>
            </w:pPr>
            <w:r>
              <w:rPr>
                <w:b/>
                <w:color w:val="1a202c"/>
                <w:sz w:val="20"/>
              </w:rPr>
              <w:t>CIS Control</w:t>
            </w:r>
          </w:p>
        </w:tc>
        <w:tc>
          <w:tcPr>
            <w:tcW w:w="3600" w:type="dxa"/>
            <w:shd w:val="clear" w:fill="F2EEF2"/>
          </w:tcPr>
          <w:p>
            <w:pPr>
              <w:spacing w:before="40" w:after="40"/>
              <w:jc w:val="left"/>
            </w:pPr>
            <w:r>
              <w:rPr>
                <w:b/>
                <w:color w:val="1a202c"/>
                <w:sz w:val="20"/>
              </w:rPr>
              <w:t>Control Name</w:t>
            </w:r>
          </w:p>
        </w:tc>
        <w:tc>
          <w:tcPr>
            <w:tcW w:w="5000" w:type="dxa"/>
            <w:shd w:val="clear" w:fill="F2EEF2"/>
          </w:tcPr>
          <w:p>
            <w:pPr>
              <w:spacing w:before="40" w:after="40"/>
              <w:jc w:val="left"/>
            </w:pPr>
            <w:r>
              <w:rPr>
                <w:b/>
                <w:color w:val="1a202c"/>
                <w:sz w:val="20"/>
              </w:rPr>
              <w:t>Azure Implementation</w:t>
            </w:r>
          </w:p>
        </w:tc>
      </w:tr>
      <w:tr>
        <w:tc>
          <w:tcPr>
            <w:tcW w:w="1400" w:type="dxa"/>
          </w:tcPr>
          <w:p>
            <w:pPr>
              <w:spacing w:before="40" w:after="40"/>
              <w:jc w:val="left"/>
            </w:pPr>
            <w:r>
              <w:rPr>
                <w:color w:val="404040"/>
                <w:sz w:val="20"/>
              </w:rPr>
              <w:t>CIS 4.1</w:t>
            </w:r>
          </w:p>
        </w:tc>
        <w:tc>
          <w:tcPr>
            <w:tcW w:w="3600" w:type="dxa"/>
          </w:tcPr>
          <w:p>
            <w:pPr>
              <w:spacing w:before="40" w:after="40"/>
              <w:jc w:val="left"/>
            </w:pPr>
            <w:r>
              <w:rPr>
                <w:color w:val="404040"/>
                <w:sz w:val="20"/>
              </w:rPr>
              <w:t>Establish Secure Configuration Process</w:t>
            </w:r>
          </w:p>
        </w:tc>
        <w:tc>
          <w:tcPr>
            <w:tcW w:w="5000" w:type="dxa"/>
          </w:tcPr>
          <w:p>
            <w:pPr>
              <w:spacing w:before="40" w:after="40"/>
              <w:jc w:val="left"/>
            </w:pPr>
            <w:r>
              <w:rPr>
                <w:color w:val="404040"/>
                <w:sz w:val="20"/>
              </w:rPr>
              <w:t>IaC for consistent secure configurations</w:t>
            </w:r>
          </w:p>
        </w:tc>
      </w:tr>
      <w:tr>
        <w:tc>
          <w:tcPr>
            <w:tcW w:w="1400" w:type="dxa"/>
          </w:tcPr>
          <w:p>
            <w:pPr>
              <w:spacing w:before="40" w:after="40"/>
              <w:jc w:val="left"/>
            </w:pPr>
            <w:r>
              <w:rPr>
                <w:color w:val="404040"/>
                <w:sz w:val="20"/>
              </w:rPr>
              <w:t>CIS 6.1</w:t>
            </w:r>
          </w:p>
        </w:tc>
        <w:tc>
          <w:tcPr>
            <w:tcW w:w="3600" w:type="dxa"/>
          </w:tcPr>
          <w:p>
            <w:pPr>
              <w:spacing w:before="40" w:after="40"/>
              <w:jc w:val="left"/>
            </w:pPr>
            <w:r>
              <w:rPr>
                <w:color w:val="404040"/>
                <w:sz w:val="20"/>
              </w:rPr>
              <w:t>Establish an Access Granting Process</w:t>
            </w:r>
          </w:p>
        </w:tc>
        <w:tc>
          <w:tcPr>
            <w:tcW w:w="5000" w:type="dxa"/>
          </w:tcPr>
          <w:p>
            <w:pPr>
              <w:spacing w:before="40" w:after="40"/>
              <w:jc w:val="left"/>
            </w:pPr>
            <w:r>
              <w:rPr>
                <w:color w:val="404040"/>
                <w:sz w:val="20"/>
              </w:rPr>
              <w:t>Pipeline-based access with Workload Identity Federation</w:t>
            </w:r>
          </w:p>
        </w:tc>
      </w:tr>
      <w:tr>
        <w:tc>
          <w:tcPr>
            <w:tcW w:w="1400" w:type="dxa"/>
          </w:tcPr>
          <w:p>
            <w:pPr>
              <w:spacing w:before="40" w:after="40"/>
              <w:jc w:val="left"/>
            </w:pPr>
            <w:r>
              <w:rPr>
                <w:color w:val="404040"/>
                <w:sz w:val="20"/>
              </w:rPr>
              <w:t>CIS 6.5</w:t>
            </w:r>
          </w:p>
        </w:tc>
        <w:tc>
          <w:tcPr>
            <w:tcW w:w="3600" w:type="dxa"/>
          </w:tcPr>
          <w:p>
            <w:pPr>
              <w:spacing w:before="40" w:after="40"/>
              <w:jc w:val="left"/>
            </w:pPr>
            <w:r>
              <w:rPr>
                <w:color w:val="404040"/>
                <w:sz w:val="20"/>
              </w:rPr>
              <w:t>Require MFA for Administrative Access</w:t>
            </w:r>
          </w:p>
        </w:tc>
        <w:tc>
          <w:tcPr>
            <w:tcW w:w="5000" w:type="dxa"/>
          </w:tcPr>
          <w:p>
            <w:pPr>
              <w:spacing w:before="40" w:after="40"/>
              <w:jc w:val="left"/>
            </w:pPr>
            <w:r>
              <w:rPr>
                <w:color w:val="404040"/>
                <w:sz w:val="20"/>
              </w:rPr>
              <w:t>MFA for all pipeline administrative access</w:t>
            </w:r>
          </w:p>
        </w:tc>
      </w:tr>
      <w:tr>
        <w:tc>
          <w:tcPr>
            <w:tcW w:w="1400" w:type="dxa"/>
          </w:tcPr>
          <w:p>
            <w:pPr>
              <w:spacing w:before="40" w:after="40"/>
              <w:jc w:val="left"/>
            </w:pPr>
            <w:r>
              <w:rPr>
                <w:color w:val="404040"/>
                <w:sz w:val="20"/>
              </w:rPr>
              <w:t>CIS 7.3</w:t>
            </w:r>
          </w:p>
        </w:tc>
        <w:tc>
          <w:tcPr>
            <w:tcW w:w="3600" w:type="dxa"/>
          </w:tcPr>
          <w:p>
            <w:pPr>
              <w:spacing w:before="40" w:after="40"/>
              <w:jc w:val="left"/>
            </w:pPr>
            <w:r>
              <w:rPr>
                <w:color w:val="404040"/>
                <w:sz w:val="20"/>
              </w:rPr>
              <w:t>Perform Automated Operating System Patch Management</w:t>
            </w:r>
          </w:p>
        </w:tc>
        <w:tc>
          <w:tcPr>
            <w:tcW w:w="5000" w:type="dxa"/>
          </w:tcPr>
          <w:p>
            <w:pPr>
              <w:spacing w:before="40" w:after="40"/>
              <w:jc w:val="left"/>
            </w:pPr>
            <w:r>
              <w:rPr>
                <w:color w:val="404040"/>
                <w:sz w:val="20"/>
              </w:rPr>
              <w:t>Automated updates through CI/CD pipelines</w:t>
            </w:r>
          </w:p>
        </w:tc>
      </w:tr>
      <w:tr>
        <w:tc>
          <w:tcPr>
            <w:tcW w:w="1400" w:type="dxa"/>
          </w:tcPr>
          <w:p>
            <w:pPr>
              <w:spacing w:before="40" w:after="40"/>
              <w:jc w:val="left"/>
            </w:pPr>
            <w:r>
              <w:rPr>
                <w:color w:val="404040"/>
                <w:sz w:val="20"/>
              </w:rPr>
              <w:t>CIS 7.4</w:t>
            </w:r>
          </w:p>
        </w:tc>
        <w:tc>
          <w:tcPr>
            <w:tcW w:w="3600" w:type="dxa"/>
          </w:tcPr>
          <w:p>
            <w:pPr>
              <w:spacing w:before="40" w:after="40"/>
              <w:jc w:val="left"/>
            </w:pPr>
            <w:r>
              <w:rPr>
                <w:color w:val="404040"/>
                <w:sz w:val="20"/>
              </w:rPr>
              <w:t>Perform Automated Application Patch Management</w:t>
            </w:r>
          </w:p>
        </w:tc>
        <w:tc>
          <w:tcPr>
            <w:tcW w:w="5000" w:type="dxa"/>
          </w:tcPr>
          <w:p>
            <w:pPr>
              <w:spacing w:before="40" w:after="40"/>
              <w:jc w:val="left"/>
            </w:pPr>
            <w:r>
              <w:rPr>
                <w:color w:val="404040"/>
                <w:sz w:val="20"/>
              </w:rPr>
              <w:t>Automated patching through Azure Update Manager</w:t>
            </w:r>
          </w:p>
        </w:tc>
      </w:tr>
    </w:tbl>
    <w:p>
      <w:pPr>
        <w:pageBreakBefore/>
      </w:pPr>
    </w:p>
    <w:p>
      <w:pPr>
        <w:pStyle w:val="Heading1"/>
      </w:pPr>
      <w:r>
        <w:t>CIS Controls v8.1 Mapping to Azure Landing Zones</w:t>
      </w:r>
      <w:bookmarkStart w:name="_Toc011" w:id="12"/>
      <w:bookmarkEnd w:id="12"/>
    </w:p>
    <w:p>
      <w:r>
        <w:t>The Center for Internet Security (CIS) Controls v8.1 provides a prioritized set of actions designed to protect enterprise assets and reduce cyber threats. This section provides comprehensive mapping between CIS Controls and Azure Landing Zone components, enabling organizations to implement a security-compliant cloud foundation.</w:t>
      </w:r>
    </w:p>
    <w:p>
      <w:pPr>
        <w:pStyle w:val="Heading2"/>
      </w:pPr>
      <w:r>
        <w:t>Implementation Groups Overview</w:t>
      </w:r>
    </w:p>
    <w:p>
      <w:r>
        <w:t>CIS Controls v8.1 introduces Implementation Groups (IGs) to help organizations apply safeguards based on their size and risk level:</w:t>
      </w:r>
    </w:p>
    <w:p>
      <w:pPr>
        <w:numPr>
          <w:ilvl w:val="0"/>
          <w:numId w:val="1"/>
        </w:numPr>
      </w:pPr>
      <w:r>
        <w:t>IG1 (Essential): Basic cyber hygiene — all organizations should implement these 56 safeguards</w:t>
      </w:r>
    </w:p>
    <w:p>
      <w:pPr>
        <w:numPr>
          <w:ilvl w:val="0"/>
          <w:numId w:val="1"/>
        </w:numPr>
      </w:pPr>
      <w:r>
        <w:t>IG2 (Recommended): Organizations with multiple departments and varying risk profiles — 74 additional safeguards</w:t>
      </w:r>
    </w:p>
    <w:p>
      <w:pPr>
        <w:numPr>
          <w:ilvl w:val="0"/>
          <w:numId w:val="1"/>
        </w:numPr>
      </w:pPr>
      <w:r>
        <w:t>IG3 (Advanced): Organizations with high-value assets and sophisticated threats — 23 additional safeguards</w:t>
      </w:r>
    </w:p>
    <w:p>
      <w:pPr>
        <w:pStyle w:val="Heading2"/>
      </w:pPr>
      <w:r>
        <w:t>Complete CIS Controls to Azure Mapping</w:t>
      </w:r>
    </w:p>
    <w:tbl>
      <w:tblPr>
        <w:tblW w:w="5000" w:type="pct"/>
        <w:tblBorders>
          <w:top w:val="single" w:color="5F2861" w:sz="12"/>
          <w:bottom w:val="single" w:color="5F2861" w:sz="12"/>
          <w:insideH w:val="single" w:color="D9D9D9" w:sz="4"/>
        </w:tblBorders>
      </w:tblPr>
      <w:tblGrid>
        <w:gridCol w:w="1200"/>
        <w:gridCol w:w="2800"/>
        <w:gridCol w:w="6000"/>
      </w:tblGrid>
      <w:tr>
        <w:trPr>
          <w:tblHeader/>
        </w:trPr>
        <w:tc>
          <w:tcPr>
            <w:tcW w:w="1200" w:type="dxa"/>
            <w:shd w:val="clear" w:fill="F2EEF2"/>
          </w:tcPr>
          <w:p>
            <w:pPr>
              <w:spacing w:before="40" w:after="40"/>
              <w:jc w:val="left"/>
            </w:pPr>
            <w:r>
              <w:rPr>
                <w:b/>
                <w:color w:val="1a202c"/>
                <w:sz w:val="20"/>
              </w:rPr>
              <w:t>Control</w:t>
            </w:r>
          </w:p>
        </w:tc>
        <w:tc>
          <w:tcPr>
            <w:tcW w:w="2800" w:type="dxa"/>
            <w:shd w:val="clear" w:fill="F2EEF2"/>
          </w:tcPr>
          <w:p>
            <w:pPr>
              <w:spacing w:before="40" w:after="40"/>
              <w:jc w:val="left"/>
            </w:pPr>
            <w:r>
              <w:rPr>
                <w:b/>
                <w:color w:val="1a202c"/>
                <w:sz w:val="20"/>
              </w:rPr>
              <w:t>Name</w:t>
            </w:r>
          </w:p>
        </w:tc>
        <w:tc>
          <w:tcPr>
            <w:tcW w:w="6000" w:type="dxa"/>
            <w:shd w:val="clear" w:fill="F2EEF2"/>
          </w:tcPr>
          <w:p>
            <w:pPr>
              <w:spacing w:before="40" w:after="40"/>
              <w:jc w:val="left"/>
            </w:pPr>
            <w:r>
              <w:rPr>
                <w:b/>
                <w:color w:val="1a202c"/>
                <w:sz w:val="20"/>
              </w:rPr>
              <w:t>Azure Landing Zone Implementation</w:t>
            </w:r>
          </w:p>
        </w:tc>
      </w:tr>
      <w:tr>
        <w:tc>
          <w:tcPr>
            <w:tcW w:w="1200" w:type="dxa"/>
          </w:tcPr>
          <w:p>
            <w:pPr>
              <w:spacing w:before="40" w:after="40"/>
              <w:jc w:val="left"/>
            </w:pPr>
            <w:r>
              <w:rPr>
                <w:color w:val="404040"/>
                <w:sz w:val="20"/>
              </w:rPr>
              <w:t>NS-1</w:t>
            </w:r>
          </w:p>
        </w:tc>
        <w:tc>
          <w:tcPr>
            <w:tcW w:w="2800" w:type="dxa"/>
          </w:tcPr>
          <w:p>
            <w:pPr>
              <w:spacing w:before="40" w:after="40"/>
              <w:jc w:val="left"/>
            </w:pPr>
            <w:r>
              <w:rPr>
                <w:color w:val="404040"/>
                <w:sz w:val="20"/>
              </w:rPr>
              <w:t>Network Segmentation</w:t>
            </w:r>
          </w:p>
        </w:tc>
        <w:tc>
          <w:tcPr>
            <w:tcW w:w="6000" w:type="dxa"/>
          </w:tcPr>
          <w:p>
            <w:pPr>
              <w:spacing w:before="40" w:after="40"/>
              <w:jc w:val="left"/>
            </w:pPr>
            <w:r>
              <w:rPr>
                <w:color w:val="404040"/>
                <w:sz w:val="20"/>
              </w:rPr>
              <w:t>Hub-and-spoke or vWAN; NSGs; ASGs; Azure Firewall</w:t>
            </w:r>
          </w:p>
        </w:tc>
      </w:tr>
      <w:tr>
        <w:tc>
          <w:tcPr>
            <w:tcW w:w="1200" w:type="dxa"/>
          </w:tcPr>
          <w:p>
            <w:pPr>
              <w:spacing w:before="40" w:after="40"/>
              <w:jc w:val="left"/>
            </w:pPr>
            <w:r>
              <w:rPr>
                <w:color w:val="404040"/>
                <w:sz w:val="20"/>
              </w:rPr>
              <w:t>NS-2</w:t>
            </w:r>
          </w:p>
        </w:tc>
        <w:tc>
          <w:tcPr>
            <w:tcW w:w="2800" w:type="dxa"/>
          </w:tcPr>
          <w:p>
            <w:pPr>
              <w:spacing w:before="40" w:after="40"/>
              <w:jc w:val="left"/>
            </w:pPr>
            <w:r>
              <w:rPr>
                <w:color w:val="404040"/>
                <w:sz w:val="20"/>
              </w:rPr>
              <w:t>Secure Cloud Services</w:t>
            </w:r>
          </w:p>
        </w:tc>
        <w:tc>
          <w:tcPr>
            <w:tcW w:w="6000" w:type="dxa"/>
          </w:tcPr>
          <w:p>
            <w:pPr>
              <w:spacing w:before="40" w:after="40"/>
              <w:jc w:val="left"/>
            </w:pPr>
            <w:r>
              <w:rPr>
                <w:color w:val="404040"/>
                <w:sz w:val="20"/>
              </w:rPr>
              <w:t>Private Link; service endpoints; network restrictions</w:t>
            </w:r>
          </w:p>
        </w:tc>
      </w:tr>
      <w:tr>
        <w:tc>
          <w:tcPr>
            <w:tcW w:w="1200" w:type="dxa"/>
          </w:tcPr>
          <w:p>
            <w:pPr>
              <w:spacing w:before="40" w:after="40"/>
              <w:jc w:val="left"/>
            </w:pPr>
            <w:r>
              <w:rPr>
                <w:color w:val="404040"/>
                <w:sz w:val="20"/>
              </w:rPr>
              <w:t>NS-3</w:t>
            </w:r>
          </w:p>
        </w:tc>
        <w:tc>
          <w:tcPr>
            <w:tcW w:w="2800" w:type="dxa"/>
          </w:tcPr>
          <w:p>
            <w:pPr>
              <w:spacing w:before="40" w:after="40"/>
              <w:jc w:val="left"/>
            </w:pPr>
            <w:r>
              <w:rPr>
                <w:color w:val="404040"/>
                <w:sz w:val="20"/>
              </w:rPr>
              <w:t>Edge Firewall</w:t>
            </w:r>
          </w:p>
        </w:tc>
        <w:tc>
          <w:tcPr>
            <w:tcW w:w="6000" w:type="dxa"/>
          </w:tcPr>
          <w:p>
            <w:pPr>
              <w:spacing w:before="40" w:after="40"/>
              <w:jc w:val="left"/>
            </w:pPr>
            <w:r>
              <w:rPr>
                <w:color w:val="404040"/>
                <w:sz w:val="20"/>
              </w:rPr>
              <w:t>Azure Firewall Premium; firewall policies at hub</w:t>
            </w:r>
          </w:p>
        </w:tc>
      </w:tr>
      <w:tr>
        <w:tc>
          <w:tcPr>
            <w:tcW w:w="1200" w:type="dxa"/>
          </w:tcPr>
          <w:p>
            <w:pPr>
              <w:spacing w:before="40" w:after="40"/>
              <w:jc w:val="left"/>
            </w:pPr>
            <w:r>
              <w:rPr>
                <w:color w:val="404040"/>
                <w:sz w:val="20"/>
              </w:rPr>
              <w:t>NS-4</w:t>
            </w:r>
          </w:p>
        </w:tc>
        <w:tc>
          <w:tcPr>
            <w:tcW w:w="2800" w:type="dxa"/>
          </w:tcPr>
          <w:p>
            <w:pPr>
              <w:spacing w:before="40" w:after="40"/>
              <w:jc w:val="left"/>
            </w:pPr>
            <w:r>
              <w:rPr>
                <w:color w:val="404040"/>
                <w:sz w:val="20"/>
              </w:rPr>
              <w:t>IDS/IPS</w:t>
            </w:r>
          </w:p>
        </w:tc>
        <w:tc>
          <w:tcPr>
            <w:tcW w:w="6000" w:type="dxa"/>
          </w:tcPr>
          <w:p>
            <w:pPr>
              <w:spacing w:before="40" w:after="40"/>
              <w:jc w:val="left"/>
            </w:pPr>
            <w:r>
              <w:rPr>
                <w:color w:val="404040"/>
                <w:sz w:val="20"/>
              </w:rPr>
              <w:t>Microsoft Sentinel; Defender for Cloud threat detection</w:t>
            </w:r>
          </w:p>
        </w:tc>
      </w:tr>
      <w:tr>
        <w:tc>
          <w:tcPr>
            <w:tcW w:w="1200" w:type="dxa"/>
          </w:tcPr>
          <w:p>
            <w:pPr>
              <w:spacing w:before="40" w:after="40"/>
              <w:jc w:val="left"/>
            </w:pPr>
            <w:r>
              <w:rPr>
                <w:color w:val="404040"/>
                <w:sz w:val="20"/>
              </w:rPr>
              <w:t>NS-5</w:t>
            </w:r>
          </w:p>
        </w:tc>
        <w:tc>
          <w:tcPr>
            <w:tcW w:w="2800" w:type="dxa"/>
          </w:tcPr>
          <w:p>
            <w:pPr>
              <w:spacing w:before="40" w:after="40"/>
              <w:jc w:val="left"/>
            </w:pPr>
            <w:r>
              <w:rPr>
                <w:color w:val="404040"/>
                <w:sz w:val="20"/>
              </w:rPr>
              <w:t>DDoS Protection</w:t>
            </w:r>
          </w:p>
        </w:tc>
        <w:tc>
          <w:tcPr>
            <w:tcW w:w="6000" w:type="dxa"/>
          </w:tcPr>
          <w:p>
            <w:pPr>
              <w:spacing w:before="40" w:after="40"/>
              <w:jc w:val="left"/>
            </w:pPr>
            <w:r>
              <w:rPr>
                <w:color w:val="404040"/>
                <w:sz w:val="20"/>
              </w:rPr>
              <w:t>DDoS Protection Standard for public endpoints</w:t>
            </w:r>
          </w:p>
        </w:tc>
      </w:tr>
      <w:tr>
        <w:tc>
          <w:tcPr>
            <w:tcW w:w="1200" w:type="dxa"/>
          </w:tcPr>
          <w:p>
            <w:pPr>
              <w:spacing w:before="40" w:after="40"/>
              <w:jc w:val="left"/>
            </w:pPr>
            <w:r>
              <w:rPr>
                <w:color w:val="404040"/>
                <w:sz w:val="20"/>
              </w:rPr>
              <w:t>NS-6</w:t>
            </w:r>
          </w:p>
        </w:tc>
        <w:tc>
          <w:tcPr>
            <w:tcW w:w="2800" w:type="dxa"/>
          </w:tcPr>
          <w:p>
            <w:pPr>
              <w:spacing w:before="40" w:after="40"/>
              <w:jc w:val="left"/>
            </w:pPr>
            <w:r>
              <w:rPr>
                <w:color w:val="404040"/>
                <w:sz w:val="20"/>
              </w:rPr>
              <w:t>Web Application Firewall</w:t>
            </w:r>
          </w:p>
        </w:tc>
        <w:tc>
          <w:tcPr>
            <w:tcW w:w="6000" w:type="dxa"/>
          </w:tcPr>
          <w:p>
            <w:pPr>
              <w:spacing w:before="40" w:after="40"/>
              <w:jc w:val="left"/>
            </w:pPr>
            <w:r>
              <w:rPr>
                <w:color w:val="404040"/>
                <w:sz w:val="20"/>
              </w:rPr>
              <w:t>Azure WAF on Application Gateway; managed rules</w:t>
            </w:r>
          </w:p>
        </w:tc>
      </w:tr>
      <w:tr>
        <w:tc>
          <w:tcPr>
            <w:tcW w:w="1200" w:type="dxa"/>
          </w:tcPr>
          <w:p>
            <w:pPr>
              <w:spacing w:before="40" w:after="40"/>
              <w:jc w:val="left"/>
            </w:pPr>
            <w:r>
              <w:rPr>
                <w:color w:val="404040"/>
                <w:sz w:val="20"/>
              </w:rPr>
              <w:t>NS-7</w:t>
            </w:r>
          </w:p>
        </w:tc>
        <w:tc>
          <w:tcPr>
            <w:tcW w:w="2800" w:type="dxa"/>
          </w:tcPr>
          <w:p>
            <w:pPr>
              <w:spacing w:before="40" w:after="40"/>
              <w:jc w:val="left"/>
            </w:pPr>
            <w:r>
              <w:rPr>
                <w:color w:val="404040"/>
                <w:sz w:val="20"/>
              </w:rPr>
              <w:t>Central Network Security</w:t>
            </w:r>
          </w:p>
        </w:tc>
        <w:tc>
          <w:tcPr>
            <w:tcW w:w="6000" w:type="dxa"/>
          </w:tcPr>
          <w:p>
            <w:pPr>
              <w:spacing w:before="40" w:after="40"/>
              <w:jc w:val="left"/>
            </w:pPr>
            <w:r>
              <w:rPr>
                <w:color w:val="404040"/>
                <w:sz w:val="20"/>
              </w:rPr>
              <w:t>Azure Firewall Manager; centralized NSG management</w:t>
            </w:r>
          </w:p>
        </w:tc>
      </w:tr>
      <w:tr>
        <w:tc>
          <w:tcPr>
            <w:tcW w:w="1200" w:type="dxa"/>
          </w:tcPr>
          <w:p>
            <w:pPr>
              <w:spacing w:before="40" w:after="40"/>
              <w:jc w:val="left"/>
            </w:pPr>
            <w:r>
              <w:rPr>
                <w:color w:val="404040"/>
                <w:sz w:val="20"/>
              </w:rPr>
              <w:t>NS-8</w:t>
            </w:r>
          </w:p>
        </w:tc>
        <w:tc>
          <w:tcPr>
            <w:tcW w:w="2800" w:type="dxa"/>
          </w:tcPr>
          <w:p>
            <w:pPr>
              <w:spacing w:before="40" w:after="40"/>
              <w:jc w:val="left"/>
            </w:pPr>
            <w:r>
              <w:rPr>
                <w:color w:val="404040"/>
                <w:sz w:val="20"/>
              </w:rPr>
              <w:t>Disable Insecure Services</w:t>
            </w:r>
          </w:p>
        </w:tc>
        <w:tc>
          <w:tcPr>
            <w:tcW w:w="6000" w:type="dxa"/>
          </w:tcPr>
          <w:p>
            <w:pPr>
              <w:spacing w:before="40" w:after="40"/>
              <w:jc w:val="left"/>
            </w:pPr>
            <w:r>
              <w:rPr>
                <w:color w:val="404040"/>
                <w:sz w:val="20"/>
              </w:rPr>
              <w:t>Azure Policy to block insecure protocols</w:t>
            </w:r>
          </w:p>
        </w:tc>
      </w:tr>
      <w:tr>
        <w:tc>
          <w:tcPr>
            <w:tcW w:w="1200" w:type="dxa"/>
          </w:tcPr>
          <w:p>
            <w:pPr>
              <w:spacing w:before="40" w:after="40"/>
              <w:jc w:val="left"/>
            </w:pPr>
            <w:r>
              <w:rPr>
                <w:color w:val="404040"/>
                <w:sz w:val="20"/>
              </w:rPr>
              <w:t>IM-1</w:t>
            </w:r>
          </w:p>
        </w:tc>
        <w:tc>
          <w:tcPr>
            <w:tcW w:w="2800" w:type="dxa"/>
          </w:tcPr>
          <w:p>
            <w:pPr>
              <w:spacing w:before="40" w:after="40"/>
              <w:jc w:val="left"/>
            </w:pPr>
            <w:r>
              <w:rPr>
                <w:color w:val="404040"/>
                <w:sz w:val="20"/>
              </w:rPr>
              <w:t>Centralize Identity</w:t>
            </w:r>
          </w:p>
        </w:tc>
        <w:tc>
          <w:tcPr>
            <w:tcW w:w="6000" w:type="dxa"/>
          </w:tcPr>
          <w:p>
            <w:pPr>
              <w:spacing w:before="40" w:after="40"/>
              <w:jc w:val="left"/>
            </w:pPr>
            <w:r>
              <w:rPr>
                <w:color w:val="404040"/>
                <w:sz w:val="20"/>
              </w:rPr>
              <w:t>Microsoft Entra ID as single identity provider</w:t>
            </w:r>
          </w:p>
        </w:tc>
      </w:tr>
      <w:tr>
        <w:tc>
          <w:tcPr>
            <w:tcW w:w="1200" w:type="dxa"/>
          </w:tcPr>
          <w:p>
            <w:pPr>
              <w:spacing w:before="40" w:after="40"/>
              <w:jc w:val="left"/>
            </w:pPr>
            <w:r>
              <w:rPr>
                <w:color w:val="404040"/>
                <w:sz w:val="20"/>
              </w:rPr>
              <w:t>IM-2</w:t>
            </w:r>
          </w:p>
        </w:tc>
        <w:tc>
          <w:tcPr>
            <w:tcW w:w="2800" w:type="dxa"/>
          </w:tcPr>
          <w:p>
            <w:pPr>
              <w:spacing w:before="40" w:after="40"/>
              <w:jc w:val="left"/>
            </w:pPr>
            <w:r>
              <w:rPr>
                <w:color w:val="404040"/>
                <w:sz w:val="20"/>
              </w:rPr>
              <w:t>Protect Identity Systems</w:t>
            </w:r>
          </w:p>
        </w:tc>
        <w:tc>
          <w:tcPr>
            <w:tcW w:w="6000" w:type="dxa"/>
          </w:tcPr>
          <w:p>
            <w:pPr>
              <w:spacing w:before="40" w:after="40"/>
              <w:jc w:val="left"/>
            </w:pPr>
            <w:r>
              <w:rPr>
                <w:color w:val="404040"/>
                <w:sz w:val="20"/>
              </w:rPr>
              <w:t>Conditional Access; Identity Protection; PIM</w:t>
            </w:r>
          </w:p>
        </w:tc>
      </w:tr>
      <w:tr>
        <w:tc>
          <w:tcPr>
            <w:tcW w:w="1200" w:type="dxa"/>
          </w:tcPr>
          <w:p>
            <w:pPr>
              <w:spacing w:before="40" w:after="40"/>
              <w:jc w:val="left"/>
            </w:pPr>
            <w:r>
              <w:rPr>
                <w:color w:val="404040"/>
                <w:sz w:val="20"/>
              </w:rPr>
              <w:t>IM-3</w:t>
            </w:r>
          </w:p>
        </w:tc>
        <w:tc>
          <w:tcPr>
            <w:tcW w:w="2800" w:type="dxa"/>
          </w:tcPr>
          <w:p>
            <w:pPr>
              <w:spacing w:before="40" w:after="40"/>
              <w:jc w:val="left"/>
            </w:pPr>
            <w:r>
              <w:rPr>
                <w:color w:val="404040"/>
                <w:sz w:val="20"/>
              </w:rPr>
              <w:t>Application Identities</w:t>
            </w:r>
          </w:p>
        </w:tc>
        <w:tc>
          <w:tcPr>
            <w:tcW w:w="6000" w:type="dxa"/>
          </w:tcPr>
          <w:p>
            <w:pPr>
              <w:spacing w:before="40" w:after="40"/>
              <w:jc w:val="left"/>
            </w:pPr>
            <w:r>
              <w:rPr>
                <w:color w:val="404040"/>
                <w:sz w:val="20"/>
              </w:rPr>
              <w:t>Managed identities; service principal governance</w:t>
            </w:r>
          </w:p>
        </w:tc>
      </w:tr>
      <w:tr>
        <w:tc>
          <w:tcPr>
            <w:tcW w:w="1200" w:type="dxa"/>
          </w:tcPr>
          <w:p>
            <w:pPr>
              <w:spacing w:before="40" w:after="40"/>
              <w:jc w:val="left"/>
            </w:pPr>
            <w:r>
              <w:rPr>
                <w:color w:val="404040"/>
                <w:sz w:val="20"/>
              </w:rPr>
              <w:t>IM-4</w:t>
            </w:r>
          </w:p>
        </w:tc>
        <w:tc>
          <w:tcPr>
            <w:tcW w:w="2800" w:type="dxa"/>
          </w:tcPr>
          <w:p>
            <w:pPr>
              <w:spacing w:before="40" w:after="40"/>
              <w:jc w:val="left"/>
            </w:pPr>
            <w:r>
              <w:rPr>
                <w:color w:val="404040"/>
                <w:sz w:val="20"/>
              </w:rPr>
              <w:t>Server Authentication</w:t>
            </w:r>
          </w:p>
        </w:tc>
        <w:tc>
          <w:tcPr>
            <w:tcW w:w="6000" w:type="dxa"/>
          </w:tcPr>
          <w:p>
            <w:pPr>
              <w:spacing w:before="40" w:after="40"/>
              <w:jc w:val="left"/>
            </w:pPr>
            <w:r>
              <w:rPr>
                <w:color w:val="404040"/>
                <w:sz w:val="20"/>
              </w:rPr>
              <w:t>Certificate management; mTLS with Key Vault</w:t>
            </w:r>
          </w:p>
        </w:tc>
      </w:tr>
      <w:tr>
        <w:tc>
          <w:tcPr>
            <w:tcW w:w="1200" w:type="dxa"/>
          </w:tcPr>
          <w:p>
            <w:pPr>
              <w:spacing w:before="40" w:after="40"/>
              <w:jc w:val="left"/>
            </w:pPr>
            <w:r>
              <w:rPr>
                <w:color w:val="404040"/>
                <w:sz w:val="20"/>
              </w:rPr>
              <w:t>IM-5</w:t>
            </w:r>
          </w:p>
        </w:tc>
        <w:tc>
          <w:tcPr>
            <w:tcW w:w="2800" w:type="dxa"/>
          </w:tcPr>
          <w:p>
            <w:pPr>
              <w:spacing w:before="40" w:after="40"/>
              <w:jc w:val="left"/>
            </w:pPr>
            <w:r>
              <w:rPr>
                <w:color w:val="404040"/>
                <w:sz w:val="20"/>
              </w:rPr>
              <w:t>Single Sign-On</w:t>
            </w:r>
          </w:p>
        </w:tc>
        <w:tc>
          <w:tcPr>
            <w:tcW w:w="6000" w:type="dxa"/>
          </w:tcPr>
          <w:p>
            <w:pPr>
              <w:spacing w:before="40" w:after="40"/>
              <w:jc w:val="left"/>
            </w:pPr>
            <w:r>
              <w:rPr>
                <w:color w:val="404040"/>
                <w:sz w:val="20"/>
              </w:rPr>
              <w:t>Microsoft Entra SSO for all applications</w:t>
            </w:r>
          </w:p>
        </w:tc>
      </w:tr>
      <w:tr>
        <w:tc>
          <w:tcPr>
            <w:tcW w:w="1200" w:type="dxa"/>
          </w:tcPr>
          <w:p>
            <w:pPr>
              <w:spacing w:before="40" w:after="40"/>
              <w:jc w:val="left"/>
            </w:pPr>
            <w:r>
              <w:rPr>
                <w:color w:val="404040"/>
                <w:sz w:val="20"/>
              </w:rPr>
              <w:t>IM-6</w:t>
            </w:r>
          </w:p>
        </w:tc>
        <w:tc>
          <w:tcPr>
            <w:tcW w:w="2800" w:type="dxa"/>
          </w:tcPr>
          <w:p>
            <w:pPr>
              <w:spacing w:before="40" w:after="40"/>
              <w:jc w:val="left"/>
            </w:pPr>
            <w:r>
              <w:rPr>
                <w:color w:val="404040"/>
                <w:sz w:val="20"/>
              </w:rPr>
              <w:t>Strong Authentication</w:t>
            </w:r>
          </w:p>
        </w:tc>
        <w:tc>
          <w:tcPr>
            <w:tcW w:w="6000" w:type="dxa"/>
          </w:tcPr>
          <w:p>
            <w:pPr>
              <w:spacing w:before="40" w:after="40"/>
              <w:jc w:val="left"/>
            </w:pPr>
            <w:r>
              <w:rPr>
                <w:color w:val="404040"/>
                <w:sz w:val="20"/>
              </w:rPr>
              <w:t>MFA; FIDO2; passwordless authentication</w:t>
            </w:r>
          </w:p>
        </w:tc>
      </w:tr>
      <w:tr>
        <w:tc>
          <w:tcPr>
            <w:tcW w:w="1200" w:type="dxa"/>
          </w:tcPr>
          <w:p>
            <w:pPr>
              <w:spacing w:before="40" w:after="40"/>
              <w:jc w:val="left"/>
            </w:pPr>
            <w:r>
              <w:rPr>
                <w:color w:val="404040"/>
                <w:sz w:val="20"/>
              </w:rPr>
              <w:t>IM-7</w:t>
            </w:r>
          </w:p>
        </w:tc>
        <w:tc>
          <w:tcPr>
            <w:tcW w:w="2800" w:type="dxa"/>
          </w:tcPr>
          <w:p>
            <w:pPr>
              <w:spacing w:before="40" w:after="40"/>
              <w:jc w:val="left"/>
            </w:pPr>
            <w:r>
              <w:rPr>
                <w:color w:val="404040"/>
                <w:sz w:val="20"/>
              </w:rPr>
              <w:t>Conditional Access</w:t>
            </w:r>
          </w:p>
        </w:tc>
        <w:tc>
          <w:tcPr>
            <w:tcW w:w="6000" w:type="dxa"/>
          </w:tcPr>
          <w:p>
            <w:pPr>
              <w:spacing w:before="40" w:after="40"/>
              <w:jc w:val="left"/>
            </w:pPr>
            <w:r>
              <w:rPr>
                <w:color w:val="404040"/>
                <w:sz w:val="20"/>
              </w:rPr>
              <w:t>Location-based; device-based; risk-based policies</w:t>
            </w:r>
          </w:p>
        </w:tc>
      </w:tr>
      <w:tr>
        <w:tc>
          <w:tcPr>
            <w:tcW w:w="1200" w:type="dxa"/>
          </w:tcPr>
          <w:p>
            <w:pPr>
              <w:spacing w:before="40" w:after="40"/>
              <w:jc w:val="left"/>
            </w:pPr>
            <w:r>
              <w:rPr>
                <w:color w:val="404040"/>
                <w:sz w:val="20"/>
              </w:rPr>
              <w:t>IM-8</w:t>
            </w:r>
          </w:p>
        </w:tc>
        <w:tc>
          <w:tcPr>
            <w:tcW w:w="2800" w:type="dxa"/>
          </w:tcPr>
          <w:p>
            <w:pPr>
              <w:spacing w:before="40" w:after="40"/>
              <w:jc w:val="left"/>
            </w:pPr>
            <w:r>
              <w:rPr>
                <w:color w:val="404040"/>
                <w:sz w:val="20"/>
              </w:rPr>
              <w:t>Credential Protection</w:t>
            </w:r>
          </w:p>
        </w:tc>
        <w:tc>
          <w:tcPr>
            <w:tcW w:w="6000" w:type="dxa"/>
          </w:tcPr>
          <w:p>
            <w:pPr>
              <w:spacing w:before="40" w:after="40"/>
              <w:jc w:val="left"/>
            </w:pPr>
            <w:r>
              <w:rPr>
                <w:color w:val="404040"/>
                <w:sz w:val="20"/>
              </w:rPr>
              <w:t>Key Vault; secret rotation; no credentials in code</w:t>
            </w:r>
          </w:p>
        </w:tc>
      </w:tr>
      <w:tr>
        <w:tc>
          <w:tcPr>
            <w:tcW w:w="1200" w:type="dxa"/>
          </w:tcPr>
          <w:p>
            <w:pPr>
              <w:spacing w:before="40" w:after="40"/>
              <w:jc w:val="left"/>
            </w:pPr>
            <w:r>
              <w:rPr>
                <w:color w:val="404040"/>
                <w:sz w:val="20"/>
              </w:rPr>
              <w:t>PA-1</w:t>
            </w:r>
          </w:p>
        </w:tc>
        <w:tc>
          <w:tcPr>
            <w:tcW w:w="2800" w:type="dxa"/>
          </w:tcPr>
          <w:p>
            <w:pPr>
              <w:spacing w:before="40" w:after="40"/>
              <w:jc w:val="left"/>
            </w:pPr>
            <w:r>
              <w:rPr>
                <w:color w:val="404040"/>
                <w:sz w:val="20"/>
              </w:rPr>
              <w:t>Separate Privileged Users</w:t>
            </w:r>
          </w:p>
        </w:tc>
        <w:tc>
          <w:tcPr>
            <w:tcW w:w="6000" w:type="dxa"/>
          </w:tcPr>
          <w:p>
            <w:pPr>
              <w:spacing w:before="40" w:after="40"/>
              <w:jc w:val="left"/>
            </w:pPr>
            <w:r>
              <w:rPr>
                <w:color w:val="404040"/>
                <w:sz w:val="20"/>
              </w:rPr>
              <w:t>PIM; dedicated admin accounts; approval workflows</w:t>
            </w:r>
          </w:p>
        </w:tc>
      </w:tr>
      <w:tr>
        <w:tc>
          <w:tcPr>
            <w:tcW w:w="1200" w:type="dxa"/>
          </w:tcPr>
          <w:p>
            <w:pPr>
              <w:spacing w:before="40" w:after="40"/>
              <w:jc w:val="left"/>
            </w:pPr>
            <w:r>
              <w:rPr>
                <w:color w:val="404040"/>
                <w:sz w:val="20"/>
              </w:rPr>
              <w:t>PA-2</w:t>
            </w:r>
          </w:p>
        </w:tc>
        <w:tc>
          <w:tcPr>
            <w:tcW w:w="2800" w:type="dxa"/>
          </w:tcPr>
          <w:p>
            <w:pPr>
              <w:spacing w:before="40" w:after="40"/>
              <w:jc w:val="left"/>
            </w:pPr>
            <w:r>
              <w:rPr>
                <w:color w:val="404040"/>
                <w:sz w:val="20"/>
              </w:rPr>
              <w:t>Avoid Standing Access</w:t>
            </w:r>
          </w:p>
        </w:tc>
        <w:tc>
          <w:tcPr>
            <w:tcW w:w="6000" w:type="dxa"/>
          </w:tcPr>
          <w:p>
            <w:pPr>
              <w:spacing w:before="40" w:after="40"/>
              <w:jc w:val="left"/>
            </w:pPr>
            <w:r>
              <w:rPr>
                <w:color w:val="404040"/>
                <w:sz w:val="20"/>
              </w:rPr>
              <w:t>Just-in-time access; time-bound activation</w:t>
            </w:r>
          </w:p>
        </w:tc>
      </w:tr>
      <w:tr>
        <w:tc>
          <w:tcPr>
            <w:tcW w:w="1200" w:type="dxa"/>
          </w:tcPr>
          <w:p>
            <w:pPr>
              <w:spacing w:before="40" w:after="40"/>
              <w:jc w:val="left"/>
            </w:pPr>
            <w:r>
              <w:rPr>
                <w:color w:val="404040"/>
                <w:sz w:val="20"/>
              </w:rPr>
              <w:t>PA-3</w:t>
            </w:r>
          </w:p>
        </w:tc>
        <w:tc>
          <w:tcPr>
            <w:tcW w:w="2800" w:type="dxa"/>
          </w:tcPr>
          <w:p>
            <w:pPr>
              <w:spacing w:before="40" w:after="40"/>
              <w:jc w:val="left"/>
            </w:pPr>
            <w:r>
              <w:rPr>
                <w:color w:val="404040"/>
                <w:sz w:val="20"/>
              </w:rPr>
              <w:t>Identity Lifecycle</w:t>
            </w:r>
          </w:p>
        </w:tc>
        <w:tc>
          <w:tcPr>
            <w:tcW w:w="6000" w:type="dxa"/>
          </w:tcPr>
          <w:p>
            <w:pPr>
              <w:spacing w:before="40" w:after="40"/>
              <w:jc w:val="left"/>
            </w:pPr>
            <w:r>
              <w:rPr>
                <w:color w:val="404040"/>
                <w:sz w:val="20"/>
              </w:rPr>
              <w:t>Automated provisioning/deprovisioning; access reviews</w:t>
            </w:r>
          </w:p>
        </w:tc>
      </w:tr>
      <w:tr>
        <w:tc>
          <w:tcPr>
            <w:tcW w:w="1200" w:type="dxa"/>
          </w:tcPr>
          <w:p>
            <w:pPr>
              <w:spacing w:before="40" w:after="40"/>
              <w:jc w:val="left"/>
            </w:pPr>
            <w:r>
              <w:rPr>
                <w:color w:val="404040"/>
                <w:sz w:val="20"/>
              </w:rPr>
              <w:t>PA-4</w:t>
            </w:r>
          </w:p>
        </w:tc>
        <w:tc>
          <w:tcPr>
            <w:tcW w:w="2800" w:type="dxa"/>
          </w:tcPr>
          <w:p>
            <w:pPr>
              <w:spacing w:before="40" w:after="40"/>
              <w:jc w:val="left"/>
            </w:pPr>
            <w:r>
              <w:rPr>
                <w:color w:val="404040"/>
                <w:sz w:val="20"/>
              </w:rPr>
              <w:t>Regular Access Reviews</w:t>
            </w:r>
          </w:p>
        </w:tc>
        <w:tc>
          <w:tcPr>
            <w:tcW w:w="6000" w:type="dxa"/>
          </w:tcPr>
          <w:p>
            <w:pPr>
              <w:spacing w:before="40" w:after="40"/>
              <w:jc w:val="left"/>
            </w:pPr>
            <w:r>
              <w:rPr>
                <w:color w:val="404040"/>
                <w:sz w:val="20"/>
              </w:rPr>
              <w:t>Quarterly access reviews; PIM audit reports</w:t>
            </w:r>
          </w:p>
        </w:tc>
      </w:tr>
      <w:tr>
        <w:tc>
          <w:tcPr>
            <w:tcW w:w="1200" w:type="dxa"/>
          </w:tcPr>
          <w:p>
            <w:pPr>
              <w:spacing w:before="40" w:after="40"/>
              <w:jc w:val="left"/>
            </w:pPr>
            <w:r>
              <w:rPr>
                <w:color w:val="404040"/>
                <w:sz w:val="20"/>
              </w:rPr>
              <w:t>PA-5</w:t>
            </w:r>
          </w:p>
        </w:tc>
        <w:tc>
          <w:tcPr>
            <w:tcW w:w="2800" w:type="dxa"/>
          </w:tcPr>
          <w:p>
            <w:pPr>
              <w:spacing w:before="40" w:after="40"/>
              <w:jc w:val="left"/>
            </w:pPr>
            <w:r>
              <w:rPr>
                <w:color w:val="404040"/>
                <w:sz w:val="20"/>
              </w:rPr>
              <w:t>Emergency Access</w:t>
            </w:r>
          </w:p>
        </w:tc>
        <w:tc>
          <w:tcPr>
            <w:tcW w:w="6000" w:type="dxa"/>
          </w:tcPr>
          <w:p>
            <w:pPr>
              <w:spacing w:before="40" w:after="40"/>
              <w:jc w:val="left"/>
            </w:pPr>
            <w:r>
              <w:rPr>
                <w:color w:val="404040"/>
                <w:sz w:val="20"/>
              </w:rPr>
              <w:t>Break-glass accounts with monitoring and alerting</w:t>
            </w:r>
          </w:p>
        </w:tc>
      </w:tr>
      <w:tr>
        <w:tc>
          <w:tcPr>
            <w:tcW w:w="1200" w:type="dxa"/>
          </w:tcPr>
          <w:p>
            <w:pPr>
              <w:spacing w:before="40" w:after="40"/>
              <w:jc w:val="left"/>
            </w:pPr>
            <w:r>
              <w:rPr>
                <w:color w:val="404040"/>
                <w:sz w:val="20"/>
              </w:rPr>
              <w:t>PA-6</w:t>
            </w:r>
          </w:p>
        </w:tc>
        <w:tc>
          <w:tcPr>
            <w:tcW w:w="2800" w:type="dxa"/>
          </w:tcPr>
          <w:p>
            <w:pPr>
              <w:spacing w:before="40" w:after="40"/>
              <w:jc w:val="left"/>
            </w:pPr>
            <w:r>
              <w:rPr>
                <w:color w:val="404040"/>
                <w:sz w:val="20"/>
              </w:rPr>
              <w:t>Privileged Access Solution</w:t>
            </w:r>
          </w:p>
        </w:tc>
        <w:tc>
          <w:tcPr>
            <w:tcW w:w="6000" w:type="dxa"/>
          </w:tcPr>
          <w:p>
            <w:pPr>
              <w:spacing w:before="40" w:after="40"/>
              <w:jc w:val="left"/>
            </w:pPr>
            <w:r>
              <w:rPr>
                <w:color w:val="404040"/>
                <w:sz w:val="20"/>
              </w:rPr>
              <w:t>PIM with approval workflows and MFA</w:t>
            </w:r>
          </w:p>
        </w:tc>
      </w:tr>
      <w:tr>
        <w:tc>
          <w:tcPr>
            <w:tcW w:w="1200" w:type="dxa"/>
          </w:tcPr>
          <w:p>
            <w:pPr>
              <w:spacing w:before="40" w:after="40"/>
              <w:jc w:val="left"/>
            </w:pPr>
            <w:r>
              <w:rPr>
                <w:color w:val="404040"/>
                <w:sz w:val="20"/>
              </w:rPr>
              <w:t>PA-7</w:t>
            </w:r>
          </w:p>
        </w:tc>
        <w:tc>
          <w:tcPr>
            <w:tcW w:w="2800" w:type="dxa"/>
          </w:tcPr>
          <w:p>
            <w:pPr>
              <w:spacing w:before="40" w:after="40"/>
              <w:jc w:val="left"/>
            </w:pPr>
            <w:r>
              <w:rPr>
                <w:color w:val="404040"/>
                <w:sz w:val="20"/>
              </w:rPr>
              <w:t>Least Privilege</w:t>
            </w:r>
          </w:p>
        </w:tc>
        <w:tc>
          <w:tcPr>
            <w:tcW w:w="6000" w:type="dxa"/>
          </w:tcPr>
          <w:p>
            <w:pPr>
              <w:spacing w:before="40" w:after="40"/>
              <w:jc w:val="left"/>
            </w:pPr>
            <w:r>
              <w:rPr>
                <w:color w:val="404040"/>
                <w:sz w:val="20"/>
              </w:rPr>
              <w:t>RBAC with minimal permissions; regular review</w:t>
            </w:r>
          </w:p>
        </w:tc>
      </w:tr>
      <w:tr>
        <w:tc>
          <w:tcPr>
            <w:tcW w:w="1200" w:type="dxa"/>
          </w:tcPr>
          <w:p>
            <w:pPr>
              <w:spacing w:before="40" w:after="40"/>
              <w:jc w:val="left"/>
            </w:pPr>
            <w:r>
              <w:rPr>
                <w:color w:val="404040"/>
                <w:sz w:val="20"/>
              </w:rPr>
              <w:t>BR-1</w:t>
            </w:r>
          </w:p>
        </w:tc>
        <w:tc>
          <w:tcPr>
            <w:tcW w:w="2800" w:type="dxa"/>
          </w:tcPr>
          <w:p>
            <w:pPr>
              <w:spacing w:before="40" w:after="40"/>
              <w:jc w:val="left"/>
            </w:pPr>
            <w:r>
              <w:rPr>
                <w:color w:val="404040"/>
                <w:sz w:val="20"/>
              </w:rPr>
              <w:t>Automated Backups</w:t>
            </w:r>
          </w:p>
        </w:tc>
        <w:tc>
          <w:tcPr>
            <w:tcW w:w="6000" w:type="dxa"/>
          </w:tcPr>
          <w:p>
            <w:pPr>
              <w:spacing w:before="40" w:after="40"/>
              <w:jc w:val="left"/>
            </w:pPr>
            <w:r>
              <w:rPr>
                <w:color w:val="404040"/>
                <w:sz w:val="20"/>
              </w:rPr>
              <w:t>Azure Backup; backup policies via Azure Policy</w:t>
            </w:r>
          </w:p>
        </w:tc>
      </w:tr>
      <w:tr>
        <w:tc>
          <w:tcPr>
            <w:tcW w:w="1200" w:type="dxa"/>
          </w:tcPr>
          <w:p>
            <w:pPr>
              <w:spacing w:before="40" w:after="40"/>
              <w:jc w:val="left"/>
            </w:pPr>
            <w:r>
              <w:rPr>
                <w:color w:val="404040"/>
                <w:sz w:val="20"/>
              </w:rPr>
              <w:t>BR-2</w:t>
            </w:r>
          </w:p>
        </w:tc>
        <w:tc>
          <w:tcPr>
            <w:tcW w:w="2800" w:type="dxa"/>
          </w:tcPr>
          <w:p>
            <w:pPr>
              <w:spacing w:before="40" w:after="40"/>
              <w:jc w:val="left"/>
            </w:pPr>
            <w:r>
              <w:rPr>
                <w:color w:val="404040"/>
                <w:sz w:val="20"/>
              </w:rPr>
              <w:t>Protect Backup Data</w:t>
            </w:r>
          </w:p>
        </w:tc>
        <w:tc>
          <w:tcPr>
            <w:tcW w:w="6000" w:type="dxa"/>
          </w:tcPr>
          <w:p>
            <w:pPr>
              <w:spacing w:before="40" w:after="40"/>
              <w:jc w:val="left"/>
            </w:pPr>
            <w:r>
              <w:rPr>
                <w:color w:val="404040"/>
                <w:sz w:val="20"/>
              </w:rPr>
              <w:t>Encryption; geo-redundant storage; soft delete</w:t>
            </w:r>
          </w:p>
        </w:tc>
      </w:tr>
      <w:tr>
        <w:tc>
          <w:tcPr>
            <w:tcW w:w="1200" w:type="dxa"/>
          </w:tcPr>
          <w:p>
            <w:pPr>
              <w:spacing w:before="40" w:after="40"/>
              <w:jc w:val="left"/>
            </w:pPr>
            <w:r>
              <w:rPr>
                <w:color w:val="404040"/>
                <w:sz w:val="20"/>
              </w:rPr>
              <w:t>BR-3</w:t>
            </w:r>
          </w:p>
        </w:tc>
        <w:tc>
          <w:tcPr>
            <w:tcW w:w="2800" w:type="dxa"/>
          </w:tcPr>
          <w:p>
            <w:pPr>
              <w:spacing w:before="40" w:after="40"/>
              <w:jc w:val="left"/>
            </w:pPr>
            <w:r>
              <w:rPr>
                <w:color w:val="404040"/>
                <w:sz w:val="20"/>
              </w:rPr>
              <w:t>Monitor Backups</w:t>
            </w:r>
          </w:p>
        </w:tc>
        <w:tc>
          <w:tcPr>
            <w:tcW w:w="6000" w:type="dxa"/>
          </w:tcPr>
          <w:p>
            <w:pPr>
              <w:spacing w:before="40" w:after="40"/>
              <w:jc w:val="left"/>
            </w:pPr>
            <w:r>
              <w:rPr>
                <w:color w:val="404040"/>
                <w:sz w:val="20"/>
              </w:rPr>
              <w:t>Azure Monitor alerts for backup failures</w:t>
            </w:r>
          </w:p>
        </w:tc>
      </w:tr>
      <w:tr>
        <w:tc>
          <w:tcPr>
            <w:tcW w:w="1200" w:type="dxa"/>
          </w:tcPr>
          <w:p>
            <w:pPr>
              <w:spacing w:before="40" w:after="40"/>
              <w:jc w:val="left"/>
            </w:pPr>
            <w:r>
              <w:rPr>
                <w:color w:val="404040"/>
                <w:sz w:val="20"/>
              </w:rPr>
              <w:t>BR-4</w:t>
            </w:r>
          </w:p>
        </w:tc>
        <w:tc>
          <w:tcPr>
            <w:tcW w:w="2800" w:type="dxa"/>
          </w:tcPr>
          <w:p>
            <w:pPr>
              <w:spacing w:before="40" w:after="40"/>
              <w:jc w:val="left"/>
            </w:pPr>
            <w:r>
              <w:rPr>
                <w:color w:val="404040"/>
                <w:sz w:val="20"/>
              </w:rPr>
              <w:t>Test Backup Recovery</w:t>
            </w:r>
          </w:p>
        </w:tc>
        <w:tc>
          <w:tcPr>
            <w:tcW w:w="6000" w:type="dxa"/>
          </w:tcPr>
          <w:p>
            <w:pPr>
              <w:spacing w:before="40" w:after="40"/>
              <w:jc w:val="left"/>
            </w:pPr>
            <w:r>
              <w:rPr>
                <w:color w:val="404040"/>
                <w:sz w:val="20"/>
              </w:rPr>
              <w:t>Regular restore drills; documented procedures</w:t>
            </w:r>
          </w:p>
        </w:tc>
      </w:tr>
      <w:tr>
        <w:tc>
          <w:tcPr>
            <w:tcW w:w="1200" w:type="dxa"/>
          </w:tcPr>
          <w:p>
            <w:pPr>
              <w:spacing w:before="40" w:after="40"/>
              <w:jc w:val="left"/>
            </w:pPr>
            <w:r>
              <w:rPr>
                <w:color w:val="404040"/>
                <w:sz w:val="20"/>
              </w:rPr>
              <w:t>DS-1</w:t>
            </w:r>
          </w:p>
        </w:tc>
        <w:tc>
          <w:tcPr>
            <w:tcW w:w="2800" w:type="dxa"/>
          </w:tcPr>
          <w:p>
            <w:pPr>
              <w:spacing w:before="40" w:after="40"/>
              <w:jc w:val="left"/>
            </w:pPr>
            <w:r>
              <w:rPr>
                <w:color w:val="404040"/>
                <w:sz w:val="20"/>
              </w:rPr>
              <w:t>Threat Modeling</w:t>
            </w:r>
          </w:p>
        </w:tc>
        <w:tc>
          <w:tcPr>
            <w:tcW w:w="6000" w:type="dxa"/>
          </w:tcPr>
          <w:p>
            <w:pPr>
              <w:spacing w:before="40" w:after="40"/>
              <w:jc w:val="left"/>
            </w:pPr>
            <w:r>
              <w:rPr>
                <w:color w:val="404040"/>
                <w:sz w:val="20"/>
              </w:rPr>
              <w:t>Microsoft Threat Modeling Tool; STRIDE methodology</w:t>
            </w:r>
          </w:p>
        </w:tc>
      </w:tr>
      <w:tr>
        <w:tc>
          <w:tcPr>
            <w:tcW w:w="1200" w:type="dxa"/>
          </w:tcPr>
          <w:p>
            <w:pPr>
              <w:spacing w:before="40" w:after="40"/>
              <w:jc w:val="left"/>
            </w:pPr>
            <w:r>
              <w:rPr>
                <w:color w:val="404040"/>
                <w:sz w:val="20"/>
              </w:rPr>
              <w:t>DS-2</w:t>
            </w:r>
          </w:p>
        </w:tc>
        <w:tc>
          <w:tcPr>
            <w:tcW w:w="2800" w:type="dxa"/>
          </w:tcPr>
          <w:p>
            <w:pPr>
              <w:spacing w:before="40" w:after="40"/>
              <w:jc w:val="left"/>
            </w:pPr>
            <w:r>
              <w:rPr>
                <w:color w:val="404040"/>
                <w:sz w:val="20"/>
              </w:rPr>
              <w:t>Secure Supply Chain</w:t>
            </w:r>
          </w:p>
        </w:tc>
        <w:tc>
          <w:tcPr>
            <w:tcW w:w="6000" w:type="dxa"/>
          </w:tcPr>
          <w:p>
            <w:pPr>
              <w:spacing w:before="40" w:after="40"/>
              <w:jc w:val="left"/>
            </w:pPr>
            <w:r>
              <w:rPr>
                <w:color w:val="404040"/>
                <w:sz w:val="20"/>
              </w:rPr>
              <w:t>Azure DevOps security; artifact signing</w:t>
            </w:r>
          </w:p>
        </w:tc>
      </w:tr>
      <w:tr>
        <w:tc>
          <w:tcPr>
            <w:tcW w:w="1200" w:type="dxa"/>
          </w:tcPr>
          <w:p>
            <w:pPr>
              <w:spacing w:before="40" w:after="40"/>
              <w:jc w:val="left"/>
            </w:pPr>
            <w:r>
              <w:rPr>
                <w:color w:val="404040"/>
                <w:sz w:val="20"/>
              </w:rPr>
              <w:t>DS-3</w:t>
            </w:r>
          </w:p>
        </w:tc>
        <w:tc>
          <w:tcPr>
            <w:tcW w:w="2800" w:type="dxa"/>
          </w:tcPr>
          <w:p>
            <w:pPr>
              <w:spacing w:before="40" w:after="40"/>
              <w:jc w:val="left"/>
            </w:pPr>
            <w:r>
              <w:rPr>
                <w:color w:val="404040"/>
                <w:sz w:val="20"/>
              </w:rPr>
              <w:t>Secure DevOps Infra</w:t>
            </w:r>
          </w:p>
        </w:tc>
        <w:tc>
          <w:tcPr>
            <w:tcW w:w="6000" w:type="dxa"/>
          </w:tcPr>
          <w:p>
            <w:pPr>
              <w:spacing w:before="40" w:after="40"/>
              <w:jc w:val="left"/>
            </w:pPr>
            <w:r>
              <w:rPr>
                <w:color w:val="404040"/>
                <w:sz w:val="20"/>
              </w:rPr>
              <w:t>Private agents; secure pipeline variables</w:t>
            </w:r>
          </w:p>
        </w:tc>
      </w:tr>
      <w:tr>
        <w:tc>
          <w:tcPr>
            <w:tcW w:w="1200" w:type="dxa"/>
          </w:tcPr>
          <w:p>
            <w:pPr>
              <w:spacing w:before="40" w:after="40"/>
              <w:jc w:val="left"/>
            </w:pPr>
            <w:r>
              <w:rPr>
                <w:color w:val="404040"/>
                <w:sz w:val="20"/>
              </w:rPr>
              <w:t>DS-6</w:t>
            </w:r>
          </w:p>
        </w:tc>
        <w:tc>
          <w:tcPr>
            <w:tcW w:w="2800" w:type="dxa"/>
          </w:tcPr>
          <w:p>
            <w:pPr>
              <w:spacing w:before="40" w:after="40"/>
              <w:jc w:val="left"/>
            </w:pPr>
            <w:r>
              <w:rPr>
                <w:color w:val="404040"/>
                <w:sz w:val="20"/>
              </w:rPr>
              <w:t>Workload Lifecycle</w:t>
            </w:r>
          </w:p>
        </w:tc>
        <w:tc>
          <w:tcPr>
            <w:tcW w:w="6000" w:type="dxa"/>
          </w:tcPr>
          <w:p>
            <w:pPr>
              <w:spacing w:before="40" w:after="40"/>
              <w:jc w:val="left"/>
            </w:pPr>
            <w:r>
              <w:rPr>
                <w:color w:val="404040"/>
                <w:sz w:val="20"/>
              </w:rPr>
              <w:t>IaC; canary deployments; automated rollback</w:t>
            </w:r>
          </w:p>
        </w:tc>
      </w:tr>
      <w:tr>
        <w:tc>
          <w:tcPr>
            <w:tcW w:w="1200" w:type="dxa"/>
          </w:tcPr>
          <w:p>
            <w:pPr>
              <w:spacing w:before="40" w:after="40"/>
              <w:jc w:val="left"/>
            </w:pPr>
            <w:r>
              <w:rPr>
                <w:color w:val="404040"/>
                <w:sz w:val="20"/>
              </w:rPr>
              <w:t>DS-7</w:t>
            </w:r>
          </w:p>
        </w:tc>
        <w:tc>
          <w:tcPr>
            <w:tcW w:w="2800" w:type="dxa"/>
          </w:tcPr>
          <w:p>
            <w:pPr>
              <w:spacing w:before="40" w:after="40"/>
              <w:jc w:val="left"/>
            </w:pPr>
            <w:r>
              <w:rPr>
                <w:color w:val="404040"/>
                <w:sz w:val="20"/>
              </w:rPr>
              <w:t>DevOps Logging</w:t>
            </w:r>
          </w:p>
        </w:tc>
        <w:tc>
          <w:tcPr>
            <w:tcW w:w="6000" w:type="dxa"/>
          </w:tcPr>
          <w:p>
            <w:pPr>
              <w:spacing w:before="40" w:after="40"/>
              <w:jc w:val="left"/>
            </w:pPr>
            <w:r>
              <w:rPr>
                <w:color w:val="404040"/>
                <w:sz w:val="20"/>
              </w:rPr>
              <w:t>Pipeline diagnostics; audit logs; Sentinel integration</w:t>
            </w:r>
          </w:p>
        </w:tc>
      </w:tr>
    </w:tbl>
    <w:p>
      <w:pPr>
        <w:pStyle w:val="Heading2"/>
      </w:pPr>
      <w:r>
        <w:t>Key Azure Services for CIS Implementation</w:t>
      </w:r>
    </w:p>
    <w:p>
      <w:r>
        <w:t>The following Azure-native services provide the primary mechanisms for implementing CIS Controls within your Landing Zone:</w:t>
      </w:r>
    </w:p>
    <w:p>
      <w:pPr>
        <w:pStyle w:val="Heading3"/>
      </w:pPr>
      <w:r>
        <w:t>Azure Policy</w:t>
      </w:r>
    </w:p>
    <w:p>
      <w:r>
        <w:t>Azure Policy is the primary enforcement engine for CIS Controls. Built-in policy initiatives align with CIS benchmarks and can be assigned at management group scope to enforce configuration baselines, tagging requirements, encryption standards, and network security rules across all subscriptions.</w:t>
      </w:r>
    </w:p>
    <w:p>
      <w:pPr>
        <w:pStyle w:val="Heading3"/>
      </w:pPr>
      <w:r>
        <w:t>Microsoft Defender for Cloud</w:t>
      </w:r>
    </w:p>
    <w:p>
      <w:r>
        <w:t>Defender for Cloud provides continuous security assessment and threat detection. Its Secure Score feature directly maps to CIS Control implementation, providing visibility into your security posture and automated recommendations for improvement.</w:t>
      </w:r>
    </w:p>
    <w:p>
      <w:pPr>
        <w:pStyle w:val="Heading3"/>
      </w:pPr>
      <w:r>
        <w:t>Microsoft Sentinel</w:t>
      </w:r>
    </w:p>
    <w:p>
      <w:r>
        <w:t>Sentinel serves as the SIEM and SOAR platform for threat detection, incident response, and audit log management. It aggregates security data from all Azure resources and provides built-in analytics rules aligned with CIS Detective Controls.</w:t>
      </w:r>
    </w:p>
    <w:p>
      <w:pPr>
        <w:pStyle w:val="Heading3"/>
      </w:pPr>
      <w:r>
        <w:t>Microsoft Entra ID</w:t>
      </w:r>
    </w:p>
    <w:p>
      <w:r>
        <w:t>Entra ID (formerly Azure AD) provides identity management, conditional access, PIM, and authentication services that directly implement the CIS Controls for Identity Management, Privileged Access, and Access Control.</w:t>
      </w:r>
    </w:p>
    <w:p>
      <w:pPr>
        <w:pageBreakBefore/>
      </w:pPr>
    </w:p>
    <w:p>
      <w:pPr>
        <w:pStyle w:val="Heading1"/>
      </w:pPr>
      <w:r>
        <w:t>Implementation Roadmap</w:t>
      </w:r>
      <w:bookmarkStart w:name="_Toc012" w:id="13"/>
      <w:bookmarkEnd w:id="13"/>
    </w:p>
    <w:p>
      <w:r>
        <w:t>This section provides a pragmatic order of operations for deploying your Azure Landing Zone with CIS Controls integration. The phased approach ensures foundational elements are in place before dependent services are deployed.</w:t>
      </w:r>
    </w:p>
    <w:p>
      <w:pPr>
        <w:pStyle w:val="Heading2"/>
      </w:pPr>
      <w:r>
        <w:t>Phase 1: Foundation (Weeks 1-2)</w:t>
      </w:r>
    </w:p>
    <w:p>
      <w:pPr>
        <w:numPr>
          <w:ilvl w:val="0"/>
          <w:numId w:val="1"/>
        </w:numPr>
      </w:pPr>
      <w:r>
        <w:t>Establish Azure enrollment and billing structure</w:t>
      </w:r>
    </w:p>
    <w:p>
      <w:pPr>
        <w:numPr>
          <w:ilvl w:val="0"/>
          <w:numId w:val="1"/>
        </w:numPr>
      </w:pPr>
      <w:r>
        <w:t>Create single authoritative Microsoft Entra tenant</w:t>
      </w:r>
    </w:p>
    <w:p>
      <w:pPr>
        <w:numPr>
          <w:ilvl w:val="0"/>
          <w:numId w:val="1"/>
        </w:numPr>
      </w:pPr>
      <w:r>
        <w:t>Deploy management group hierarchy</w:t>
      </w:r>
    </w:p>
    <w:p>
      <w:pPr>
        <w:numPr>
          <w:ilvl w:val="0"/>
          <w:numId w:val="1"/>
        </w:numPr>
      </w:pPr>
      <w:r>
        <w:t>Configure break-glass accounts</w:t>
      </w:r>
    </w:p>
    <w:p>
      <w:pPr>
        <w:numPr>
          <w:ilvl w:val="0"/>
          <w:numId w:val="1"/>
        </w:numPr>
      </w:pPr>
      <w:r>
        <w:t>Implement baseline conditional access policies</w:t>
      </w:r>
    </w:p>
    <w:p>
      <w:pPr>
        <w:pStyle w:val="Heading2"/>
      </w:pPr>
      <w:r>
        <w:t>Phase 2: Identity &amp; Governance (Weeks 3-4)</w:t>
      </w:r>
    </w:p>
    <w:p>
      <w:pPr>
        <w:numPr>
          <w:ilvl w:val="0"/>
          <w:numId w:val="1"/>
        </w:numPr>
      </w:pPr>
      <w:r>
        <w:t>Deploy PIM and configure privileged roles</w:t>
      </w:r>
    </w:p>
    <w:p>
      <w:pPr>
        <w:numPr>
          <w:ilvl w:val="0"/>
          <w:numId w:val="1"/>
        </w:numPr>
      </w:pPr>
      <w:r>
        <w:t>Implement MFA for all users</w:t>
      </w:r>
    </w:p>
    <w:p>
      <w:pPr>
        <w:numPr>
          <w:ilvl w:val="0"/>
          <w:numId w:val="1"/>
        </w:numPr>
      </w:pPr>
      <w:r>
        <w:t>Deploy Azure Policy baseline (CIS, ISO 27001)</w:t>
      </w:r>
    </w:p>
    <w:p>
      <w:pPr>
        <w:numPr>
          <w:ilvl w:val="0"/>
          <w:numId w:val="1"/>
        </w:numPr>
      </w:pPr>
      <w:r>
        <w:t>Configure subscription vending</w:t>
      </w:r>
    </w:p>
    <w:p>
      <w:pPr>
        <w:numPr>
          <w:ilvl w:val="0"/>
          <w:numId w:val="1"/>
        </w:numPr>
      </w:pPr>
      <w:r>
        <w:t>Implement tagging strategy</w:t>
      </w:r>
    </w:p>
    <w:p>
      <w:pPr>
        <w:pStyle w:val="Heading2"/>
      </w:pPr>
      <w:r>
        <w:t>Phase 3: Network (Weeks 5-6)</w:t>
      </w:r>
    </w:p>
    <w:p>
      <w:pPr>
        <w:numPr>
          <w:ilvl w:val="0"/>
          <w:numId w:val="1"/>
        </w:numPr>
      </w:pPr>
      <w:r>
        <w:t>Deploy connectivity subscription and hub network</w:t>
      </w:r>
    </w:p>
    <w:p>
      <w:pPr>
        <w:numPr>
          <w:ilvl w:val="0"/>
          <w:numId w:val="1"/>
        </w:numPr>
      </w:pPr>
      <w:r>
        <w:t>Configure Azure Firewall or NVAs</w:t>
      </w:r>
    </w:p>
    <w:p>
      <w:pPr>
        <w:numPr>
          <w:ilvl w:val="0"/>
          <w:numId w:val="1"/>
        </w:numPr>
      </w:pPr>
      <w:r>
        <w:t>Implement Private DNS zones</w:t>
      </w:r>
    </w:p>
    <w:p>
      <w:pPr>
        <w:numPr>
          <w:ilvl w:val="0"/>
          <w:numId w:val="1"/>
        </w:numPr>
      </w:pPr>
      <w:r>
        <w:t>Configure ExpressRoute/VPN connectivity</w:t>
      </w:r>
    </w:p>
    <w:p>
      <w:pPr>
        <w:numPr>
          <w:ilvl w:val="0"/>
          <w:numId w:val="1"/>
        </w:numPr>
      </w:pPr>
      <w:r>
        <w:t>Enable DDoS Protection Standard</w:t>
      </w:r>
    </w:p>
    <w:p>
      <w:pPr>
        <w:pStyle w:val="Heading2"/>
      </w:pPr>
      <w:r>
        <w:t>Phase 4: Security (Weeks 7-8)</w:t>
      </w:r>
    </w:p>
    <w:p>
      <w:pPr>
        <w:numPr>
          <w:ilvl w:val="0"/>
          <w:numId w:val="1"/>
        </w:numPr>
      </w:pPr>
      <w:r>
        <w:t>Deploy Microsoft Sentinel in Security subscription</w:t>
      </w:r>
    </w:p>
    <w:p>
      <w:pPr>
        <w:numPr>
          <w:ilvl w:val="0"/>
          <w:numId w:val="1"/>
        </w:numPr>
      </w:pPr>
      <w:r>
        <w:t>Enable all Defender for Cloud plans</w:t>
      </w:r>
    </w:p>
    <w:p>
      <w:pPr>
        <w:numPr>
          <w:ilvl w:val="0"/>
          <w:numId w:val="1"/>
        </w:numPr>
      </w:pPr>
      <w:r>
        <w:t>Configure Key Vault infrastructure</w:t>
      </w:r>
    </w:p>
    <w:p>
      <w:pPr>
        <w:numPr>
          <w:ilvl w:val="0"/>
          <w:numId w:val="1"/>
        </w:numPr>
      </w:pPr>
      <w:r>
        <w:t>Implement secrets management</w:t>
      </w:r>
    </w:p>
    <w:p>
      <w:pPr>
        <w:numPr>
          <w:ilvl w:val="0"/>
          <w:numId w:val="1"/>
        </w:numPr>
      </w:pPr>
      <w:r>
        <w:t>Configure diagnostic settings for all resources</w:t>
      </w:r>
    </w:p>
    <w:p>
      <w:pPr>
        <w:pStyle w:val="Heading2"/>
      </w:pPr>
      <w:r>
        <w:t>Phase 5: Management (Weeks 9-10)</w:t>
      </w:r>
    </w:p>
    <w:p>
      <w:pPr>
        <w:numPr>
          <w:ilvl w:val="0"/>
          <w:numId w:val="1"/>
        </w:numPr>
      </w:pPr>
      <w:r>
        <w:t>Deploy Log Analytics workspace(s)</w:t>
      </w:r>
    </w:p>
    <w:p>
      <w:pPr>
        <w:numPr>
          <w:ilvl w:val="0"/>
          <w:numId w:val="1"/>
        </w:numPr>
      </w:pPr>
      <w:r>
        <w:t>Deploy Azure Monitor Agent (AMA)</w:t>
      </w:r>
    </w:p>
    <w:p>
      <w:pPr>
        <w:numPr>
          <w:ilvl w:val="0"/>
          <w:numId w:val="1"/>
        </w:numPr>
      </w:pPr>
      <w:r>
        <w:t>Configure backup policies</w:t>
      </w:r>
    </w:p>
    <w:p>
      <w:pPr>
        <w:numPr>
          <w:ilvl w:val="0"/>
          <w:numId w:val="1"/>
        </w:numPr>
      </w:pPr>
      <w:r>
        <w:t>Implement update management</w:t>
      </w:r>
    </w:p>
    <w:p>
      <w:pPr>
        <w:numPr>
          <w:ilvl w:val="0"/>
          <w:numId w:val="1"/>
        </w:numPr>
      </w:pPr>
      <w:r>
        <w:t>Deploy automation accounts and runbooks</w:t>
      </w:r>
    </w:p>
    <w:p>
      <w:pPr>
        <w:pStyle w:val="Heading2"/>
      </w:pPr>
      <w:r>
        <w:t>Phase 6: Automation &amp; Validation (Weeks 11-12)</w:t>
      </w:r>
    </w:p>
    <w:p>
      <w:pPr>
        <w:numPr>
          <w:ilvl w:val="0"/>
          <w:numId w:val="1"/>
        </w:numPr>
      </w:pPr>
      <w:r>
        <w:t>Implement IaC pipelines with AVM modules</w:t>
      </w:r>
    </w:p>
    <w:p>
      <w:pPr>
        <w:numPr>
          <w:ilvl w:val="0"/>
          <w:numId w:val="1"/>
        </w:numPr>
      </w:pPr>
      <w:r>
        <w:t>Deploy canary/test environments</w:t>
      </w:r>
    </w:p>
    <w:p>
      <w:pPr>
        <w:numPr>
          <w:ilvl w:val="0"/>
          <w:numId w:val="1"/>
        </w:numPr>
      </w:pPr>
      <w:r>
        <w:t>Validate CIS Controls compliance</w:t>
      </w:r>
    </w:p>
    <w:p>
      <w:pPr>
        <w:numPr>
          <w:ilvl w:val="0"/>
          <w:numId w:val="1"/>
        </w:numPr>
      </w:pPr>
      <w:r>
        <w:t>Conduct security assessment</w:t>
      </w:r>
    </w:p>
    <w:p>
      <w:pPr>
        <w:numPr>
          <w:ilvl w:val="0"/>
          <w:numId w:val="1"/>
        </w:numPr>
      </w:pPr>
      <w:r>
        <w:t>Deploy pilot workload</w:t>
      </w:r>
    </w:p>
    <w:p>
      <w:pPr>
        <w:pStyle w:val="Heading2"/>
      </w:pPr>
      <w:r>
        <w:t>Definition of Done per Design Area</w:t>
      </w:r>
    </w:p>
    <w:tbl>
      <w:tblPr>
        <w:tblW w:w="5000" w:type="pct"/>
        <w:tblBorders>
          <w:top w:val="single" w:color="5F2861" w:sz="12"/>
          <w:bottom w:val="single" w:color="5F2861" w:sz="12"/>
          <w:insideH w:val="single" w:color="D9D9D9" w:sz="4"/>
        </w:tblBorders>
      </w:tblPr>
      <w:tblGrid>
        <w:gridCol w:w="2800"/>
        <w:gridCol w:w="7200"/>
      </w:tblGrid>
      <w:tr>
        <w:trPr>
          <w:tblHeader/>
        </w:trPr>
        <w:tc>
          <w:tcPr>
            <w:tcW w:w="2800" w:type="dxa"/>
            <w:shd w:val="clear" w:fill="F2EEF2"/>
          </w:tcPr>
          <w:p>
            <w:pPr>
              <w:spacing w:before="40" w:after="40"/>
              <w:jc w:val="left"/>
            </w:pPr>
            <w:r>
              <w:rPr>
                <w:b/>
                <w:color w:val="1a202c"/>
                <w:sz w:val="20"/>
              </w:rPr>
              <w:t>Design Area</w:t>
            </w:r>
          </w:p>
        </w:tc>
        <w:tc>
          <w:tcPr>
            <w:tcW w:w="7200" w:type="dxa"/>
            <w:shd w:val="clear" w:fill="F2EEF2"/>
          </w:tcPr>
          <w:p>
            <w:pPr>
              <w:spacing w:before="40" w:after="40"/>
              <w:jc w:val="left"/>
            </w:pPr>
            <w:r>
              <w:rPr>
                <w:b/>
                <w:color w:val="1a202c"/>
                <w:sz w:val="20"/>
              </w:rPr>
              <w:t>Definition of Done</w:t>
            </w:r>
          </w:p>
        </w:tc>
      </w:tr>
      <w:tr>
        <w:tc>
          <w:tcPr>
            <w:tcW w:w="2800" w:type="dxa"/>
          </w:tcPr>
          <w:p>
            <w:pPr>
              <w:spacing w:before="40" w:after="40"/>
              <w:jc w:val="left"/>
            </w:pPr>
            <w:r>
              <w:rPr>
                <w:color w:val="404040"/>
                <w:sz w:val="20"/>
              </w:rPr>
              <w:t>Tenant &amp; Billing</w:t>
            </w:r>
          </w:p>
        </w:tc>
        <w:tc>
          <w:tcPr>
            <w:tcW w:w="7200" w:type="dxa"/>
          </w:tcPr>
          <w:p>
            <w:pPr>
              <w:spacing w:before="40" w:after="40"/>
              <w:jc w:val="left"/>
            </w:pPr>
            <w:r>
              <w:rPr>
                <w:color w:val="404040"/>
                <w:sz w:val="20"/>
              </w:rPr>
              <w:t>Enrollment verified; cost owner documented; incident contacts set</w:t>
            </w:r>
          </w:p>
        </w:tc>
      </w:tr>
      <w:tr>
        <w:tc>
          <w:tcPr>
            <w:tcW w:w="2800" w:type="dxa"/>
          </w:tcPr>
          <w:p>
            <w:pPr>
              <w:spacing w:before="40" w:after="40"/>
              <w:jc w:val="left"/>
            </w:pPr>
            <w:r>
              <w:rPr>
                <w:color w:val="404040"/>
                <w:sz w:val="20"/>
              </w:rPr>
              <w:t>Identity &amp; Access</w:t>
            </w:r>
          </w:p>
        </w:tc>
        <w:tc>
          <w:tcPr>
            <w:tcW w:w="7200" w:type="dxa"/>
          </w:tcPr>
          <w:p>
            <w:pPr>
              <w:spacing w:before="40" w:after="40"/>
              <w:jc w:val="left"/>
            </w:pPr>
            <w:r>
              <w:rPr>
                <w:color w:val="404040"/>
                <w:sz w:val="20"/>
              </w:rPr>
              <w:t>PIM + MFA enforced; break-glass tested; RBAC model documented</w:t>
            </w:r>
          </w:p>
        </w:tc>
      </w:tr>
      <w:tr>
        <w:tc>
          <w:tcPr>
            <w:tcW w:w="2800" w:type="dxa"/>
          </w:tcPr>
          <w:p>
            <w:pPr>
              <w:spacing w:before="40" w:after="40"/>
              <w:jc w:val="left"/>
            </w:pPr>
            <w:r>
              <w:rPr>
                <w:color w:val="404040"/>
                <w:sz w:val="20"/>
              </w:rPr>
              <w:t>Resource Organization</w:t>
            </w:r>
          </w:p>
        </w:tc>
        <w:tc>
          <w:tcPr>
            <w:tcW w:w="7200" w:type="dxa"/>
          </w:tcPr>
          <w:p>
            <w:pPr>
              <w:spacing w:before="40" w:after="40"/>
              <w:jc w:val="left"/>
            </w:pPr>
            <w:r>
              <w:rPr>
                <w:color w:val="404040"/>
                <w:sz w:val="20"/>
              </w:rPr>
              <w:t>MG hierarchy deployed; subscription vending live; tags enforced</w:t>
            </w:r>
          </w:p>
        </w:tc>
      </w:tr>
      <w:tr>
        <w:tc>
          <w:tcPr>
            <w:tcW w:w="2800" w:type="dxa"/>
          </w:tcPr>
          <w:p>
            <w:pPr>
              <w:spacing w:before="40" w:after="40"/>
              <w:jc w:val="left"/>
            </w:pPr>
            <w:r>
              <w:rPr>
                <w:color w:val="404040"/>
                <w:sz w:val="20"/>
              </w:rPr>
              <w:t>Network</w:t>
            </w:r>
          </w:p>
        </w:tc>
        <w:tc>
          <w:tcPr>
            <w:tcW w:w="7200" w:type="dxa"/>
          </w:tcPr>
          <w:p>
            <w:pPr>
              <w:spacing w:before="40" w:after="40"/>
              <w:jc w:val="left"/>
            </w:pPr>
            <w:r>
              <w:rPr>
                <w:color w:val="404040"/>
                <w:sz w:val="20"/>
              </w:rPr>
              <w:t>Topology deployed; DNS standardized; hybrid links resilient</w:t>
            </w:r>
          </w:p>
        </w:tc>
      </w:tr>
      <w:tr>
        <w:tc>
          <w:tcPr>
            <w:tcW w:w="2800" w:type="dxa"/>
          </w:tcPr>
          <w:p>
            <w:pPr>
              <w:spacing w:before="40" w:after="40"/>
              <w:jc w:val="left"/>
            </w:pPr>
            <w:r>
              <w:rPr>
                <w:color w:val="404040"/>
                <w:sz w:val="20"/>
              </w:rPr>
              <w:t>Security</w:t>
            </w:r>
          </w:p>
        </w:tc>
        <w:tc>
          <w:tcPr>
            <w:tcW w:w="7200" w:type="dxa"/>
          </w:tcPr>
          <w:p>
            <w:pPr>
              <w:spacing w:before="40" w:after="40"/>
              <w:jc w:val="left"/>
            </w:pPr>
            <w:r>
              <w:rPr>
                <w:color w:val="404040"/>
                <w:sz w:val="20"/>
              </w:rPr>
              <w:t>Defender plans scoped; Sentinel strategy defined; secrets hygiene</w:t>
            </w:r>
          </w:p>
        </w:tc>
      </w:tr>
      <w:tr>
        <w:tc>
          <w:tcPr>
            <w:tcW w:w="2800" w:type="dxa"/>
          </w:tcPr>
          <w:p>
            <w:pPr>
              <w:spacing w:before="40" w:after="40"/>
              <w:jc w:val="left"/>
            </w:pPr>
            <w:r>
              <w:rPr>
                <w:color w:val="404040"/>
                <w:sz w:val="20"/>
              </w:rPr>
              <w:t>Management</w:t>
            </w:r>
          </w:p>
        </w:tc>
        <w:tc>
          <w:tcPr>
            <w:tcW w:w="7200" w:type="dxa"/>
          </w:tcPr>
          <w:p>
            <w:pPr>
              <w:spacing w:before="40" w:after="40"/>
              <w:jc w:val="left"/>
            </w:pPr>
            <w:r>
              <w:rPr>
                <w:color w:val="404040"/>
                <w:sz w:val="20"/>
              </w:rPr>
              <w:t>LAW with AMA DCRs; update/backup policies assigned</w:t>
            </w:r>
          </w:p>
        </w:tc>
      </w:tr>
      <w:tr>
        <w:tc>
          <w:tcPr>
            <w:tcW w:w="2800" w:type="dxa"/>
          </w:tcPr>
          <w:p>
            <w:pPr>
              <w:spacing w:before="40" w:after="40"/>
              <w:jc w:val="left"/>
            </w:pPr>
            <w:r>
              <w:rPr>
                <w:color w:val="404040"/>
                <w:sz w:val="20"/>
              </w:rPr>
              <w:t>Governance</w:t>
            </w:r>
          </w:p>
        </w:tc>
        <w:tc>
          <w:tcPr>
            <w:tcW w:w="7200" w:type="dxa"/>
          </w:tcPr>
          <w:p>
            <w:pPr>
              <w:spacing w:before="40" w:after="40"/>
              <w:jc w:val="left"/>
            </w:pPr>
            <w:r>
              <w:rPr>
                <w:color w:val="404040"/>
                <w:sz w:val="20"/>
              </w:rPr>
              <w:t>Regulatory initiatives assigned; exemption workflow; drift report</w:t>
            </w:r>
          </w:p>
        </w:tc>
      </w:tr>
      <w:tr>
        <w:tc>
          <w:tcPr>
            <w:tcW w:w="2800" w:type="dxa"/>
          </w:tcPr>
          <w:p>
            <w:pPr>
              <w:spacing w:before="40" w:after="40"/>
              <w:jc w:val="left"/>
            </w:pPr>
            <w:r>
              <w:rPr>
                <w:color w:val="404040"/>
                <w:sz w:val="20"/>
              </w:rPr>
              <w:t>Automation &amp; DevOps</w:t>
            </w:r>
          </w:p>
        </w:tc>
        <w:tc>
          <w:tcPr>
            <w:tcW w:w="7200" w:type="dxa"/>
          </w:tcPr>
          <w:p>
            <w:pPr>
              <w:spacing w:before="40" w:after="40"/>
              <w:jc w:val="left"/>
            </w:pPr>
            <w:r>
              <w:rPr>
                <w:color w:val="404040"/>
                <w:sz w:val="20"/>
              </w:rPr>
              <w:t>ALZ Accelerator + AVM in CI/CD; canary environment deployed</w:t>
            </w:r>
          </w:p>
        </w:tc>
      </w:tr>
    </w:tbl>
    <w:p>
      <w:pPr>
        <w:sectPr>
          <w:headerReference w:type="default" r:id="R59605dfcd12e4b58"/>
          <w:footerReference w:type="default" r:id="R57925640f2c34287"/>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Bg"/>
            <wp:cNvGraphicFramePr>
              <a:graphicFrameLocks noChangeAspect="1"/>
            </wp:cNvGraphicFramePr>
            <a:graphic>
              <a:graphicData uri="http://schemas.openxmlformats.org/drawingml/2006/picture">
                <pic:pic>
                  <pic:nvPicPr>
                    <pic:cNvPr id="0" name="BackBg.png"/>
                    <pic:cNvPicPr/>
                  </pic:nvPicPr>
                  <pic:blipFill>
                    <a:blip r:embed="R2b980f2f6e294273"/>
                    <a:stretch>
                      <a:fillRect/>
                    </a:stretch>
                  </pic:blipFill>
                  <pic:spPr>
                    <a:xfrm>
                      <a:off x="0" y="0"/>
                      <a:ext cx="7560000" cy="10692000"/>
                    </a:xfrm>
                    <a:prstGeom prst="rect"/>
                  </pic:spPr>
                </pic:pic>
              </a:graphicData>
            </a:graphic>
          </wp:anchor>
        </w:drawing>
      </w:r>
    </w:p>
    <w:p>
      <w:pPr>
        <w:spacing w:before="7000"/>
        <w:jc w:val="center"/>
      </w:pPr>
      <w:r>
        <w:rPr>
          <w:b/>
          <w:color w:val="7030A0"/>
          <w:sz w:val="48"/>
        </w:rPr>
        <w:t>Azure Landing Zone Design Template</w:t>
      </w:r>
    </w:p>
    <w:p>
      <w:pPr>
        <w:spacing w:before="400"/>
        <w:jc w:val="center"/>
      </w:pPr>
      <w:r>
        <w:rPr>
          <w:color w:val="404040"/>
          <w:sz w:val="22"/>
        </w:rPr>
        <w:t>Microsoft Cloud Adoption Framework</w:t>
      </w:r>
    </w:p>
    <w:p>
      <w:pPr>
        <w:spacing w:before="200"/>
        <w:jc w:val="center"/>
      </w:pPr>
      <w:r>
        <w:rPr>
          <w:color w:val="646464"/>
          <w:sz w:val="18"/>
        </w:rPr>
        <w:t>CIS Controls v8.1 Implementation Guide</w:t>
      </w:r>
    </w:p>
    <w:p>
      <w:pPr>
        <w:spacing w:before="3000"/>
        <w:jc w:val="center"/>
      </w:pPr>
      <w:r>
        <w:rPr>
          <w:color w:val="646464"/>
          <w:sz w:val="16"/>
        </w:rPr>
        <w:t>May 2026 Edition</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646464"/>
        <w:sz w:val="18"/>
      </w:rPr>
      <w:t xml:space="preserve">Page </w:t>
    </w:r>
    <w:r>
      <w:rPr>
        <w:color w:val="646464"/>
        <w:sz w:val="18"/>
      </w:rPr>
      <w:fldChar w:fldCharType="begin"/>
    </w:r>
    <w:r>
      <w:rPr>
        <w:color w:val="646464"/>
        <w:sz w:val="18"/>
      </w:rPr>
      <w:instrText xml:space="preserve"> PAGE </w:instrText>
    </w:r>
    <w:r>
      <w:rPr>
        <w:color w:val="646464"/>
        <w:sz w:val="18"/>
      </w:rPr>
      <w:fldChar w:fldCharType="separate"/>
    </w:r>
    <w:r>
      <w:rPr>
        <w:color w:val="646464"/>
        <w:sz w:val="18"/>
      </w:rPr>
      <w:t>1</w:t>
    </w:r>
    <w:r>
      <w:rPr>
        <w:color w:val="646464"/>
        <w:sz w:val="18"/>
      </w:rPr>
      <w:fldChar w:fldCharType="end"/>
    </w:r>
    <w:r>
      <w:rPr>
        <w:color w:val="646464"/>
        <w:sz w:val="18"/>
      </w:rPr>
      <w:t xml:space="preserve"> of </w:t>
    </w:r>
    <w:r>
      <w:rPr>
        <w:color w:val="646464"/>
        <w:sz w:val="18"/>
      </w:rPr>
      <w:fldChar w:fldCharType="begin"/>
    </w:r>
    <w:r>
      <w:rPr>
        <w:color w:val="646464"/>
        <w:sz w:val="18"/>
      </w:rPr>
      <w:instrText xml:space="preserve"> NUMPAGES </w:instrText>
    </w:r>
    <w:r>
      <w:rPr>
        <w:color w:val="646464"/>
        <w:sz w:val="18"/>
      </w:rPr>
      <w:fldChar w:fldCharType="separate"/>
    </w:r>
    <w:r>
      <w:rPr>
        <w:color w:val="646464"/>
        <w:sz w:val="18"/>
      </w:rPr>
      <w:t>1</w:t>
    </w:r>
    <w:r>
      <w:rPr>
        <w:color w:val="646464"/>
        <w:sz w:val="18"/>
      </w:rPr>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g"/>
          <wp:cNvGraphicFramePr>
            <a:graphicFrameLocks noChangeAspect="1"/>
          </wp:cNvGraphicFramePr>
          <a:graphic>
            <a:graphicData uri="http://schemas.openxmlformats.org/drawingml/2006/picture">
              <pic:pic>
                <pic:nvPicPr>
                  <pic:cNvPr id="0" name="BodyBg.png"/>
                  <pic:cNvPicPr/>
                </pic:nvPicPr>
                <pic:blipFill>
                  <a:blip r:embed="Re8f75b889f92407b"/>
                  <a:stretch>
                    <a:fillRect/>
                  </a:stretch>
                </pic:blipFill>
                <pic:spPr>
                  <a:xfrm>
                    <a:off x="0" y="0"/>
                    <a:ext cx="7560000" cy="10692000"/>
                  </a:xfrm>
                  <a:prstGeom prst="rect"/>
                </pic:spPr>
              </pic:pic>
            </a:graphicData>
          </a:graphic>
        </wp:anchor>
      </w:drawing>
    </w:r>
  </w:p>
  <w:p>
    <w:pPr>
      <w:jc w:val="right"/>
    </w:pPr>
    <w:r>
      <w:rPr>
        <w:color w:val="646464"/>
        <w:sz w:val="18"/>
      </w:rPr>
      <w:t>Azure Landing Zone Design Template</w:t>
    </w:r>
  </w:p>
</w:hdr>
</file>

<file path=word/numbering.xml><?xml version="1.0" encoding="utf-8"?>
<w:numbering xmlns:w="http://schemas.openxmlformats.org/wordprocessingml/2006/main">
  <w:abstractNum w:abstractNumId="1">
    <w:lvl w:ilvl="0">
      <w:numFmt w:val="bullet"/>
      <w:lvlText w:val="•"/>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200" w:line="312" w:lineRule="auto"/>
    </w:pPr>
    <w:rPr>
      <w:rFonts w:ascii="Calibri" w:hAnsi="Calibri" w:eastAsia="Microsoft YaHei"/>
      <w:color w:val="1a202c"/>
      <w:sz w:val="22"/>
    </w:rPr>
  </w:style>
  <w:style w:type="paragraph" w:styleId="Heading1">
    <w:name w:val="heading 1"/>
    <w:basedOn w:val="Normal"/>
    <w:pPr>
      <w:keepNext/>
      <w:keepLines/>
      <w:spacing w:before="480" w:after="240"/>
      <w:outlineLvl w:val="0"/>
    </w:pPr>
    <w:rPr>
      <w:rFonts w:ascii="Calibri" w:hAnsi="Calibri" w:eastAsia="Microsoft YaHei"/>
      <w:b/>
      <w:color w:val="7030A0"/>
      <w:sz w:val="40"/>
    </w:rPr>
  </w:style>
  <w:style w:type="paragraph" w:styleId="Heading2">
    <w:name w:val="heading 2"/>
    <w:basedOn w:val="Normal"/>
    <w:pPr>
      <w:keepNext/>
      <w:keepLines/>
      <w:spacing w:before="360" w:after="160"/>
      <w:outlineLvl w:val="1"/>
    </w:pPr>
    <w:rPr>
      <w:rFonts w:ascii="Calibri" w:hAnsi="Calibri" w:eastAsia="Microsoft YaHei"/>
      <w:b/>
      <w:color w:val="7030A0"/>
      <w:sz w:val="28"/>
    </w:rPr>
  </w:style>
  <w:style w:type="paragraph" w:styleId="Heading3">
    <w:name w:val="heading 3"/>
    <w:basedOn w:val="Normal"/>
    <w:pPr>
      <w:keepNext/>
      <w:keepLines/>
      <w:spacing w:before="240" w:after="120"/>
      <w:outlineLvl w:val="2"/>
    </w:pPr>
    <w:rPr>
      <w:rFonts w:ascii="Calibri" w:hAnsi="Calibri" w:eastAsia="Microsoft YaHei"/>
      <w:b/>
      <w:color w:val="404040"/>
      <w:sz w:val="24"/>
    </w:rPr>
  </w:style>
  <w:style w:type="paragraph" w:styleId="Caption">
    <w:name w:val="Caption"/>
    <w:basedOn w:val="Normal"/>
    <w:pPr>
      <w:spacing w:before="60" w:after="320"/>
      <w:jc w:val="center"/>
    </w:pPr>
    <w:rPr>
      <w:color w:val="646464"/>
      <w:sz w:val="20"/>
    </w:rPr>
  </w:style>
  <w:style w:type="paragraph" w:styleId="TOC1">
    <w:name w:val="toc 1"/>
    <w:basedOn w:val="Normal"/>
    <w:pPr>
      <w:tabs>
        <w:tab w:val="right" w:leader="dot" w:pos="9350"/>
      </w:tabs>
      <w:spacing w:before="200" w:after="60"/>
      <w:ind w:left="0"/>
    </w:pPr>
    <w:rPr>
      <w:b/>
      <w:color w:val="1a202c"/>
    </w:rPr>
  </w:style>
  <w:style w:type="paragraph" w:styleId="TOC2">
    <w:name w:val="toc 2"/>
    <w:basedOn w:val="Normal"/>
    <w:pPr>
      <w:tabs>
        <w:tab w:val="right" w:leader="dot" w:pos="9350"/>
      </w:tabs>
      <w:spacing w:before="60" w:after="60"/>
      <w:ind w:left="360"/>
    </w:pPr>
    <w:rPr>
      <w:color w:val="404040"/>
    </w:rPr>
  </w:style>
  <w:style w:type="paragraph" w:styleId="TOC3">
    <w:name w:val="toc 3"/>
    <w:basedOn w:val="Normal"/>
    <w:pPr>
      <w:tabs>
        <w:tab w:val="right" w:leader="dot" w:pos="9350"/>
      </w:tabs>
      <w:spacing w:before="40" w:after="60"/>
      <w:ind w:left="720"/>
    </w:pPr>
    <w:rPr>
      <w:color w:val="404040"/>
    </w:rPr>
  </w:style>
</w:styles>
</file>

<file path=word/_rels/document.xml.rels><?xml version='1.0' encoding='UTF-8'?>
<Relationships xmlns="http://schemas.openxmlformats.org/package/2006/relationships"><Relationship Type="http://schemas.openxmlformats.org/officeDocument/2006/relationships/styles" Target="styles.xml" Id="R3a93097f0af840aa" /><Relationship Type="http://schemas.openxmlformats.org/officeDocument/2006/relationships/numbering" Target="numbering.xml" Id="Rf1ad66ffb3034ffe" /><Relationship Type="http://schemas.openxmlformats.org/officeDocument/2006/relationships/image" Target="media/image.png" Id="Red73c4a5363444a9" /><Relationship Type="http://schemas.openxmlformats.org/officeDocument/2006/relationships/image" Target="media/image2.png" Id="R2b980f2f6e294273" /><Relationship Type="http://schemas.openxmlformats.org/officeDocument/2006/relationships/header" Target="header1.xml" Id="R59605dfcd12e4b58" /><Relationship Type="http://schemas.openxmlformats.org/officeDocument/2006/relationships/footer" Target="footer1.xml" Id="R57925640f2c34287" /><Relationship Type="http://schemas.openxmlformats.org/officeDocument/2006/relationships/settings" Target="settings.xml" Id="R708249f630c047c7" /></Relationships>
</file>

<file path=word/_rels/header1.xml.rels><?xml version='1.0' encoding='UTF-8'?>
<Relationships xmlns="http://schemas.openxmlformats.org/package/2006/relationships"><Relationship Type="http://schemas.openxmlformats.org/officeDocument/2006/relationships/image" Target="media/image3.png" Id="Re8f75b889f92407b" /></Relationships>
</file>