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F2861" w:val="clear"/>
        <w:spacing w:after="0" w:before="1440"/>
        <w:ind w:left="0"/>
        <w:jc w:val="center"/>
      </w:pPr>
      <w:r>
        <w:rPr>
          <w:rFonts w:ascii="Calibri" w:cs="Calibri" w:eastAsia="Calibri" w:hAnsi="Calibri"/>
          <w:b/>
          <w:bCs/>
          <w:color w:val="FFFFFF"/>
          <w:sz w:val="64"/>
          <w:szCs w:val="64"/>
        </w:rPr>
        <w:t xml:space="preserve">AZURE CLOUD</w:t>
      </w:r>
    </w:p>
    <w:p>
      <w:pPr>
        <w:shd w:fill="5F2861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NAMING STANDARD &amp; CONVENTION GUIDE</w:t>
      </w:r>
    </w:p>
    <w:p>
      <w:pPr>
        <w:shd w:fill="5F2861" w:val="clear"/>
        <w:spacing w:after="1440" w:before="120"/>
        <w:jc w:val="center"/>
      </w:pPr>
      <w:r>
        <w:rPr>
          <w:rFonts w:ascii="Calibri" w:cs="Calibri" w:eastAsia="Calibri" w:hAnsi="Calibri"/>
          <w:i/>
          <w:iCs/>
          <w:color w:val="FFFFFF"/>
          <w:sz w:val="20"/>
          <w:szCs w:val="20"/>
        </w:rPr>
        <w:t xml:space="preserve">Template v1.0 — Replace all [bracketed] placeholders with organisation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gridSpan w:val="2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DOCUMENT PROPERTIES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2"/>
                <w:szCs w:val="22"/>
              </w:rPr>
              <w:t xml:space="preserve">Organisation Name: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7030A0"/>
                <w:sz w:val="22"/>
                <w:szCs w:val="22"/>
              </w:rPr>
              <w:t xml:space="preserve">[ORGANISATION NAME]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2"/>
                <w:szCs w:val="22"/>
              </w:rPr>
              <w:t xml:space="preserve">Document Owner: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7030A0"/>
                <w:sz w:val="22"/>
                <w:szCs w:val="22"/>
              </w:rPr>
              <w:t xml:space="preserve">[CLOUD ARCHITECT / CTO NAME]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2"/>
                <w:szCs w:val="22"/>
              </w:rPr>
              <w:t xml:space="preserve">Version: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7030A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2"/>
                <w:szCs w:val="22"/>
              </w:rPr>
              <w:t xml:space="preserve">Status: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7030A0"/>
                <w:sz w:val="22"/>
                <w:szCs w:val="22"/>
              </w:rPr>
              <w:t xml:space="preserve">Draft / Review / Approved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2"/>
                <w:szCs w:val="22"/>
              </w:rPr>
              <w:t xml:space="preserve">Classification: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7030A0"/>
                <w:sz w:val="22"/>
                <w:szCs w:val="22"/>
              </w:rPr>
              <w:t xml:space="preserve">Internal Use Only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2"/>
                <w:szCs w:val="22"/>
              </w:rPr>
              <w:t xml:space="preserve">Created Date: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7030A0"/>
                <w:sz w:val="22"/>
                <w:szCs w:val="22"/>
              </w:rPr>
              <w:t xml:space="preserve">[DD MMM YYYY]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2"/>
                <w:szCs w:val="22"/>
              </w:rPr>
              <w:t xml:space="preserve">Last Reviewed: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7030A0"/>
                <w:sz w:val="22"/>
                <w:szCs w:val="22"/>
              </w:rPr>
              <w:t xml:space="preserve">[DD MMM YYYY]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2"/>
                <w:szCs w:val="22"/>
              </w:rPr>
              <w:t xml:space="preserve">Next Review: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7030A0"/>
                <w:sz w:val="22"/>
                <w:szCs w:val="22"/>
              </w:rPr>
              <w:t xml:space="preserve">[DD MMM YYYY]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2"/>
                <w:szCs w:val="22"/>
              </w:rPr>
              <w:t xml:space="preserve">Approved By: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7030A0"/>
                <w:sz w:val="22"/>
                <w:szCs w:val="22"/>
              </w:rPr>
              <w:t xml:space="preserve">[NAME, TITLE]</w:t>
            </w:r>
          </w:p>
        </w:tc>
      </w:tr>
    </w:tbl>
    <w:p/>
    <w:p/>
    <w:p>
      <w:pPr>
        <w:pBdr>
          <w:left w:val="single" w:color="5F2861" w:sz="12" w:space="4"/>
        </w:pBdr>
        <w:shd w:fill="F2EEF2" w:val="clear"/>
        <w:spacing w:after="120" w:before="120"/>
        <w:ind w:left="240"/>
      </w:pPr>
      <w:r>
        <w:rPr>
          <w:rFonts w:ascii="Calibri" w:cs="Calibri" w:eastAsia="Calibri" w:hAnsi="Calibri"/>
          <w:b/>
          <w:bCs/>
          <w:color w:val="7030A0"/>
          <w:sz w:val="20"/>
          <w:szCs w:val="20"/>
        </w:rPr>
        <w:t xml:space="preserve">ℹ  Note: </w:t>
      </w: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Update all [bracketed] placeholders with your organisation's specific values before publishing. Values marked with ★ appear in resource names directly.</w:t>
      </w:r>
    </w:p>
    <w:p>
      <w:r>
        <w:br w:type="page"/>
      </w:r>
    </w:p>
    <w:p>
      <w:pPr>
        <w:pStyle w:val="Heading1"/>
        <w:shd w:fill="5F2861" w:val="clear"/>
        <w:spacing w:after="20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Purpose &amp; Scope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This document defines the Azure resource naming conventions adopted by [ORGANISATION NAME]. Consistent naming enables teams to identify resource ownership, environment, purpose and location at a glance, reduces administrative overhead and supports cost governance.</w:t>
      </w:r>
    </w:p>
    <w:p/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This standard applies to all Azure resources provisioned within the [ORGANISATION NAME] tenant, across all subscriptions and environments, unless explicitly exempted.</w:t>
      </w:r>
    </w:p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Provide a single, authoritative naming reference for all cloud engineers and platform teams.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Ensure names are self-describing, unique within their scope, and compliant with Azure character limits.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Enable consistent tagging, cost allocation, and lifecycle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Reduce the risk of naming conflicts across environments and teams.</w:t>
      </w:r>
    </w:p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1.2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 of Scope / Exceptions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Resource Groups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Yes – all RGs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Yes – all subscriptions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Sandbox subscriptions (relaxed)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Virtual Networks &amp; Subnets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Auto-created vnets by PaaS services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Compute (VMs, VMSS, AKS)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Ephemeral/spot nodes (use prefix only)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Storage &amp; Databases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Managed service internal names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Security &amp; Identity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Auto-generated managed identities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DevOps &amp; CI/CD Resources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Temporary pipeline artefacts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Yes – mandatory tags defined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system tags (hidden-*)</w:t>
            </w:r>
          </w:p>
        </w:tc>
      </w:tr>
    </w:tbl>
    <w:p>
      <w:r>
        <w:br w:type="page"/>
      </w:r>
    </w:p>
    <w:p>
      <w:pPr>
        <w:pStyle w:val="Heading1"/>
        <w:shd w:fill="5F2861" w:val="clear"/>
        <w:spacing w:after="20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Naming Components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All names are assembled from a defined set of components in a fixed order. Not every component is required for every resource type — the applicable components per resource type are shown in Section 3.</w:t>
      </w:r>
    </w:p>
    <w:p/>
    <w:p>
      <w:pPr>
        <w:pBdr>
          <w:left w:val="single" w:color="5F2861" w:sz="12" w:space="4"/>
        </w:pBdr>
        <w:shd w:fill="FFF2CC" w:val="clear"/>
        <w:spacing w:after="120" w:before="120"/>
        <w:ind w:left="240"/>
      </w:pPr>
      <w:r>
        <w:rPr>
          <w:rFonts w:ascii="Calibri" w:cs="Calibri" w:eastAsia="Calibri" w:hAnsi="Calibri"/>
          <w:b/>
          <w:bCs/>
          <w:color w:val="7030A0"/>
          <w:sz w:val="20"/>
          <w:szCs w:val="20"/>
        </w:rPr>
        <w:t xml:space="preserve">⚠  Important: </w:t>
      </w: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Azure enforces strict character limits and character-set restrictions per resource type. Always validate names against the constraints in Section 3 before provisioning.</w:t>
      </w:r>
    </w:p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2.1 Global Format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7030A0"/>
          <w:sz w:val="28"/>
          <w:szCs w:val="28"/>
          <w:shd w:fill="F2EEF2" w:val="clear"/>
        </w:rPr>
        <w:t xml:space="preserve">  [org]-[workload]-[env]-[region]-[instance]  </w:t>
      </w:r>
    </w:p>
    <w:p>
      <w:pPr>
        <w:pBdr>
          <w:left w:val="single" w:color="5F2861" w:sz="12" w:space="4"/>
        </w:pBdr>
        <w:shd w:fill="F2EEF2" w:val="clear"/>
        <w:spacing w:after="120" w:before="120"/>
        <w:ind w:left="240"/>
      </w:pPr>
      <w:r>
        <w:rPr>
          <w:rFonts w:ascii="Calibri" w:cs="Calibri" w:eastAsia="Calibri" w:hAnsi="Calibri"/>
          <w:b/>
          <w:bCs/>
          <w:color w:val="7030A0"/>
          <w:sz w:val="20"/>
          <w:szCs w:val="20"/>
        </w:rPr>
        <w:t xml:space="preserve">ℹ  Note: </w:t>
      </w: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Some resources (e.g. storage accounts) do not permit hyphens. Use the hyphen-free variant: [org][workload][env][region][instance].</w:t>
      </w:r>
    </w:p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2.2 Component Definitions — Update these for your organisation</w:t>
      </w:r>
    </w:p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2.2.1  ★ Organisation Abbreviation  [org]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short, lowercase alphabetical abbreviation that uniquely identifies your organisation. This appears at the start of almost every resource name.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Organisation legal name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[FULL ORGANISATION NAME]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Chosen abbreviation (2–4 chars, lowercase)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[org]   e.g.  contoso → cto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Rationale / approval reference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NOTES]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Reserved / conflicting abbreviations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[LIST ANY KNOWN CONFLICTS]</w:t>
            </w:r>
          </w:p>
        </w:tc>
      </w:tr>
    </w:tbl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2.2.2  ★ Workload / Application Code  [workload]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short identifier for the workload, application, system or business domain the resource supports. Agree these with your application portfolio owners.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Workload Name</w:t>
            </w:r>
          </w:p>
        </w:tc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(≤8 chars)</w:t>
            </w:r>
          </w:p>
        </w:tc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Team</w:t>
            </w:r>
          </w:p>
        </w:tc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[Application / System 1]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[code1]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[TEAM NAME]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[Application / System 2]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[code2]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[TEAM NAME]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[Application / System 3]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[code3]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[TEAM NAME]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[Shared Platform]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[plat]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[PLATFORM TEAM]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Shared infra resources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[Data Platform]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[data]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[DATA ENGINEERING]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[Security]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[sec]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[SECURITY OPS]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[Management / Operations]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[mgmt]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[CLOUD OPS]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more rows as needed]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2.2.3  ★ Environment  [env]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Identifies the deployment environment. Use the standard abbreviations below — customise tier names to match your SDLC.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160"/>
      </w:tblGrid>
      <w:tr>
        <w:trPr>
          <w:tblHeader/>
        </w:trPr>
        <w:tc>
          <w:tcPr>
            <w:tcW w:type="dxa" w:w="27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 Code</w:t>
            </w:r>
          </w:p>
        </w:tc>
        <w:tc>
          <w:tcPr>
            <w:tcW w:type="dxa" w:w="27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 Code (update if different)</w:t>
            </w:r>
          </w:p>
        </w:tc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prd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[prd]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Live, customer-facing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Pre-Production / UAT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ppd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[ppd]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Final acceptance testing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Staging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stg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[stg]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Near-prod mirror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Performance / Load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prf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[prf]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Performance testing only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dev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[dev]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Test / QA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tst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[tst]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QA / integration testing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Sandbox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sbx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[sbx]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Experimentation; relaxed policy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Shared / Management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shd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[shd]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Shared services, hub, landing zone</w:t>
            </w:r>
          </w:p>
        </w:tc>
      </w:tr>
    </w:tbl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2.2.4  ★ Azure Region  [region]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consistent short code identifying the Azure region. Select from your approved deployment regions and define codes for each.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1800"/>
        <w:gridCol w:w="1800"/>
      </w:tblGrid>
      <w:tr>
        <w:trPr>
          <w:tblHeader/>
        </w:trPr>
        <w:tc>
          <w:tcPr>
            <w:tcW w:type="dxa" w:w="288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Azure Region</w:t>
            </w:r>
          </w:p>
        </w:tc>
        <w:tc>
          <w:tcPr>
            <w:tcW w:type="dxa" w:w="288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Azure Internal Name</w:t>
            </w:r>
          </w:p>
        </w:tc>
        <w:tc>
          <w:tcPr>
            <w:tcW w:type="dxa" w:w="18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 Code (update)</w:t>
            </w:r>
          </w:p>
        </w:tc>
        <w:tc>
          <w:tcPr>
            <w:tcW w:type="dxa" w:w="18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UK South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uksouth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uks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[PRIMARY]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UK West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ukwest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ukw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[SECONDARY / DR]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North Europe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northeurope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neu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if used]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West Europe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westeurope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weu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if used]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East US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eastus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eus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if used]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East US 2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eastus2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eu2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if used]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West US 3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westus3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wus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if used]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Australia East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australiaeast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aue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if used]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Southeast Asia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southeastasia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sea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if used]</w:t>
            </w:r>
          </w:p>
        </w:tc>
      </w:tr>
      <w:tr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[Custom region]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[azure-name]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[xyz]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[Add rows as needed]</w:t>
            </w:r>
          </w:p>
        </w:tc>
      </w:tr>
    </w:tbl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2.2.5  Instance Suffix  [instance]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zero-padded two or three-digit number used when multiple instances of the same resource type exist for the same workload/env/region combination.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Decision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Instance format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[01 | 001] — choose one and apply consistently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Starting number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[01 or 001]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Max instances before rethink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[99 or 999]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Omit when only one instance exists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[Yes / No — choose org standard]</w:t>
            </w:r>
          </w:p>
        </w:tc>
      </w:tr>
    </w:tbl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2.2.6  Resource Type Prefix / Suffix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Azure CAF recommends prepending a resource-type abbreviation. The full list is maintained in Section 3. Decide whether your org uses a prefix or suffix.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Organisation Choice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Position (prefix or suffix)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[PREFIX (recommended) / SUFFIX]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Separator character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[- (hyphen)]  Note: omit for resources that disallow hyphens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Source for abbreviations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[Microsoft CAF standard / custom — if custom, list in Appendix A]</w:t>
            </w:r>
          </w:p>
        </w:tc>
      </w:tr>
    </w:tbl>
    <w:p>
      <w:r>
        <w:br w:type="page"/>
      </w:r>
    </w:p>
    <w:p>
      <w:pPr>
        <w:pStyle w:val="Heading1"/>
        <w:shd w:fill="5F2861" w:val="clear"/>
        <w:spacing w:after="20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Resource Naming Reference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tables below provide the naming pattern, character limits, and example names for each Azure resource category. Update the [org] placeholder and example names with your own values.</w:t>
      </w:r>
    </w:p>
    <w:p/>
    <w:p>
      <w:pPr>
        <w:pBdr>
          <w:left w:val="single" w:color="5F2861" w:sz="12" w:space="4"/>
        </w:pBdr>
        <w:shd w:fill="F2EEF2" w:val="clear"/>
        <w:spacing w:after="120" w:before="120"/>
        <w:ind w:left="240"/>
      </w:pPr>
      <w:r>
        <w:rPr>
          <w:rFonts w:ascii="Calibri" w:cs="Calibri" w:eastAsia="Calibri" w:hAnsi="Calibri"/>
          <w:b/>
          <w:bCs/>
          <w:color w:val="7030A0"/>
          <w:sz w:val="20"/>
          <w:szCs w:val="20"/>
        </w:rPr>
        <w:t xml:space="preserve">ℹ  Note: </w:t>
      </w: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Character limits shown are Azure platform maximums. Your org pattern may be shorter — validate total pattern length against the limit for each resource type.</w:t>
      </w:r>
    </w:p>
    <w:p/>
    <w:p>
      <w:pPr>
        <w:pStyle w:val="Heading2"/>
        <w:shd w:fill="5F2861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3.1  Management Groups &amp; Subscriptions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80"/>
        <w:gridCol w:w="3120"/>
        <w:gridCol w:w="540"/>
        <w:gridCol w:w="1260"/>
        <w:gridCol w:w="1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08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Prefix/Abbr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Chars</w:t>
            </w:r>
          </w:p>
        </w:tc>
        <w:tc>
          <w:tcPr>
            <w:tcW w:type="dxa" w:w="19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Management Group</w:t>
            </w:r>
          </w:p>
        </w:tc>
        <w:tc>
          <w:tcPr>
            <w:tcW w:type="dxa" w:w="1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mg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[org]-mg-[scope]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90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cto-mg-platform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sub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[org]-sub-[workload]-[env]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0-9 - _ . ()</w:t>
            </w:r>
          </w:p>
        </w:tc>
        <w:tc>
          <w:tcPr>
            <w:tcW w:type="dxa" w:w="1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cto-sub-finance-prd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1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rg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rg-[org]-[workload]-[env]-[region]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90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 ()</w:t>
            </w:r>
          </w:p>
        </w:tc>
        <w:tc>
          <w:tcPr>
            <w:tcW w:type="dxa" w:w="1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rg-cto-finance-prd-uks</w:t>
            </w:r>
          </w:p>
        </w:tc>
      </w:tr>
    </w:tbl>
    <w:p/>
    <w:p>
      <w:pPr>
        <w:pStyle w:val="Heading2"/>
        <w:shd w:fill="5F2861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3.2  Networking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120"/>
        <w:gridCol w:w="540"/>
        <w:gridCol w:w="1260"/>
        <w:gridCol w:w="12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9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Chars</w:t>
            </w:r>
          </w:p>
        </w:tc>
        <w:tc>
          <w:tcPr>
            <w:tcW w:type="dxa" w:w="1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Core Networking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Virtual Network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vnet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[org]-vnet-[workload]-[env]-[region]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cto-vnet-finance-prd-uks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Subnet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snet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[org]-snet-[tier]-[env]-[region]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cto-snet-app-prd-uks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Network Security Group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nsg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[org]-nsg-[workload]-[env]-[region]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cto-nsg-finance-prd-uks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Route Table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rt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[org]-rt-[workload]-[env]-[region]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cto-rt-finance-prd-uks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Virtual Network Peering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peer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[org]-peer-[vnet1]-[vnet2]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cto-peer-hub-spoke01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Load Balancing &amp; Gateway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Load Balancer (internal)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lbi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[org]-lbi-[workload]-[env]-[region]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cto-lbi-api-prd-uks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Load Balancer (external)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lbe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[org]-lbe-[workload]-[env]-[region]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cto-lbe-web-prd-uks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Application Gateway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agw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[org]-agw-[workload]-[env]-[region]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cto-agw-web-prd-uks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Front Door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afd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[org]-afd-[workload]-[env]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90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cto-afd-web-prd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Traffic Manager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traf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[org]-traf-[workload]-[env]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cto-traf-api-prd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VPN Gateway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vpng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[org]-vpng-[env]-[region]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cto-vpng-prd-uks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ExpressRoute Circuit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erc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[org]-erc-[provider]-[env]-[region]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cto-erc-equinix-prd-uks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Firewall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afw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[org]-afw-[env]-[region]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cto-afw-prd-uks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Firewall Policy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afwp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[org]-afwp-[env]-[region]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cto-afwp-prd-uks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ng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[org]-ng-[workload]-[env]-[region]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cto-ng-egress-prd-uks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Private Endpoint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pep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[org]-pep-[service]-[env]-[region]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cto-pep-storage-prd-uks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Private DNS Zone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pdns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[org]-pdns-[service].[region].azure.com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253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cto-pdns-blob.uks.azure.com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Public IP Address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pip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[org]-pip-[workload]-[env]-[region]-[inst]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cto-pip-web-prd-uks-01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DDoS Protection Plan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ddos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[org]-ddos-[env]-[region]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cto-ddos-prd-uks</w:t>
            </w:r>
          </w:p>
        </w:tc>
      </w:tr>
    </w:tbl>
    <w:p/>
    <w:p>
      <w:pPr>
        <w:pStyle w:val="Heading2"/>
        <w:shd w:fill="5F2861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3.3  Compute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120"/>
        <w:gridCol w:w="540"/>
        <w:gridCol w:w="1260"/>
        <w:gridCol w:w="12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9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Chars</w:t>
            </w:r>
          </w:p>
        </w:tc>
        <w:tc>
          <w:tcPr>
            <w:tcW w:type="dxa" w:w="1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Virtual Machines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Windows VM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vm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[org][workload][env][region][inst]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ctoweb01pruks01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Linux VM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vm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[org]-vm-[workload]-[env]-[region]-[inst]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cto-vm-api-prd-uks-01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VM Scale Set (Windows)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vmss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[org][wl][env][reg][inst]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ctowebpuks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VM Scale Set (Linux)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vmss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[org]-vmss-[workload]-[env]-[region]-[inst]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cto-vmss-api-prd-uks-01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Availability Set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avail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[org]-avail-[workload]-[env]-[region]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cto-avail-sql-prd-uks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Managed Disk (OS)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dsk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[org]-dsk-os-[vmname]-[inst]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cto-dsk-os-webvm01-01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Managed Disk (Data)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dsk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[org]-dsk-data-[vmname]-[inst]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cto-dsk-data-sqlvm01-01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Proximity Placement Group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ppg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[org]-ppg-[workload]-[env]-[region]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cto-ppg-sql-prd-uks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Containers &amp; Kubernetes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AKS Cluster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aks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[org]-aks-[workload]-[env]-[region]-[inst]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cto-aks-platform-prd-uks-01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AKS Node Pool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np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[workload][env][inst]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sysprd01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cr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[org]cr[workload][env][region]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ctocr platformprduk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Container Instance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[org]-ci-[workload]-[env]-[region]-[inst]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cto-ci-worker-dev-uks-01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Serverless &amp; Integration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Function App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func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[org]-func-[workload]-[env]-[region]-[inst]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cto-func-notify-prd-uks-01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asp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[org]-asp-[workload]-[env]-[region]-[inst]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cto-asp-api-prd-uks-01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App Service (Web App)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app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[org]-app-[workload]-[env]-[region]-[inst]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cto-app-portal-prd-uks-01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Logic App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logic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[org]-logic-[workload]-[env]-[region]-[inst]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cto-logic-invoice-prd-uks-01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Service Bus Namespace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sbns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[org]-sbns-[workload]-[env]-[region]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cto-sbns-orders-prd-uks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Service Bus Queue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sbq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[org]-sbq-[topic]-[env]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260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 /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cto-sbq-orderscreated-prd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Event Hub Namespace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evhns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[org]-evhns-[workload]-[env]-[region]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cto-evhns-telemetry-prd-uks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Event Hub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evh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[org]-evh-[topic]-[env]-[region]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256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cto-evh-clickstream-prd-uks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Event Grid Domain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egd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[org]-egd-[workload]-[env]-[region]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cto-egd-events-prd-uks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Event Grid Topic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egt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[org]-egt-[topic]-[env]-[region]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cto-egt-userevents-prd-uks</w:t>
            </w:r>
          </w:p>
        </w:tc>
      </w:tr>
    </w:tbl>
    <w:p/>
    <w:p>
      <w:pPr>
        <w:pStyle w:val="Heading2"/>
        <w:shd w:fill="5F2861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3.4  Storage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120"/>
        <w:gridCol w:w="540"/>
        <w:gridCol w:w="1260"/>
        <w:gridCol w:w="12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9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Chars</w:t>
            </w:r>
          </w:p>
        </w:tc>
        <w:tc>
          <w:tcPr>
            <w:tcW w:type="dxa" w:w="1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[org]st[workload][env][region][inst]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(no hyphens)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ctostfinanceprduk01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Storage Container (Blob)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[workload]-[purpose]-[env]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finance-invoices-prd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File Share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[workload]-[purpose]-[env]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finance-uploads-prd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Data Lake (Gen2)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dls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[org]dls[workload][env][region]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ctodlsfinanceprduk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Managed Storage (NetApp)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anfvol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[org]-anfvol-[workload]-[env]-[region]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cto-anfvol-nfs-prd-uks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Backup Vault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bkv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[org]-bkv-[workload]-[env]-[region]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cto-bkv-vms-prd-uks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Recovery Services Vault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rsv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[org]-rsv-[workload]-[env]-[region]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cto-rsv-vms-prd-uks</w:t>
            </w:r>
          </w:p>
        </w:tc>
      </w:tr>
    </w:tbl>
    <w:p/>
    <w:p>
      <w:pPr>
        <w:pStyle w:val="Heading2"/>
        <w:shd w:fill="5F2861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3.5  Databases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120"/>
        <w:gridCol w:w="540"/>
        <w:gridCol w:w="1260"/>
        <w:gridCol w:w="12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9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Chars</w:t>
            </w:r>
          </w:p>
        </w:tc>
        <w:tc>
          <w:tcPr>
            <w:tcW w:type="dxa" w:w="1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Relational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SQL Server (logical)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sql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[org]-sql-[workload]-[env]-[region]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cto-sql-finance-prd-uks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SQL Database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sqldb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[org]-sqldb-[workload]-[env]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128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 , ; : ! @ # ^ &amp; ( ) { }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cto-sqldb-accounts-prd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SQL Elastic Pool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sqlep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[org]-sqlep-[workload]-[env]-[region]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128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 , ; : ! @ # ^ &amp; ( ) { }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cto-sqlep-tenants-prd-uks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SQL Managed Instance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sqlmi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[org]-sqlmi-[workload]-[env]-[region]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cto-sqlmi-erp-prd-uks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Database for PostgreSQL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psql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[org]-psql-[workload]-[env]-[region]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cto-psql-crm-prd-uks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Database for MySQL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[org]-mysql-[workload]-[env]-[region]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cto-mysql-cms-prd-uks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NoSQL &amp; Cache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Cosmos DB Account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cosmos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[org]-cosmos-[workload]-[env]-[region]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44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cto-cosmos-events-prd-uks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Cosmos DB Database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[workload]-[purpose]-[env]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255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= . , !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finance-orders-prd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Cache for Redis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[org]-redis-[workload]-[env]-[region]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cto-redis-session-prd-uks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Table Storage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[workload][purpose][env]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financelookupsdev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Synapse Workspace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syn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[org]-syn-[workload]-[env]-[region]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cto-syn-analytics-prd-uks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Synapse SQL Pool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syndw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[org]-syndw-[workload]-[env]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_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cto-syndw-warehouse-prd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Data Factory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adf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[org]-adf-[workload]-[env]-[region]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cto-adf-etl-prd-uks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Databricks Workspace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dbw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[org]-dbw-[workload]-[env]-[region]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cto-dbw-analytics-prd-uks</w:t>
            </w:r>
          </w:p>
        </w:tc>
      </w:tr>
    </w:tbl>
    <w:p/>
    <w:p>
      <w:pPr>
        <w:pStyle w:val="Heading2"/>
        <w:shd w:fill="5F2861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3.6  Security &amp; Identity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120"/>
        <w:gridCol w:w="540"/>
        <w:gridCol w:w="1260"/>
        <w:gridCol w:w="12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9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Chars</w:t>
            </w:r>
          </w:p>
        </w:tc>
        <w:tc>
          <w:tcPr>
            <w:tcW w:type="dxa" w:w="1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Managed Identity (User)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[org]-id-[workload]-[env]-[region]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128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cto-id-apprunner-prd-uks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Entra ID App Registration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app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[org]-app-[workload]-[env]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 ( )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cto-app-finance-prd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Entra Enterprise App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svc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[org]-svc-[workload]-[env]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 ( )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cto-svc-finance-prd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Key Management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Key Vault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kv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[org]-kv-[workload]-[env]-[region]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cto-kv-finance-prd-uks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Key Vault Key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key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[org]-key-[purpose]-[env]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127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cto-key-dbencrypt-prd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Key Vault Secret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sec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[org]-sec-[workload]-[purpose]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127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cto-sec-finance-dbpasswd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Key Vault Certificate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cert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[org]-cert-[workload]-[domain]-[env]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127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cto-cert-api-contoso-prd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Managed HSM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mhsm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[org]-mhsm-[env]-[region]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cto-mhsm-prd-uks</w:t>
            </w:r>
          </w:p>
        </w:tc>
      </w:tr>
      <w:tr>
        <w:tc>
          <w:tcPr>
            <w:gridSpan w:val="6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E7D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Monitoring &amp; Governance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log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[org]-log-[workload]-[env]-[region]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cto-log-platform-prd-uks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appi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[org]-appi-[workload]-[env]-[region]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260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( )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cto-appi-finance-prd-uks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Monitor Action Group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[org]-ag-[team]-[severity]-[env]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260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( )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cto-ag-ops-critical-prd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Monitor Alert Rule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ar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[org]-ar-[resource]-[condition]-[env]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260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( )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cto-ar-aks-cpuhigh-prd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Policy Definition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[org]-policy-[scope]-[description]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128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( )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cto-policy-rg-requiretags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Blueprint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[org]-bp-[scope]-[env]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90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cto-bp-landingzone-prd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Defender for Cloud Plan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(managed by Azure)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—</w:t>
            </w:r>
          </w:p>
        </w:tc>
      </w:tr>
    </w:tbl>
    <w:p/>
    <w:p>
      <w:pPr>
        <w:pStyle w:val="Heading2"/>
        <w:shd w:fill="5F2861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3.7  DevOps &amp; CI/CD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120"/>
        <w:gridCol w:w="540"/>
        <w:gridCol w:w="1260"/>
        <w:gridCol w:w="12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9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Chars</w:t>
            </w:r>
          </w:p>
        </w:tc>
        <w:tc>
          <w:tcPr>
            <w:tcW w:type="dxa" w:w="1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DevOps Organisation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contoso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DevOps Project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finance-prd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DevOps Repo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[workload]-[component]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128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finance-api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DevOps Pipeline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[org]-[workload]-[type]-[env]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cto-finance-ci-prd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Container Registry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cr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[org]cr[workload][env][region]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ctocr financedevuks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Artifact Feed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[org]-feed-[workload]-[env]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cto-feed-npm-dev</w:t>
            </w:r>
          </w:p>
        </w:tc>
      </w:tr>
    </w:tbl>
    <w:p/>
    <w:p>
      <w:pPr>
        <w:pStyle w:val="Heading2"/>
        <w:shd w:fill="5F2861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3.8  AI &amp; Machine Learning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120"/>
        <w:gridCol w:w="540"/>
        <w:gridCol w:w="1260"/>
        <w:gridCol w:w="12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9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Chars</w:t>
            </w:r>
          </w:p>
        </w:tc>
        <w:tc>
          <w:tcPr>
            <w:tcW w:type="dxa" w:w="1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OpenAI Service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oai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[org]-oai-[workload]-[env]-[region]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cto-oai-copilot-prd-uks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Cognitive Services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cog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[org]-cog-[service]-[env]-[region]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cto-cog-vision-prd-uks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ML Workspace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mlw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[org]-mlw-[workload]-[env]-[region]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33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cto-mlw-churn-prd-uks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ML Compute Cluster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mlc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[org]-mlc-[purpose]-[env]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cto-mlc-train-prd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ML Compute Instance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mlci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[org]-mlci-[user]-[env]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cto-mlci-jsmith-dev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AI Search (Cognitive)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srch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[org]-srch-[workload]-[env]-[region]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cto-srch-docs-prd-uks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Bot Service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bot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[org]-bot-[workload]-[env]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42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cto-bot-support-prd</w:t>
            </w:r>
          </w:p>
        </w:tc>
      </w:tr>
    </w:tbl>
    <w:p/>
    <w:p>
      <w:pPr>
        <w:pStyle w:val="Heading2"/>
        <w:shd w:fill="5F2861" w:val="clear"/>
        <w:spacing w:after="16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3.9  Integration &amp; API Management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120"/>
        <w:gridCol w:w="540"/>
        <w:gridCol w:w="1260"/>
        <w:gridCol w:w="124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9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Chars</w:t>
            </w:r>
          </w:p>
        </w:tc>
        <w:tc>
          <w:tcPr>
            <w:tcW w:type="dxa" w:w="12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API Management Service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apim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[org]-apim-[workload]-[env]-[region]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cto-apim-platform-prd-uks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API Management API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[workload]-api-v[version]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256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finance-api-v1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Integration Account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ia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[org]-ia-[workload]-[env]-[region]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 .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cto-ia-erp-prd-uks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App Configuration Store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appcfg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[org]-appcfg-[workload]-[env]-[region]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cto-appcfg-finance-prd-uks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Notification Hub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ntfns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[org]-ntfns-[workload]-[env]-[region]</w:t>
            </w:r>
          </w:p>
        </w:tc>
        <w:tc>
          <w:tcPr>
            <w:tcW w:type="dxa" w:w="5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a-z 0-9 - _</w:t>
            </w:r>
          </w:p>
        </w:tc>
        <w:tc>
          <w:tcPr>
            <w:tcW w:type="dxa" w:w="1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cto-ntfns-mobile-prd-uks</w:t>
            </w:r>
          </w:p>
        </w:tc>
      </w:tr>
    </w:tbl>
    <w:p>
      <w:r>
        <w:br w:type="page"/>
      </w:r>
    </w:p>
    <w:p>
      <w:pPr>
        <w:pStyle w:val="Heading1"/>
        <w:shd w:fill="5F2861" w:val="clear"/>
        <w:spacing w:after="20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Tagging Policy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Tags complement naming by storing metadata that cannot fit within a resource name. All resources and resource groups must carry the mandatory tags below. Additional optional tags are recommended where relevant.</w:t>
      </w:r>
    </w:p>
    <w:p/>
    <w:p>
      <w:pPr>
        <w:pBdr>
          <w:left w:val="single" w:color="5F2861" w:sz="12" w:space="4"/>
        </w:pBdr>
        <w:shd w:fill="FFF2CC" w:val="clear"/>
        <w:spacing w:after="120" w:before="120"/>
        <w:ind w:left="240"/>
      </w:pPr>
      <w:r>
        <w:rPr>
          <w:rFonts w:ascii="Calibri" w:cs="Calibri" w:eastAsia="Calibri" w:hAnsi="Calibri"/>
          <w:b/>
          <w:bCs/>
          <w:color w:val="7030A0"/>
          <w:sz w:val="20"/>
          <w:szCs w:val="20"/>
        </w:rPr>
        <w:t xml:space="preserve">⚠  Important: </w:t>
      </w: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Tags are not inherited by child resources automatically. Enforce tag inheritance via Azure Policy to prevent gaps.</w:t>
      </w:r>
    </w:p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4.1 Mandatory Tags — Update values for your 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2700"/>
        <w:gridCol w:w="1800"/>
      </w:tblGrid>
      <w:tr>
        <w:trPr>
          <w:tblHeader/>
        </w:trPr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 Key</w:t>
            </w:r>
          </w:p>
        </w:tc>
        <w:tc>
          <w:tcPr>
            <w:tcW w:type="dxa" w:w="27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Values / Format</w:t>
            </w:r>
          </w:p>
        </w:tc>
        <w:tc>
          <w:tcPr>
            <w:tcW w:type="dxa" w:w="18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Legal entity name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[ORGANISATION NAME]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Contoso Ltd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CostCentre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Finance cost centre for charge-back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[COST CENTRE CODE — e.g. CC-1234]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CC-7890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BusinessUnit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Business unit or division owner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[LIST ALLOWED VALUES]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Application or workload name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Free text ≤ 128 chars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Finance Portal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WorkloadCode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Matches [workload] component in name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Match Section 2.2.2 code list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Deployment environment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prd | ppd | stg | dev | tst | sbx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prd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Owner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Named individual or team email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cloudops@contoso.com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TechContact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Technical contact for incidents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devops@contoso.com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DataClassification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Data sensitivity classification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[DEFINE: public | internal | confidential | restricted]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SupportTier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Support tier / SLA tier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[DEFINE: bronze | silver | gold | critical]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CreatedDate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Provisioning date (ISO 8601)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YYYY-MM-DD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2025-01-15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CreatedBy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Person or pipeline that created resource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Email or pipeline name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terraform-pipeline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ExpiryDate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Date to review for decommissioning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YYYY-MM-DD | never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2026-01-15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ManagedBy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IaC tool managing the resource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terraform | bicep | manual | arm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terraform</w:t>
            </w:r>
          </w:p>
        </w:tc>
      </w:tr>
    </w:tbl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4.2 Optional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 Key</w:t>
            </w:r>
          </w:p>
        </w:tc>
        <w:tc>
          <w:tcPr>
            <w:tcW w:type="dxa" w:w="36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Project or programme funding the resource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Project Phoenix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ChangeTicket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Change advisory board ticket reference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CHG-20250115-001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Compliance framework(s) applicable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ISO27001 | PCI-DSS | GDPR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MaintenanceWindow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Preferred maintenance window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Sun 02:00-04:00 UTC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DR-Priority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Disaster recovery priority tier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tier1 | tier2 | tier3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BackupPolicy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Backup policy name applied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daily-30d-retain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AlertGroup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Action group for alerts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cto-ag-ops-critical-prd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AutoShutdown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Auto-shutdown schedule for non-prod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20:00 UTC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PatchGroup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Patch management group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group-a-sunday</w:t>
            </w:r>
          </w:p>
        </w:tc>
      </w:tr>
      <w:tr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Source control repository URL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https://dev.azure.com/cto/finance</w:t>
            </w:r>
          </w:p>
        </w:tc>
      </w:tr>
    </w:tbl>
    <w:p/>
    <w:p>
      <w:r>
        <w:br w:type="page"/>
      </w:r>
    </w:p>
    <w:p>
      <w:pPr>
        <w:pStyle w:val="Heading1"/>
        <w:shd w:fill="5F2861" w:val="clear"/>
        <w:spacing w:after="20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Governance &amp; Compliance</w:t>
      </w:r>
    </w:p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5.1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6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Naming convention enforcement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Policy — deny non-compliant names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[PLATFORM TEAM]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Mandatory tag enforcement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Policy — deny/audit missing tags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[PLATFORM TEAM]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Tag inheritance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Policy — inherit tags from RG to child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[PLATFORM TEAM]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New resource review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IaC PR review gate + policy scan in pipeline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[CLOUD OPS]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Naming exception process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Raise exception via [PROCESS / TOOL NAME]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[CLOUD ARCHITECT]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Standard review cadence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[QUARTERLY / BI-ANNUALLY]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[CLOUD ARCHITECT]</w:t>
            </w:r>
          </w:p>
        </w:tc>
      </w:tr>
    </w:tbl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5.2 Exception Process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Where a resource type technically prohibits conformance with this standard (e.g. Windows VM 15-char limit), a documented exception is pre-approved. For all other deviations: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Submit a naming exception request via [ITSM TOOL / EMAIL] referencing this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The Cloud Architecture team reviews and approves or rejects within [SLA — e.g. 5 business days].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Approved exceptions are recorded in Appendix B of this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Exceptions are reviewed at the next standard review cycle.</w:t>
      </w:r>
    </w:p>
    <w:p/>
    <w:p>
      <w:pPr>
        <w:pStyle w:val="Heading3"/>
        <w:pBdr>
          <w:bottom w:val="single" w:color="D9D9D9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7030A0"/>
          <w:sz w:val="24"/>
          <w:szCs w:val="24"/>
        </w:rPr>
        <w:t xml:space="preserve">5.3 Change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2160"/>
        <w:gridCol w:w="2520"/>
      </w:tblGrid>
      <w:tr>
        <w:trPr>
          <w:tblHeader/>
        </w:trPr>
        <w:tc>
          <w:tcPr>
            <w:tcW w:type="dxa" w:w="108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5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[NAME / TITLE]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Initial release</w:t>
            </w:r>
          </w:p>
        </w:tc>
      </w:tr>
      <w:tr>
        <w:tc>
          <w:tcPr>
            <w:tcW w:type="dxa" w:w="1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1.1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[NAME / TITLE]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[CHANGE DESCRIPTION]</w:t>
            </w:r>
          </w:p>
        </w:tc>
      </w:tr>
      <w:tr>
        <w:tc>
          <w:tcPr>
            <w:tcW w:type="dxa" w:w="1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1.2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[NAME / TITLE]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[CHANGE DESCRIPTION]</w:t>
            </w:r>
          </w:p>
        </w:tc>
      </w:tr>
      <w:tr>
        <w:tc>
          <w:tcPr>
            <w:tcW w:type="dxa" w:w="1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</w:tr>
    </w:tbl>
    <w:p/>
    <w:p>
      <w:r>
        <w:br w:type="page"/>
      </w:r>
    </w:p>
    <w:p>
      <w:pPr>
        <w:pStyle w:val="Heading1"/>
        <w:shd w:fill="5F2861" w:val="clear"/>
        <w:spacing w:after="20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Appendix A – Organisation Custom Abbreviations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If your organisation diverges from the Microsoft CAF resource type abbreviations listed in Section 3, document your custom abbreviations here. All teams must use this list as the authoritative reference.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60"/>
        <w:gridCol w:w="2160"/>
        <w:gridCol w:w="2340"/>
      </w:tblGrid>
      <w:tr>
        <w:trPr>
          <w:tblHeader/>
        </w:trPr>
        <w:tc>
          <w:tcPr>
            <w:tcW w:type="dxa" w:w="27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CAF Abbreviation</w:t>
            </w:r>
          </w:p>
        </w:tc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 Abbreviation</w:t>
            </w:r>
          </w:p>
        </w:tc>
        <w:tc>
          <w:tcPr>
            <w:tcW w:type="dxa" w:w="234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for Change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[Resource Type]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[CAF abbr]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[Org abbr]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[Reason]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[Resource Type]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[CAF abbr]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[Org abbr]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[Reason]</w:t>
            </w:r>
          </w:p>
        </w:tc>
      </w:tr>
      <w:tr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[Resource Type]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[CAF abbr]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[Org abbr]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[Reason]</w:t>
            </w:r>
          </w:p>
        </w:tc>
      </w:tr>
    </w:tbl>
    <w:p/>
    <w:p>
      <w:r>
        <w:br w:type="page"/>
      </w:r>
    </w:p>
    <w:p>
      <w:pPr>
        <w:pStyle w:val="Heading1"/>
        <w:shd w:fill="5F2861" w:val="clear"/>
        <w:spacing w:after="20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Appendix B – Approved Naming Exceptions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following exceptions to this naming standard have been formally approved. All exceptions must be reviewed at each standard revision cycle.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880"/>
        <w:gridCol w:w="1800"/>
        <w:gridCol w:w="1800"/>
      </w:tblGrid>
      <w:tr>
        <w:trPr>
          <w:tblHeader/>
        </w:trPr>
        <w:tc>
          <w:tcPr>
            <w:tcW w:type="dxa" w:w="72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6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 / Scope</w:t>
            </w:r>
          </w:p>
        </w:tc>
        <w:tc>
          <w:tcPr>
            <w:tcW w:type="dxa" w:w="288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Exception Description</w:t>
            </w:r>
          </w:p>
        </w:tc>
        <w:tc>
          <w:tcPr>
            <w:tcW w:type="dxa" w:w="18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gridSpan w:val="1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EX-001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Windows VMs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15-char limit — abbreviated pattern [org][wl][env][reg][#]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platform constraint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Pre-approved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EX-002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Storage Accounts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 hyphens — concatenated format [org]st[wl][env][reg][#]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platform constraint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Pre-approved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EX-003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 hyphens — concatenated format [org]cr[wl][env][reg]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Azure platform constraint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Pre-approved</w:t>
            </w:r>
          </w:p>
        </w:tc>
      </w:tr>
      <w:tr>
        <w:tc>
          <w:tcPr>
            <w:tcW w:type="dxa" w:w="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EX-004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[Resource / Scope]</w:t>
            </w:r>
          </w:p>
        </w:tc>
        <w:tc>
          <w:tcPr>
            <w:tcW w:type="dxa" w:w="28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[Describe exception]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[Reason]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[Approver, Date]</w:t>
            </w:r>
          </w:p>
        </w:tc>
      </w:tr>
    </w:tbl>
    <w:p/>
    <w:p>
      <w:r>
        <w:br w:type="page"/>
      </w:r>
    </w:p>
    <w:p>
      <w:pPr>
        <w:pStyle w:val="Heading1"/>
        <w:shd w:fill="5F2861" w:val="clear"/>
        <w:spacing w:after="20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Appendix C – Quick Reference Card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Print or pin this card for quick reference when naming new resources.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5F2861" w:sz="1"/>
              <w:left w:val="single" w:color="5F2861" w:sz="1"/>
              <w:bottom w:val="single" w:color="5F2861" w:sz="1"/>
              <w:right w:val="single" w:color="5F2861" w:sz="1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NAMING QUICK REFERENCE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Standard Format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[prefix]-[org]-[workload]-[env]-[region]-[inst]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 </w:t>
            </w:r>
          </w:p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No-Hyphen Format (Storage / CR)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[prefix][org][workload][env][region][inst]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Component Summary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20"/>
                <w:szCs w:val="20"/>
              </w:rPr>
              <w:t xml:space="preserve">★ [org]       → [FILL IN]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  [env]       → prd | ppd | stg | dev | tst | sbx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  [region]    → uks | ukw | neu | weu | eus | ...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  [instance]  → 01 | 02 | ...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Common Prefixes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rg  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Resource Group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vnet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Virtual Network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nsg 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Network Security Group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vm  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Virtual Machine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aks 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AKS Cluster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func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Function App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app 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App Service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kv  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Key Vault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st  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Storage (no-hyphen)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sql 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SQL Server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apim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API Management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log      </w:t>
            </w:r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Log Analytics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Mandatory Tags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Organisation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CostCentre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BusinessUnit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Application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WorkloadCode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Environment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Owner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TechContact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DataClassification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SupportTier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CreatedDate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CreatedBy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ExpiryDate</w:t>
            </w:r>
          </w:p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  ManagedBy</w:t>
            </w:r>
          </w:p>
        </w:tc>
      </w:tr>
    </w:tbl>
    <w:p/>
    <w:p>
      <w:pPr>
        <w:spacing w:before="8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Reference: Microsoft Azure CAF Naming Conventions  </w:t>
      </w:r>
      <w:r>
        <w:rPr>
          <w:rFonts w:ascii="Calibri" w:cs="Calibri" w:eastAsia="Calibri" w:hAnsi="Calibri"/>
          <w:color w:val="7030A0"/>
          <w:sz w:val="18"/>
          <w:szCs w:val="18"/>
        </w:rPr>
        <w:t xml:space="preserve">https://learn.microsoft.com/azure/cloud-adoption-framework/ready/azure-best-practices/resource-naming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F2861" w:sz="4" w:space="1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404040"/>
        <w:sz w:val="16"/>
        <w:szCs w:val="16"/>
      </w:rPr>
      <w:t xml:space="preserve">CONFIDENTIAL – Do not distribute externally</w:t>
    </w:r>
    <w:r>
      <w:rPr>
        <w:rFonts w:ascii="Calibri" w:cs="Calibri" w:eastAsia="Calibri" w:hAnsi="Calibri"/>
        <w:color w:val="40404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F2861" w:sz="6" w:space="1"/>
      </w:pBdr>
      <w:spacing w:after="0"/>
    </w:pPr>
    <w:r>
      <w:rPr>
        <w:rFonts w:ascii="Calibri" w:cs="Calibri" w:eastAsia="Calibri" w:hAnsi="Calibri"/>
        <w:color w:val="404040"/>
        <w:sz w:val="18"/>
        <w:szCs w:val="18"/>
      </w:rPr>
      <w:t xml:space="preserve">[Organisation Name] – Azure Naming Standard</w:t>
    </w:r>
    <w:r>
      <w:rPr>
        <w:rFonts w:ascii="Calibri" w:cs="Calibri" w:eastAsia="Calibri" w:hAnsi="Calibri"/>
        <w:color w:val="808080"/>
        <w:sz w:val="18"/>
        <w:szCs w:val="18"/>
      </w:rPr>
      <w:t xml:space="preserve">     |     v1.0     |   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7030A0"/>
      <w:sz w:val="32"/>
      <w:szCs w:val="32"/>
    </w:rPr>
  </w:style>
  <w:style w:type="paragraph" w:styleId="Heading2">
    <w:name w:val="Heading 2"/>
    <w:basedOn w:val="Normal"/>
    <w:next w:val="Normal"/>
    <w:qFormat/>
    <w:rPr>
      <w:color w:val="7030A0"/>
      <w:sz w:val="26"/>
      <w:szCs w:val="26"/>
    </w:rPr>
  </w:style>
  <w:style w:type="paragraph" w:styleId="Heading3">
    <w:name w:val="Heading 3"/>
    <w:basedOn w:val="Normal"/>
    <w:next w:val="Normal"/>
    <w:qFormat/>
    <w:rPr>
      <w:color w:val="7030A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7030A0"/>
    </w:rPr>
  </w:style>
  <w:style w:type="paragraph" w:styleId="Heading5">
    <w:name w:val="Heading 5"/>
    <w:basedOn w:val="Normal"/>
    <w:next w:val="Normal"/>
    <w:qFormat/>
    <w:rPr>
      <w:color w:val="7030A0"/>
    </w:rPr>
  </w:style>
  <w:style w:type="paragraph" w:styleId="Heading6">
    <w:name w:val="Heading 6"/>
    <w:basedOn w:val="Normal"/>
    <w:next w:val="Normal"/>
    <w:qFormat/>
    <w:rPr>
      <w:color w:val="7030A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7030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2026-05-18T12:08:00.756Z</dcterms:created>
  <dcterms:modified xsi:type="dcterms:W3CDTF">2026-05-18T12:08:00.767Z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