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spacing w:after="240" w:before="0"/>
        <w:jc w:val="center"/>
      </w:pPr>
      <w:r>
        <w:rPr>
          <w:rFonts w:ascii="Segoe UI" w:cs="Segoe UI" w:eastAsia="Segoe UI" w:hAnsi="Segoe UI"/>
          <w:b/>
          <w:bCs/>
          <w:caps/>
          <w:color w:val="7030A0"/>
          <w:sz w:val="40"/>
          <w:szCs w:val="40"/>
        </w:rPr>
        <w:t xml:space="preserve">HIGH-LEVEL DESIGN</w:t>
      </w:r>
    </w:p>
    <w:p>
      <w:pPr>
        <w:pBdr>
          <w:bottom w:val="single" w:color="5F2861" w:sz="12" w:space="6"/>
        </w:pBdr>
        <w:spacing w:after="160" w:before="0"/>
        <w:jc w:val="center"/>
      </w:pPr>
      <w:r>
        <w:rPr>
          <w:rFonts w:ascii="Segoe UI" w:cs="Segoe UI" w:eastAsia="Segoe UI" w:hAnsi="Segoe UI"/>
          <w:b/>
          <w:bCs/>
          <w:color w:val="7030A0"/>
          <w:sz w:val="52"/>
          <w:szCs w:val="52"/>
        </w:rPr>
        <w:t>[Product / Service Name]</w:t>
      </w:r>
    </w:p>
    <w:p>
      <w:pPr>
        <w:spacing w:after="160" w:before="0"/>
      </w:pPr>
    </w:p>
    <w:p>
      <w:pPr>
        <w:spacing w:after="80" w:before="0"/>
        <w:jc w:val="center"/>
      </w:pPr>
      <w:r>
        <w:rPr>
          <w:rFonts w:ascii="Segoe UI" w:cs="Segoe UI" w:eastAsia="Segoe UI" w:hAnsi="Segoe UI"/>
          <w:i/>
          <w:iCs/>
          <w:color w:val="404040"/>
          <w:sz w:val="28"/>
          <w:szCs w:val="28"/>
        </w:rPr>
        <w:t>[Platform / Technology Stack]</w:t>
      </w:r>
    </w:p>
    <w:p>
      <w:pPr>
        <w:spacing w:after="800" w:before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40404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404040"/>
                <w:sz w:val="20"/>
                <w:szCs w:val="20"/>
              </w:rPr>
              <w:t xml:space="preserve">Author(s)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[Author Name(s)]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404040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[Project Name]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4040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[INTERNAL / CONFIDENTIAL]</w:t>
            </w:r>
          </w:p>
        </w:tc>
      </w:tr>
    </w:tbl>
    <w:p>
      <w:pPr>
        <w:spacing w:after="1000" w:before="0"/>
      </w:pPr>
    </w:p>
    <w:p>
      <w:pPr>
        <w:jc w:val="center"/>
      </w:pPr>
      <w:r>
        <w:rPr>
          <w:rFonts w:ascii="Segoe UI" w:cs="Segoe UI" w:eastAsia="Segoe UI" w:hAnsi="Segoe UI"/>
          <w:caps/>
          <w:color w:val="404040"/>
          <w:sz w:val="18"/>
          <w:szCs w:val="18"/>
        </w:rPr>
        <w:t xml:space="preserve">CONFIDENTIAL — FOR INTERNAL USE ONLY</w:t>
      </w: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"undefined,1,undefined,2,undefined,3,undefined,4"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1. Document Control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[DD/MM/YYYY]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1.2 Reviewers &amp; Approvers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[Solution Architect]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[Platform Lead]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[Security Architect]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[Business Sponsor]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1.3 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type="dxa" w:w="45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[Requirements Specification]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[REF-001]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[Link / location]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[Architecture Decision Records]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[REF-002]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[Link / location]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[Security &amp; Compliance Baseline]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[REF-003]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[Link / location]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[Low-Level Design (LLD)]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[REF-004]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[TBD]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related document]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[REF-00X]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[Link / location]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2. Executive Summary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>[Replace this paragraph with a 3-5 sentence executive summary describing the purpose, business value, and expected outcomes of [Product / Service Name]. State why this solution is being delivered and the key drivers.]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E7DF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7030A0"/>
                <w:sz w:val="20"/>
                <w:szCs w:val="20"/>
              </w:rPr>
              <w:t>Key Outcomes: [Summarise the 3-5 headline outcomes this design delivers - e.g., capability enabled, risk reduced, efficiency gained, scalability.]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3. Scope &amp; Objectives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3.1 Business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[Primary business objective this solution delivers.]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[Capability or outcome enabled for users or the business.]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[Efficiency, quality, or single-source-of-truth goal.]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[Speed, performance, or time-to-value goal.]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[Strategic, compliance, or future-capability driver.]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[Add organisation-specific objectives here]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3.2 In-Scope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[Core component or capability included in this design.]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[Integration or interface included.]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[Data or storage design included.]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[Processing or application logic included.]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[Governance and compliance scope included.]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Identity, Access Management, and Security baseline.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Monitoring, alerting, and operational runbook framework.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[Add additional in-scope items]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3.3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[Related work delivered by a separate project.]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[Upstream / downstream system changes excluded.]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Low-Level Design (LLD) and detailed implementation specifications.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[Confirm any additional exclusions with stakeholders]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3.4 Assumptions &amp; Dependencies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[Required platform, subscription, or licensing is in place.]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[Required capacity / licences will be procured prior to implementation.]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[Dependent systems expose stable, accessible interfaces.]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[An identity provider / directory is already established.]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[Add further assumptions]</w:t>
      </w:r>
    </w:p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type="dxa" w:w="3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Required By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[Licence / subscription / platform]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 team]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[Infrastructure / environment provisioned]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[Cloud Platform Team]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[Network / connectivity to dependent systems]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[Network Team]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[Identity / security groups defined]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[IAM Team]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dependency]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4. Architecture Overview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4.1 Architectural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type="dxa" w:w="6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Cloud-Native First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Prefer managed PaaS/SaaS services over self-managed infrastructure where appropriate.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Security by Design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Apply zero-trust, least-privilege, and data classification at every layer.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Scalability &amp; Resilience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Design for horizontal scale, high availability, and graceful failure recovery.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Automation First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Provision and deploy via Infrastructure-as-Code and CI/CD; minimise manual steps.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Standardisation &amp; Reuse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Use approved patterns, shared components, and organisational standards.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Observability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Build in logging, metrics, and tracing so the solution is measurable and supportable.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Cost Transparency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Tag and meter workloads to enable chargeback/showback and cost control.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principle]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[Describe how this principle applies to the solution.]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4.2 High-Level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7030A0"/>
                <w:sz w:val="20"/>
                <w:szCs w:val="20"/>
              </w:rPr>
              <w:t>Placeholder: Insert the high-level architecture diagram here (e.g., using Visio, Lucidchart, or draw.io). The diagram should illustrate the major components, integrations, data flows, users/actors, and trust boundaries of the solution.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0F0F0" w:val="clear"/>
            <w:tcMar>
              <w:top w:type="dxa" w:w="800"/>
              <w:left w:type="dxa" w:w="300"/>
              <w:bottom w:type="dxa" w:w="8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808080"/>
                <w:sz w:val="24"/>
                <w:szCs w:val="24"/>
              </w:rPr>
              <w:t xml:space="preserve">[ INSERT ARCHITECTURE DIAGRAM ]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rPr>
          <w:rFonts w:ascii="Segoe UI" w:cs="Segoe UI" w:eastAsia="Segoe UI" w:hAnsi="Segoe UI"/>
          <w:i/>
          <w:iCs/>
          <w:color w:val="404040"/>
          <w:sz w:val="22"/>
          <w:szCs w:val="22"/>
        </w:rPr>
        <w:t>Figure 1: [Product / Service Name] - High-Level Architecture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4.3 Architecture Layers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type="dxa" w:w="3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type="dxa" w:w="36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Key Technologies / Services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Presentation / UI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User-facing interfaces, portals, or dashboards.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Application / Services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Business logic, services, and processing components.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Integration / API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Interfaces and messaging between systems.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Data / Storage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Data persistence, storage, and caching.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Identity &amp; Security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Authentication, authorisation, and protection controls.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Infrastructure / Hosting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Compute, network, and hosting platform.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Monitoring &amp; Operations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Logging, monitoring, alerting, and operational tooling.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  <w:t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layer]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[Description]</w:t>
            </w:r>
          </w:p>
        </w:tc>
        <w:tc>
          <w:tcPr>
            <w:tcW w:type="dxa" w:w="36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[Technology / service]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>5. Solution / Component Design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5.1 Solution Components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>[List and briefly describe the major components that make up the solution and how they interact.]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type="dxa" w:w="58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Description / Responsibility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[Component 1]</w:t>
            </w:r>
          </w:p>
        </w:tc>
        <w:tc>
          <w:tcPr>
            <w:tcW w:type="dxa" w:w="5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 and responsibility within the solution]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[Component 2]</w:t>
            </w:r>
          </w:p>
        </w:tc>
        <w:tc>
          <w:tcPr>
            <w:tcW w:type="dxa" w:w="5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 and responsibility within the solution]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[Component 3]</w:t>
            </w:r>
          </w:p>
        </w:tc>
        <w:tc>
          <w:tcPr>
            <w:tcW w:type="dxa" w:w="5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 and responsibility within the solution]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[Component 4]</w:t>
            </w:r>
          </w:p>
        </w:tc>
        <w:tc>
          <w:tcPr>
            <w:tcW w:type="dxa" w:w="5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 and responsibility within the solution]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[Component 5]</w:t>
            </w:r>
          </w:p>
        </w:tc>
        <w:tc>
          <w:tcPr>
            <w:tcW w:type="dxa" w:w="5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 and responsibility within the solution]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component]</w:t>
            </w:r>
          </w:p>
        </w:tc>
        <w:tc>
          <w:tcPr>
            <w:tcW w:type="dxa" w:w="5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[Description]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E7DF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7030A0"/>
                <w:sz w:val="20"/>
                <w:szCs w:val="20"/>
              </w:rPr>
              <w:t>Note: [Record any sizing, capacity, licensing, or pricing-tier considerations relevant to the chosen platform and environments.]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5.2 Environments &amp; Deployment Topology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>[Describe the environments (e.g., Development, Test, Staging, Production) and how the solution is deployed and isolated across them.]</w:t>
      </w:r>
    </w:p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>Environment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type="dxa" w:w="2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Tier / Sizing</w:t>
            </w:r>
          </w:p>
        </w:tc>
        <w:tc>
          <w:tcPr>
            <w:tcW w:type="dxa" w:w="2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Access / Owner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Development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[Build and unit testing]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[Sizing]</w:t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[Team / group]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Test / QA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[Integration and acceptance testing]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[Sizing]</w:t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[Team / group]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Staging / Pre-Prod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[Pre-production validation]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[Sizing]</w:t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[Team / group]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Production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[Live service]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[Sizing]</w:t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[Team / group]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environment]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[Sizing]</w:t>
            </w:r>
          </w:p>
        </w:tc>
        <w:tc>
          <w:tcPr>
            <w:tcW w:type="dxa" w:w="2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>Access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type="dxa" w:w="4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  <w:tc>
          <w:tcPr>
            <w:tcW w:type="dxa" w:w="35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Assigned To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[Admin / Owner]</w:t>
            </w:r>
          </w:p>
        </w:tc>
        <w:tc>
          <w:tcPr>
            <w:tcW w:type="dxa" w:w="4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[Full control of the component / environment]</w:t>
            </w:r>
          </w:p>
        </w:tc>
        <w:tc>
          <w:tcPr>
            <w:tcW w:type="dxa" w:w="3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[Team / group]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[Contributor]</w:t>
            </w:r>
          </w:p>
        </w:tc>
        <w:tc>
          <w:tcPr>
            <w:tcW w:type="dxa" w:w="4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[Create and edit; cannot manage access]</w:t>
            </w:r>
          </w:p>
        </w:tc>
        <w:tc>
          <w:tcPr>
            <w:tcW w:type="dxa" w:w="3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[Team / group]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[Reader / Viewer]</w:t>
            </w:r>
          </w:p>
        </w:tc>
        <w:tc>
          <w:tcPr>
            <w:tcW w:type="dxa" w:w="4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[Read-only access]</w:t>
            </w:r>
          </w:p>
        </w:tc>
        <w:tc>
          <w:tcPr>
            <w:tcW w:type="dxa" w:w="3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[Team / group]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role]</w:t>
            </w:r>
          </w:p>
        </w:tc>
        <w:tc>
          <w:tcPr>
            <w:tcW w:type="dxa" w:w="4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[Permissions]</w:t>
            </w:r>
          </w:p>
        </w:tc>
        <w:tc>
          <w:tcPr>
            <w:tcW w:type="dxa" w:w="3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[Group]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5.3 Storage &amp; Persistence Design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>[Describe how and where the solution stores and persists data, including storage technology, structure, and any tiering.]</w:t>
      </w:r>
    </w:p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>Storage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Store / Tier</w:t>
            </w:r>
          </w:p>
        </w:tc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Location / Path</w:t>
            </w:r>
          </w:p>
        </w:tc>
        <w:tc>
          <w:tcPr>
            <w:tcW w:type="dxa" w:w="1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type="dxa" w:w="30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[Store / tier 1]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 / path]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[Format]</w:t>
            </w:r>
          </w:p>
        </w:tc>
        <w:tc>
          <w:tcPr>
            <w:tcW w:type="dxa" w:w="30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[Description]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[Store / tier 2]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 / path]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[Format]</w:t>
            </w:r>
          </w:p>
        </w:tc>
        <w:tc>
          <w:tcPr>
            <w:tcW w:type="dxa" w:w="30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[Description]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store / tier]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[Format]</w:t>
            </w:r>
          </w:p>
        </w:tc>
        <w:tc>
          <w:tcPr>
            <w:tcW w:type="dxa" w:w="30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[Description]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E7DF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7030A0"/>
                <w:sz w:val="20"/>
                <w:szCs w:val="20"/>
              </w:rPr>
              <w:t>Best Practice: [Record storage layout, partitioning, indexing, backup, or retention best practices relevant to the solution.]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5.4 Processing &amp; Application Logic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>Processing / Job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Process / Job</w:t>
            </w:r>
          </w:p>
        </w:tc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Trigger / Technology</w:t>
            </w:r>
          </w:p>
        </w:tc>
        <w:tc>
          <w:tcPr>
            <w:tcW w:type="dxa" w:w="39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[Process / job 1]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[Trigger / technology]</w:t>
            </w:r>
          </w:p>
        </w:tc>
        <w:tc>
          <w:tcPr>
            <w:tcW w:type="dxa" w:w="39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[Purpose]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[Process / job 2]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[Trigger / technology]</w:t>
            </w:r>
          </w:p>
        </w:tc>
        <w:tc>
          <w:tcPr>
            <w:tcW w:type="dxa" w:w="39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[Purpose]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[Process / job 3]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[Trigger / technology]</w:t>
            </w:r>
          </w:p>
        </w:tc>
        <w:tc>
          <w:tcPr>
            <w:tcW w:type="dxa" w:w="39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[Purpose]</w:t>
            </w:r>
          </w:p>
        </w:tc>
      </w:tr>
      <w:t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process]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[Trigger]</w:t>
            </w:r>
          </w:p>
        </w:tc>
        <w:tc>
          <w:tcPr>
            <w:tcW w:type="dxa" w:w="39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[Purpose]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>Processing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[Describe how processing/transformation logic is implemented and orchestrated.]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[Describe the tooling/approach for complex vs simple processing.]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All code and configuration is version-controlled in [source control / repository].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[Processing components follow a standard structure: configuration, execution, logging, and error handling.]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[Define data write/update patterns - e.g., insert, upsert, overwrite.]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5.5 Interfaces, APIs &amp; Integration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>Service / Interface Design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>[Describe the key interfaces, APIs, and integration points the solution exposes or consumes.]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type="dxa" w:w="6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[Interface / API]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[Protocol, format, and design decision]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[Data exchange pattern]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[e.g., sync/async, batch/real-time]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[Security / authentication]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[How the interface is secured]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parameter]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[Design decision]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>Integration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[Describe the key interfaces/APIs exposed by the solution and their consumers.]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[Describe ownership and versioning of interfaces/contracts.]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[Describe how downstream/consuming systems integrate.]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[Reference applicable interface/data standards and naming conventions.]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>6. Data &amp; Integration Design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6.1 Source &amp; Target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Interface / Pattern</w:t>
            </w:r>
          </w:p>
        </w:tc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type="dxa" w:w="17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Criticality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[Source / target system]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[Type]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[Interface / pattern]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[High/Med/Low]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[Source / target system]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[Type]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[Interface / pattern]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[High/Med/Low]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[Source / target system]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[Type]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[Interface / pattern]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[High/Med/Low]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[Source / target system]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[Type]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[Interface / pattern]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[High/Med/Low]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system]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[Type]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[Interface]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[Priority]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6.2 Data Entities &amp; Ownership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>[Describe the data/entity ownership model and how responsibility for data quality, access, and lifecycle is assigned.]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Domain / Entity</w:t>
            </w:r>
          </w:p>
        </w:tc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type="dxa" w:w="22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type="dxa" w:w="3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Key Data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[Domain / entity]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[Key data / objects]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[Domain / entity]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[Key data / objects]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[Domain / entity]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[Key data / objects]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[Domain / entity]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[Key data / objects]</w:t>
            </w:r>
          </w:p>
        </w:tc>
      </w:tr>
      <w:t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domain / entity]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[Owner]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[Location]</w:t>
            </w:r>
          </w:p>
        </w:tc>
        <w:tc>
          <w:tcPr>
            <w:tcW w:type="dxa" w:w="3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[Key data]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6.3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type="dxa" w:w="4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Handling Requirements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Public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Non-sensitive, publicly shareable information.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No restriction; may be shared externally.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Internal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General business information not for public release.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Internal sharing only; standard access controls.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Confidential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Sensitive business information (e.g., financials, strategy).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Restricted access; encryption at rest and in transit; audit logging.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Highly Confidential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Personal data (PII), payment, or health data.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Minimum necessary access; sensitivity labelling; masking/tokenisation; DLP enforced.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6.4 Data Quality &amp; Validation</w:t>
      </w: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Quality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type="dxa" w:w="2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type="dxa" w:w="45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Completeness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All required fields are populated.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[Validation rule / check]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Accuracy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Values conform to business rules and reference data.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[Validation rule / check]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Consistency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Data is consistent across systems and interfaces.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[Reconciliation / check]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Timeliness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Data is available within agreed SLA windows.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[Monitoring / SLA check]</w:t>
            </w:r>
          </w:p>
        </w:tc>
      </w:tr>
      <w:tr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Uniqueness</w:t>
            </w:r>
          </w:p>
        </w:tc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No unintended duplicate records.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[Deduplication / check]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[Describe how data quality results are captured and reported.]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[Define how quality failures are alerted and handled.]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[Specify acceptable quality thresholds - e.g., Completeness &gt; 99%.]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7.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E7DF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7030A0"/>
                <w:sz w:val="20"/>
                <w:szCs w:val="20"/>
              </w:rPr>
              <w:t>Compliance Requirement: This design must align with [ISO 27001 / GDPR / SOC 2 / Cyber Essentials / NHS DSP Toolkit - specify applicable standards]. Security architecture decisions are subject to review by the Information Security team.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7.1 Identity &amp; Access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All authentication uses [identity provider - e.g., Microsoft Entra ID].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Multi-Factor Authentication (MFA) is mandatory for all administrative and user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Service / workload authentication uses managed identities or service principals; no stored credentials or secrets in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Just-in-time, approval-based privileged access is enforced for administrative roles.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Conditional / context-based access policies restrict access to compliant, managed devices.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7.2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type="dxa" w:w="2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type="dxa" w:w="45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Assigned To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[Global / tenant admin]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[Tenant / organisation]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[Admin team / group]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[Platform / service admin]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[Platform / service]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[Group]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[Environment admin]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[Environment]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[Group]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[Contributor / editor]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[Workspace / resource]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[Group]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[Reader / viewer]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[Workspace / resource]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[Group]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[Service / automation identity]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[Resource]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[Managed identity / service principal]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role]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[Scope]</w:t>
            </w:r>
          </w:p>
        </w:tc>
        <w:tc>
          <w:tcPr>
            <w:tcW w:type="dxa" w:w="4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[Group]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7.3 Data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Encryption at rest: [AES-256 / platform-managed keys]; [customer-managed keys] for Highly Confidential data where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Encryption in transit: TLS 1.2 minimum enforced on all endpoints.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PII is masked or tokenised during processing; raw PII is accessible only to authorised roles with a documented business need.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[Sensitivity labels / classification] are applied to assets and inherited by downstream consumers.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Data Loss Prevention (DLP) policies prevent export of Highly Confidential data.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7.4 Network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type="dxa" w:w="65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Private / restricted endpoints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[Approach to private connectivity]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Network segmentation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[VNet / subnet / segmentation approach]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Public access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[Public exposure and restrictions]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Firewall / NSG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[Inbound / outbound traffic rules]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Hybrid connectivity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[VPN / ExpressRoute / gateway approach, if any]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7.5 Audit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Audit logging is enabled and forwarded to [central logging / SIEM] with [retention] retention.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Diagnostic logging is enabled on all supporting resources.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[Access and lineage logging] is captured for sensitive assets.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Periodic access reviews are conducted for all roles.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>8. Governance &amp; Compliance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8.1 Governance Framework &amp; Tooling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>[Describe the governance framework and tooling used to catalogue, classify, secure, and manage assets across the solution.]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type="dxa" w:w="6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Catalogue / inventory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[How assets are catalogued and discovered]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Lineage / traceability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[How lineage and traceability are captured]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Classification &amp; labelling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[How sensitivity is classified and labelled]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Access policy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[How access is requested and granted]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Quality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[How quality is measured and reported]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capability]</w:t>
            </w:r>
          </w:p>
        </w:tc>
        <w:tc>
          <w:tcPr>
            <w:tcW w:type="dxa" w:w="6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[Use]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8.2 Standards &amp;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[A centralised catalogue / glossary of standards and definitions is maintained.]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[Each entry includes: definition, owner, related assets, and references.]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[Key entities and outputs must have a corresponding definition before certification.]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[Define glossary governance process and review cadence]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8.3 Approval &amp;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type="dxa" w:w="4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type="dxa" w:w="28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Granted By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[Promoted / Reviewed]</w:t>
            </w:r>
          </w:p>
        </w:tc>
        <w:tc>
          <w:tcPr>
            <w:tcW w:type="dxa" w:w="4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[Usable and maintained by the owning team.]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[Asset Owner]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[Certified / Approved]</w:t>
            </w:r>
          </w:p>
        </w:tc>
        <w:tc>
          <w:tcPr>
            <w:tcW w:type="dxa" w:w="4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[Meets enterprise quality, security, and documentation standards.]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[Governance Board / Central Team]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8.4 Lifecycle &amp;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Retention policies are defined per data classification and regulatory requirement.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[Storage lifecycle is managed via tiering rules - e.g., Hot &gt; Cool &gt; Archive &gt; Delete.]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[Housekeeping / cleanup jobs run on a schedule to remove stale data; extend retention for regulated data.]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Item / Data Type</w:t>
            </w:r>
          </w:p>
        </w:tc>
        <w:tc>
          <w:tcPr>
            <w:tcW w:type="dxa" w:w="68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Retention Period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[Data type / category 1]</w:t>
            </w:r>
          </w:p>
        </w:tc>
        <w:tc>
          <w:tcPr>
            <w:tcW w:type="dxa" w:w="6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[e.g., 7 years]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[Data type / category 2]</w:t>
            </w:r>
          </w:p>
        </w:tc>
        <w:tc>
          <w:tcPr>
            <w:tcW w:type="dxa" w:w="6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[e.g., 2 years]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item]</w:t>
            </w:r>
          </w:p>
        </w:tc>
        <w:tc>
          <w:tcPr>
            <w:tcW w:type="dxa" w:w="6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[Retention period]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9. Monitoring &amp; Operations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9.1 Monitoring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Monitoring Area</w:t>
            </w:r>
          </w:p>
        </w:tc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type="dxa" w:w="4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Availability / Health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[Tool]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[What is monitored and thresholds]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Performance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[Tool]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[Latency / throughput metrics]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Jobs / Processes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[Tool]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[Success/failure/duration; alert conditions]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Logs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[Tool]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[Centralised logging and retention]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Cost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[Tool]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[Cost tracking / chargeback]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Security &amp; Audit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[Tool]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[Audit log ingestion; anomaly detection]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Usage / Adoption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[Tool]</w:t>
            </w:r>
          </w:p>
        </w:tc>
        <w:tc>
          <w:tcPr>
            <w:tcW w:type="dxa" w:w="4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[Usage metrics and reporting]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9.2 Alerting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Alert Condition</w:t>
            </w:r>
          </w:p>
        </w:tc>
        <w:tc>
          <w:tcPr>
            <w:tcW w:type="dxa" w:w="1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Notification Channel</w:t>
            </w:r>
          </w:p>
        </w:tc>
        <w:tc>
          <w:tcPr>
            <w:tcW w:type="dxa" w:w="28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Escalation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[Critical failure]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Critical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[Channel]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[On-call -&gt; owner within X mins]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[Degraded performance]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High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[Channel]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 within X mins]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[Threshold breach]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Medium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[Channel]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[Owner within X hours]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[Security anomaly]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Critical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[SIEM / SecOps]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[SecOps immediately]</w:t>
            </w:r>
          </w:p>
        </w:tc>
      </w:tr>
      <w:tr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alert]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[Severity]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[Channel]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[Escalation]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9.3 SLA &amp; SLO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SLO / Target</w:t>
            </w:r>
          </w:p>
        </w:tc>
        <w:tc>
          <w:tcPr>
            <w:tcW w:type="dxa" w:w="28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Measurement Window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[Service availability]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[e.g., 99.5% monthly]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Monthly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[Process completion / on-time]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[e.g., &gt;=98% on time]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Monthly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[Incident response (Critical)]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[e.g., 15 min acknowledgement]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Per incident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[Performance / latency]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[Target]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[Window]</w:t>
            </w:r>
          </w:p>
        </w:tc>
      </w:tr>
      <w:tr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service]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[Target]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[Window]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9.4 Deployment &amp; Release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All infrastructure is deployed as Infrastructure-as-Code (IaC) using [Bicep / Terraform / ARM], version-controlled in [repository].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Application/solution artefacts are deployed via [CI/CD tooling] across Dev &gt; Test &gt;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CI/CD pipelines validate, test, and deploy changes with approval gates before production promotion.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Hotfix process: critical production fixes follow an expedited review and deployment process with dual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 xml:space="preserve">[Define branching strategy: e.g., GitFlow or trunk-based development]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10. Cost Management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10.1 Cost Estimation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E7DF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7030A0"/>
                <w:sz w:val="20"/>
                <w:szCs w:val="20"/>
              </w:rPr>
              <w:t>Note: The following is a high-level indicative cost framework. Detailed cost modelling should be completed using the relevant vendor pricing calculator and validated against projected consumption.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Cost Component</w:t>
            </w:r>
          </w:p>
        </w:tc>
        <w:tc>
          <w:tcPr>
            <w:tcW w:type="dxa" w:w="3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Basis</w:t>
            </w:r>
          </w:p>
        </w:tc>
        <w:tc>
          <w:tcPr>
            <w:tcW w:type="dxa" w:w="28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Estimated Monthly Cost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Compute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[Sizing / usage basis]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[X,XXX]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Storage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[Volume / tier]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[XXX]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Networking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[Egress / bandwidth]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[XXX]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Licensing / Subscriptions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[Per user / capacity]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[XXX]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Integration / Messaging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[Throughput]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[XXX]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Monitoring / Logging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[Ingestion + retention]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[XXX]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Support / Tooling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[Licences]</w:t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[XXX]</w:t>
            </w:r>
          </w:p>
        </w:tc>
      </w:tr>
      <w:tr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Total Estimated Monthly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</w:r>
          </w:p>
        </w:tc>
        <w:tc>
          <w:tcPr>
            <w:tcW w:type="dxa" w:w="28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[XX,XXX]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10.2 Cost Optimisation Measures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[Non-production environments are paused / scaled down outside business hours.]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[Storage lifecycle policies tier cold data to lower-cost tiers.]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[Compute autoscaling is tuned to avoid over-provisioning.]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Regular (monthly) utilisation reviews to right-size resources.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Reserved / committed-use pricing evaluated for steady-state production workloads.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1000"/>
        <w:gridCol w:w="3760"/>
      </w:tblGrid>
      <w:tr>
        <w:trPr>
          <w:tblHeader/>
        </w:trPr>
        <w:tc>
          <w:tcPr>
            <w:tcW w:type="dxa" w:w="9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Risk Description</w:t>
            </w:r>
          </w:p>
        </w:tc>
        <w:tc>
          <w:tcPr>
            <w:tcW w:type="dxa" w:w="12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type="dxa" w:w="10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type="dxa" w:w="37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R-01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[Risk description]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3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[Mitigation]</w:t>
            </w:r>
          </w:p>
        </w:tc>
      </w:tr>
      <w:t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R-02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[Risk description]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3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[Mitigation]</w:t>
            </w:r>
          </w:p>
        </w:tc>
      </w:tr>
      <w:t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R-03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[Risk description]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3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[Mitigation]</w:t>
            </w:r>
          </w:p>
        </w:tc>
      </w:tr>
      <w:t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R-04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[Risk description]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3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[Mitigation]</w:t>
            </w:r>
          </w:p>
        </w:tc>
      </w:tr>
      <w:t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R-05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[Risk description]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3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[Mitigation]</w:t>
            </w:r>
          </w:p>
        </w:tc>
      </w:tr>
      <w:t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R-0X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risk]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[L/M/H]</w:t>
            </w:r>
          </w:p>
        </w:tc>
        <w:tc>
          <w:tcPr>
            <w:tcW w:type="dxa" w:w="3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[Mitigation]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12. Architecture Decision Log</w:t>
      </w:r>
    </w:p>
    <w:p>
      <w:pPr>
        <w:spacing w:after="120" w:before="80"/>
      </w:pPr>
      <w:r>
        <w:rPr>
          <w:rFonts w:ascii="Segoe UI" w:cs="Segoe UI" w:eastAsia="Segoe UI" w:hAnsi="Segoe UI"/>
          <w:sz w:val="22"/>
          <w:szCs w:val="22"/>
        </w:rPr>
        <w:t xml:space="preserve">Key architectural decisions are recorded below. Detailed Architecture Decision Records (ADRs) are maintained separately (see Related Documents).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500"/>
        <w:gridCol w:w="1800"/>
        <w:gridCol w:w="1760"/>
      </w:tblGrid>
      <w:tr>
        <w:trPr>
          <w:tblHeader/>
        </w:trPr>
        <w:tc>
          <w:tcPr>
            <w:tcW w:type="dxa" w:w="11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ADR ID</w:t>
            </w:r>
          </w:p>
        </w:tc>
        <w:tc>
          <w:tcPr>
            <w:tcW w:type="dxa" w:w="22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type="dxa" w:w="2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type="dxa" w:w="1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  <w:tc>
          <w:tcPr>
            <w:tcW w:type="dxa" w:w="17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ADR-001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[Decision]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[Rationale]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[Alternatives considered]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[Proposed / Accepted]</w:t>
            </w:r>
          </w:p>
        </w:tc>
      </w:tr>
      <w:t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ADR-002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[Decision]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[Rationale]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[Alternatives considered]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[Proposed / Accepted]</w:t>
            </w:r>
          </w:p>
        </w:tc>
      </w:tr>
      <w:t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ADR-003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[Decision]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[Rationale]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[Alternatives considered]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[Proposed / Accepted]</w:t>
            </w:r>
          </w:p>
        </w:tc>
      </w:tr>
      <w:t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ADR-004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[Decision]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[Rationale]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[Alternatives considered]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[Proposed / Accepted]</w:t>
            </w:r>
          </w:p>
        </w:tc>
      </w:tr>
      <w:t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ADR-005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[Decision]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[Rationale]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[Alternatives considered]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[Proposed / Accepted]</w:t>
            </w:r>
          </w:p>
        </w:tc>
      </w:tr>
      <w:t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ADR-00X</w:t>
            </w:r>
          </w:p>
        </w:tc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decision]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[Rationale]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[Alternatives]</w:t>
            </w:r>
          </w:p>
        </w:tc>
        <w:tc>
          <w:tcPr>
            <w:tcW w:type="dxa" w:w="17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[Proposed]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</w:rPr>
        <w:t xml:space="preserve">13. Appendices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Appendix A: 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type="dxa" w:w="65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HLD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High-Level Design - overall architecture and major components of a solution.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LLD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Low-Level Design - detailed component, configuration, and implementation specification.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ADR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Architecture Decision Record - a documented record of a significant architectural decision.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RBAC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Role-Based Access Control - access granted based on assigned roles.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IAM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Identity and Access Management.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MFA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Multi-Factor Authentication.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SLA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Service Level Agreement - a committed level of service.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SLO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Service Level Objective - a target metric within an SLA.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RTO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Recovery Time Objective - target time to restore service after an incident.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RPO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Recovery Point Objective - maximum acceptable data loss measured in time.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IaC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Infrastructure as Code - provisioning infrastructure via version-controlled code.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CI/CD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Continuous Integration / Continuous Delivery.</w:t>
            </w:r>
          </w:p>
        </w:tc>
      </w:tr>
      <w:tr>
        <w:tc>
          <w:tcPr>
            <w:tcW w:type="dxa" w:w="2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PII</w:t>
            </w:r>
          </w:p>
        </w:tc>
        <w:tc>
          <w:tcPr>
            <w:tcW w:type="dxa" w:w="65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Personally Identifiable Information.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>Appendix B: Reference Links &amp;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[Organisation architecture standards - link]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[Security &amp; compliance baseline - link]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[Relevant platform / vendor documentation - link]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[Governance / data management standards - link]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Well-Architected / design framework reference - [link]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sz w:val="22"/>
          <w:szCs w:val="22"/>
        </w:rPr>
        <w:t>[Reference architecture - link]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</w:rPr>
        <w:t xml:space="preserve">Appendix C: Open Items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700"/>
        <w:gridCol w:w="1500"/>
        <w:gridCol w:w="1460"/>
      </w:tblGrid>
      <w:tr>
        <w:trPr>
          <w:tblHeader/>
        </w:trPr>
        <w:tc>
          <w:tcPr>
            <w:tcW w:type="dxa" w:w="12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Item ID</w:t>
            </w:r>
          </w:p>
        </w:tc>
        <w:tc>
          <w:tcPr>
            <w:tcW w:type="dxa" w:w="3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type="dxa" w:w="17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type="dxa" w:w="150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type="dxa" w:w="1460"/>
            <w:tcBorders>
              <w:top w:val="single" w:color="5F2861" w:sz="6"/>
              <w:left w:val="single" w:color="5F2861" w:sz="6"/>
              <w:bottom w:val="single" w:color="5F2861" w:sz="6"/>
              <w:right w:val="single" w:color="5F2861" w:sz="6"/>
            </w:tcBorders>
            <w:shd w:fill="5F28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OI-001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[Open item / action]</w:t>
            </w:r>
          </w:p>
        </w:tc>
        <w:tc>
          <w:tcPr>
            <w:tcW w:type="dxa" w:w="1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[Name]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  <w:tc>
          <w:tcPr>
            <w:tcW w:type="dxa" w:w="14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Open</w:t>
            </w:r>
          </w:p>
        </w:tc>
      </w:tr>
      <w:t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OI-002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[Open item / action]</w:t>
            </w:r>
          </w:p>
        </w:tc>
        <w:tc>
          <w:tcPr>
            <w:tcW w:type="dxa" w:w="1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[Name]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  <w:tc>
          <w:tcPr>
            <w:tcW w:type="dxa" w:w="14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Open</w:t>
            </w:r>
          </w:p>
        </w:tc>
      </w:tr>
      <w:t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OI-003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[Open item / action]</w:t>
            </w:r>
          </w:p>
        </w:tc>
        <w:tc>
          <w:tcPr>
            <w:tcW w:type="dxa" w:w="1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[Name]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  <w:tc>
          <w:tcPr>
            <w:tcW w:type="dxa" w:w="14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Open</w:t>
            </w:r>
          </w:p>
        </w:tc>
      </w:tr>
      <w:t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OI-004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[Open item / action]</w:t>
            </w:r>
          </w:p>
        </w:tc>
        <w:tc>
          <w:tcPr>
            <w:tcW w:type="dxa" w:w="1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[Name]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  <w:tc>
          <w:tcPr>
            <w:tcW w:type="dxa" w:w="14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Open</w:t>
            </w:r>
          </w:p>
        </w:tc>
      </w:tr>
      <w:t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OI-005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[Open item / action]</w:t>
            </w:r>
          </w:p>
        </w:tc>
        <w:tc>
          <w:tcPr>
            <w:tcW w:type="dxa" w:w="1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[Name]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[Date]</w:t>
            </w:r>
          </w:p>
        </w:tc>
        <w:tc>
          <w:tcPr>
            <w:tcW w:type="dxa" w:w="14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Open</w:t>
            </w:r>
          </w:p>
        </w:tc>
      </w:tr>
      <w:t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OI-00X</w:t>
            </w:r>
          </w:p>
        </w:tc>
        <w:tc>
          <w:tcPr>
            <w:tcW w:type="dxa" w:w="3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[Add open item]</w:t>
            </w:r>
          </w:p>
        </w:tc>
        <w:tc>
          <w:tcPr>
            <w:tcW w:type="dxa" w:w="1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</w:r>
          </w:p>
        </w:tc>
        <w:tc>
          <w:tcPr>
            <w:tcW w:type="dxa" w:w="14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2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>Open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F2861" w:sz="6" w:space="4"/>
      </w:pBdr>
      <w:tabs>
        <w:tab w:val="right" w:pos="9000"/>
      </w:tabs>
      <w:spacing w:after="0" w:before="80"/>
    </w:pPr>
    <w:r>
      <w:rPr>
        <w:rFonts w:ascii="Segoe UI" w:cs="Segoe UI" w:eastAsia="Segoe UI" w:hAnsi="Segoe UI"/>
        <w:color w:val="404040"/>
        <w:sz w:val="18"/>
        <w:szCs w:val="18"/>
      </w:rPr>
      <w:t xml:space="preserve">[Organisation Name] | Confidential</w:t>
    </w:r>
    <w:r>
      <w:rPr>
        <w:rFonts w:ascii="Segoe UI" w:cs="Segoe UI" w:eastAsia="Segoe UI" w:hAnsi="Segoe UI"/>
      </w:rPr>
      <w:t xml:space="preserve">	</w:t>
    </w:r>
    <w:r>
      <w:rPr>
        <w:rFonts w:ascii="Segoe UI" w:cs="Segoe UI" w:eastAsia="Segoe UI" w:hAnsi="Segoe UI"/>
        <w:color w:val="404040"/>
        <w:sz w:val="18"/>
        <w:szCs w:val="18"/>
      </w:rPr>
      <w:t xml:space="preserve">Page [auto-numbered on open]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F2861" w:sz="6" w:space="4"/>
      </w:pBdr>
      <w:tabs>
        <w:tab w:val="right" w:pos="9000"/>
      </w:tabs>
      <w:spacing w:after="80" w:before="0"/>
    </w:pPr>
    <w:r>
      <w:rPr>
        <w:rFonts w:ascii="Segoe UI" w:cs="Segoe UI" w:eastAsia="Segoe UI" w:hAnsi="Segoe UI"/>
        <w:color w:val="404040"/>
        <w:sz w:val="18"/>
        <w:szCs w:val="18"/>
      </w:rPr>
      <w:t>High-Level Design | [Product / Service Name]</w:t>
    </w:r>
    <w:r>
      <w:rPr>
        <w:rFonts w:ascii="Segoe UI" w:cs="Segoe UI" w:eastAsia="Segoe UI" w:hAnsi="Segoe UI"/>
      </w:rPr>
      <w:t xml:space="preserve">	</w:t>
    </w:r>
    <w:r>
      <w:rPr>
        <w:rFonts w:ascii="Segoe UI" w:cs="Segoe UI" w:eastAsia="Segoe UI" w:hAnsi="Segoe UI"/>
        <w:i/>
        <w:iCs/>
        <w:color w:val="404040"/>
        <w:sz w:val="18"/>
        <w:szCs w:val="18"/>
      </w:rPr>
      <w:t xml:space="preserve">[INTERNAL]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7030A0"/>
      <w:sz w:val="32"/>
      <w:szCs w:val="32"/>
    </w:rPr>
  </w:style>
  <w:style w:type="paragraph" w:styleId="Heading2">
    <w:name w:val="Heading 2"/>
    <w:basedOn w:val="Normal"/>
    <w:next w:val="Normal"/>
    <w:qFormat/>
    <w:rPr>
      <w:color w:val="7030A0"/>
      <w:sz w:val="26"/>
      <w:szCs w:val="26"/>
    </w:rPr>
  </w:style>
  <w:style w:type="paragraph" w:styleId="Heading3">
    <w:name w:val="Heading 3"/>
    <w:basedOn w:val="Normal"/>
    <w:next w:val="Normal"/>
    <w:qFormat/>
    <w:rPr>
      <w:color w:val="7030A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7030A0"/>
    </w:rPr>
  </w:style>
  <w:style w:type="paragraph" w:styleId="Heading5">
    <w:name w:val="Heading 5"/>
    <w:basedOn w:val="Normal"/>
    <w:next w:val="Normal"/>
    <w:qFormat/>
    <w:rPr>
      <w:color w:val="7030A0"/>
    </w:rPr>
  </w:style>
  <w:style w:type="paragraph" w:styleId="Heading6">
    <w:name w:val="Heading 6"/>
    <w:basedOn w:val="Normal"/>
    <w:next w:val="Normal"/>
    <w:qFormat/>
    <w:rPr>
      <w:color w:val="7030A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F2861" w:sz="8" w:space="4"/>
      </w:pBdr>
      <w:spacing w:after="160" w:before="360"/>
      <w:outlineLvl w:val="0"/>
    </w:pPr>
    <w:rPr>
      <w:rFonts w:ascii="Segoe UI" w:cs="Segoe UI" w:eastAsia="Segoe UI" w:hAnsi="Segoe UI"/>
      <w:b/>
      <w:bCs/>
      <w:color w:val="7030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egoe UI" w:cs="Segoe UI" w:eastAsia="Segoe UI" w:hAnsi="Segoe UI"/>
      <w:b/>
      <w:bCs/>
      <w:color w:val="7030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egoe UI" w:cs="Segoe UI" w:eastAsia="Segoe UI" w:hAnsi="Segoe UI"/>
      <w:b/>
      <w:bCs/>
      <w:color w:val="7030A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Segoe UI" w:cs="Segoe UI" w:eastAsia="Segoe UI" w:hAnsi="Segoe UI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2026-05-18T12:34:25.764Z</dcterms:created>
  <dcterms:modified xsi:type="dcterms:W3CDTF">2026-05-18T12:34:25.764Z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