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A20E8" w14:textId="77777777" w:rsidR="0026123B" w:rsidRDefault="0026123B">
      <w:pPr>
        <w:spacing w:before="720" w:after="240"/>
        <w:jc w:val="center"/>
      </w:pPr>
      <w:r>
        <w:rPr>
          <w:noProof/>
        </w:rPr>
        <w:drawing>
          <wp:inline distT="0" distB="0" distL="0" distR="0" wp14:anchorId="334CFBDC" wp14:editId="2B66E7BD">
            <wp:extent cx="3317240" cy="1116330"/>
            <wp:effectExtent l="0" t="0" r="0" b="0"/>
            <wp:docPr id="100" name="CQC Logo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QC Logo Cover"/>
                    <pic:cNvPicPr>
                      <a:picLocks noChangeAspect="1" noChangeArrowheads="1"/>
                    </pic:cNvPicPr>
                  </pic:nvPicPr>
                  <pic:blipFill>
                    <a:blip r:embed="rId7"/>
                    <a:stretch>
                      <a:fillRect/>
                    </a:stretch>
                  </pic:blipFill>
                  <pic:spPr bwMode="auto">
                    <a:xfrm>
                      <a:off x="0" y="0"/>
                      <a:ext cx="3317240" cy="1116330"/>
                    </a:xfrm>
                    <a:prstGeom prst="rect">
                      <a:avLst/>
                    </a:prstGeom>
                  </pic:spPr>
                </pic:pic>
              </a:graphicData>
            </a:graphic>
          </wp:inline>
        </w:drawing>
      </w:r>
    </w:p>
    <w:p w14:paraId="44AD4012" w14:textId="77777777" w:rsidR="0026123B" w:rsidRDefault="00000000">
      <w:pPr>
        <w:spacing w:after="60"/>
        <w:jc w:val="center"/>
      </w:pPr>
      <w:r>
        <w:rPr>
          <w:b/>
          <w:bCs/>
          <w:color w:val="7030A0"/>
          <w:sz w:val="56"/>
          <w:szCs w:val="56"/>
        </w:rPr>
        <w:t>CLOUD ASSESSMENT</w:t>
      </w:r>
    </w:p>
    <w:p w14:paraId="457FB992" w14:textId="77777777" w:rsidR="0026123B" w:rsidRDefault="00000000">
      <w:pPr>
        <w:pBdr>
          <w:bottom w:val="single" w:sz="12" w:space="2" w:color="5F2861"/>
        </w:pBdr>
        <w:spacing w:after="240"/>
        <w:jc w:val="center"/>
      </w:pPr>
      <w:r>
        <w:rPr>
          <w:color w:val="7030A0"/>
          <w:sz w:val="32"/>
          <w:szCs w:val="32"/>
        </w:rPr>
        <w:t>Detailed Summary &amp; Prioritised Work Packages</w:t>
      </w:r>
    </w:p>
    <w:p w14:paraId="4FFEF75F"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1DD20746" w14:textId="77777777">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0364CF7B" w14:textId="77777777" w:rsidR="0026123B" w:rsidRDefault="00000000">
            <w:pPr>
              <w:jc w:val="center"/>
            </w:pPr>
            <w:r>
              <w:rPr>
                <w:b/>
                <w:bCs/>
                <w:color w:val="FFFFFF"/>
                <w:sz w:val="40"/>
                <w:szCs w:val="40"/>
              </w:rPr>
              <w:t>PREPARED FOR</w:t>
            </w:r>
          </w:p>
          <w:p w14:paraId="4D785E9A" w14:textId="77777777" w:rsidR="0026123B" w:rsidRDefault="00000000">
            <w:pPr>
              <w:spacing w:before="80"/>
              <w:jc w:val="center"/>
            </w:pPr>
            <w:r>
              <w:rPr>
                <w:i/>
                <w:iCs/>
                <w:color w:val="F2EEF2"/>
                <w:sz w:val="28"/>
                <w:szCs w:val="28"/>
              </w:rPr>
              <w:t>Care Quality Commission</w:t>
            </w:r>
          </w:p>
        </w:tc>
      </w:tr>
    </w:tbl>
    <w:p w14:paraId="1D6DCD4B"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17FD62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86966F4" w14:textId="77777777" w:rsidR="0026123B" w:rsidRDefault="00000000">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9F54AB" w14:textId="77777777" w:rsidR="0026123B" w:rsidRDefault="00000000">
            <w:r>
              <w:t>CQC-CLOUD-ASSESS-SUM-001</w:t>
            </w:r>
          </w:p>
        </w:tc>
      </w:tr>
      <w:tr w:rsidR="0026123B" w14:paraId="3E8D05B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483CB7" w14:textId="77777777" w:rsidR="0026123B" w:rsidRDefault="00000000">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4DED14" w14:textId="77777777" w:rsidR="0026123B" w:rsidRDefault="00000000">
            <w:r>
              <w:t>0.1 — DRAFT</w:t>
            </w:r>
          </w:p>
        </w:tc>
      </w:tr>
      <w:tr w:rsidR="0026123B" w14:paraId="7F83F82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321F40F" w14:textId="77777777" w:rsidR="0026123B" w:rsidRDefault="00000000">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9CB978" w14:textId="77777777" w:rsidR="0026123B" w:rsidRDefault="00000000">
            <w:r>
              <w:t>OFFICIAL — Internal / Confidential</w:t>
            </w:r>
          </w:p>
        </w:tc>
      </w:tr>
      <w:tr w:rsidR="0026123B" w14:paraId="24AE760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D3B58E" w14:textId="77777777" w:rsidR="0026123B" w:rsidRDefault="00000000">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E8C3DB" w14:textId="77777777" w:rsidR="0026123B" w:rsidRDefault="00000000">
            <w:r>
              <w:t>17 July 2026</w:t>
            </w:r>
          </w:p>
        </w:tc>
      </w:tr>
      <w:tr w:rsidR="0026123B" w14:paraId="0557C6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3F30A10" w14:textId="77777777" w:rsidR="0026123B" w:rsidRDefault="00000000">
            <w:r>
              <w:rPr>
                <w:b/>
                <w:bCs/>
                <w:color w:val="5F2861"/>
              </w:rPr>
              <w:t>Prepared by: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D5FD00" w14:textId="77777777" w:rsidR="0026123B" w:rsidRDefault="00000000">
            <w:r>
              <w:t>[Name, Title]</w:t>
            </w:r>
          </w:p>
        </w:tc>
      </w:tr>
      <w:tr w:rsidR="0026123B" w14:paraId="3D6ECAB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58FE17" w14:textId="77777777" w:rsidR="0026123B" w:rsidRDefault="00000000">
            <w:r>
              <w:rPr>
                <w:b/>
                <w:bCs/>
                <w:color w:val="5F2861"/>
              </w:rPr>
              <w:t>Organisation: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1875DF" w14:textId="77777777" w:rsidR="0026123B" w:rsidRDefault="00000000">
            <w:r>
              <w:t>Care Quality Commission (CQC)</w:t>
            </w:r>
          </w:p>
        </w:tc>
      </w:tr>
      <w:tr w:rsidR="0026123B" w14:paraId="34F7C60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E63E576" w14:textId="77777777" w:rsidR="0026123B" w:rsidRDefault="00000000">
            <w:r>
              <w:rPr>
                <w:b/>
                <w:bCs/>
                <w:color w:val="5F2861"/>
              </w:rPr>
              <w:t>Source Assessment: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66B9EF" w14:textId="77777777" w:rsidR="0026123B" w:rsidRDefault="00000000">
            <w:r>
              <w:t>Hitachi Solutions Europe — ACS_920 / 921 / 922</w:t>
            </w:r>
          </w:p>
        </w:tc>
      </w:tr>
      <w:tr w:rsidR="0026123B" w14:paraId="6EEC449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753AA9" w14:textId="77777777" w:rsidR="0026123B" w:rsidRDefault="00000000">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5834BE" w14:textId="77777777" w:rsidR="0026123B" w:rsidRDefault="00000000">
            <w:r>
              <w:t>UK South</w:t>
            </w:r>
          </w:p>
        </w:tc>
      </w:tr>
      <w:tr w:rsidR="0026123B" w14:paraId="7B5E2AF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90F964A" w14:textId="77777777" w:rsidR="0026123B" w:rsidRDefault="00000000">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057B75" w14:textId="77777777" w:rsidR="0026123B" w:rsidRDefault="00000000">
            <w:r>
              <w:t>UK West</w:t>
            </w:r>
          </w:p>
        </w:tc>
      </w:tr>
    </w:tbl>
    <w:p w14:paraId="66A34269" w14:textId="77777777" w:rsidR="0026123B" w:rsidRDefault="00000000">
      <w:r>
        <w:br w:type="page"/>
      </w:r>
    </w:p>
    <w:p w14:paraId="20379994" w14:textId="77777777" w:rsidR="0026123B" w:rsidRDefault="0026123B">
      <w:pPr>
        <w:sectPr w:rsidR="0026123B">
          <w:headerReference w:type="default" r:id="rId8"/>
          <w:footerReference w:type="default" r:id="rId9"/>
          <w:pgSz w:w="12240" w:h="15840"/>
          <w:pgMar w:top="1440" w:right="1440" w:bottom="1440" w:left="1440" w:header="708" w:footer="708" w:gutter="0"/>
          <w:cols w:space="720"/>
          <w:docGrid w:linePitch="360"/>
        </w:sectPr>
      </w:pPr>
    </w:p>
    <w:p w14:paraId="100B77AB" w14:textId="77777777" w:rsidR="0026123B" w:rsidRDefault="00000000">
      <w:pPr>
        <w:pStyle w:val="Heading1"/>
      </w:pPr>
      <w:bookmarkStart w:id="0" w:name="_Toc235173299"/>
      <w:r>
        <w:lastRenderedPageBreak/>
        <w:t>Table of Contents</w:t>
      </w:r>
      <w:bookmarkEnd w:id="0"/>
    </w:p>
    <w:sdt>
      <w:sdtPr>
        <w:alias w:val="Table of Contents"/>
        <w:id w:val="908199895"/>
      </w:sdtPr>
      <w:sdtContent>
        <w:p w14:paraId="2993E48A" w14:textId="3A280898" w:rsidR="00D0259C" w:rsidRDefault="00000000">
          <w:pPr>
            <w:pStyle w:val="TOC1"/>
            <w:tabs>
              <w:tab w:val="right" w:leader="dot" w:pos="9350"/>
            </w:tabs>
            <w:rPr>
              <w:noProof/>
            </w:rPr>
          </w:pPr>
          <w:r>
            <w:fldChar w:fldCharType="begin"/>
          </w:r>
          <w:r>
            <w:instrText>TOC \h \o "1-3" \t "Heading 1,1,Heading 2,2,Heading 3,3"</w:instrText>
          </w:r>
          <w:r>
            <w:fldChar w:fldCharType="separate"/>
          </w:r>
          <w:hyperlink w:anchor="_Toc235173299" w:history="1">
            <w:r w:rsidR="00D0259C" w:rsidRPr="007327CA">
              <w:rPr>
                <w:rStyle w:val="Hyperlink"/>
                <w:noProof/>
              </w:rPr>
              <w:t>Table of Contents</w:t>
            </w:r>
            <w:r w:rsidR="00D0259C">
              <w:rPr>
                <w:noProof/>
              </w:rPr>
              <w:tab/>
            </w:r>
            <w:r w:rsidR="00D0259C">
              <w:rPr>
                <w:noProof/>
              </w:rPr>
              <w:fldChar w:fldCharType="begin"/>
            </w:r>
            <w:r w:rsidR="00D0259C">
              <w:rPr>
                <w:noProof/>
              </w:rPr>
              <w:instrText xml:space="preserve"> PAGEREF _Toc235173299 \h </w:instrText>
            </w:r>
            <w:r w:rsidR="00D0259C">
              <w:rPr>
                <w:noProof/>
              </w:rPr>
            </w:r>
            <w:r w:rsidR="00D0259C">
              <w:rPr>
                <w:noProof/>
              </w:rPr>
              <w:fldChar w:fldCharType="separate"/>
            </w:r>
            <w:r w:rsidR="00D0259C">
              <w:rPr>
                <w:noProof/>
              </w:rPr>
              <w:t>2</w:t>
            </w:r>
            <w:r w:rsidR="00D0259C">
              <w:rPr>
                <w:noProof/>
              </w:rPr>
              <w:fldChar w:fldCharType="end"/>
            </w:r>
          </w:hyperlink>
        </w:p>
        <w:p w14:paraId="29B35E4C" w14:textId="6F4B60FB" w:rsidR="00D0259C" w:rsidRDefault="00D0259C">
          <w:pPr>
            <w:pStyle w:val="TOC1"/>
            <w:tabs>
              <w:tab w:val="right" w:leader="dot" w:pos="9350"/>
            </w:tabs>
            <w:rPr>
              <w:noProof/>
            </w:rPr>
          </w:pPr>
          <w:hyperlink w:anchor="_Toc235173300" w:history="1">
            <w:r w:rsidRPr="007327CA">
              <w:rPr>
                <w:rStyle w:val="Hyperlink"/>
                <w:noProof/>
              </w:rPr>
              <w:t>1. Executive Summary</w:t>
            </w:r>
            <w:r>
              <w:rPr>
                <w:noProof/>
              </w:rPr>
              <w:tab/>
            </w:r>
            <w:r>
              <w:rPr>
                <w:noProof/>
              </w:rPr>
              <w:fldChar w:fldCharType="begin"/>
            </w:r>
            <w:r>
              <w:rPr>
                <w:noProof/>
              </w:rPr>
              <w:instrText xml:space="preserve"> PAGEREF _Toc235173300 \h </w:instrText>
            </w:r>
            <w:r>
              <w:rPr>
                <w:noProof/>
              </w:rPr>
            </w:r>
            <w:r>
              <w:rPr>
                <w:noProof/>
              </w:rPr>
              <w:fldChar w:fldCharType="separate"/>
            </w:r>
            <w:r>
              <w:rPr>
                <w:noProof/>
              </w:rPr>
              <w:t>4</w:t>
            </w:r>
            <w:r>
              <w:rPr>
                <w:noProof/>
              </w:rPr>
              <w:fldChar w:fldCharType="end"/>
            </w:r>
          </w:hyperlink>
        </w:p>
        <w:p w14:paraId="61354D1E" w14:textId="27EC4FF0" w:rsidR="00D0259C" w:rsidRDefault="00D0259C">
          <w:pPr>
            <w:pStyle w:val="TOC1"/>
            <w:tabs>
              <w:tab w:val="right" w:leader="dot" w:pos="9350"/>
            </w:tabs>
            <w:rPr>
              <w:noProof/>
            </w:rPr>
          </w:pPr>
          <w:hyperlink w:anchor="_Toc235173301" w:history="1">
            <w:r w:rsidRPr="007327CA">
              <w:rPr>
                <w:rStyle w:val="Hyperlink"/>
                <w:noProof/>
              </w:rPr>
              <w:t>2. Document Information</w:t>
            </w:r>
            <w:r>
              <w:rPr>
                <w:noProof/>
              </w:rPr>
              <w:tab/>
            </w:r>
            <w:r>
              <w:rPr>
                <w:noProof/>
              </w:rPr>
              <w:fldChar w:fldCharType="begin"/>
            </w:r>
            <w:r>
              <w:rPr>
                <w:noProof/>
              </w:rPr>
              <w:instrText xml:space="preserve"> PAGEREF _Toc235173301 \h </w:instrText>
            </w:r>
            <w:r>
              <w:rPr>
                <w:noProof/>
              </w:rPr>
            </w:r>
            <w:r>
              <w:rPr>
                <w:noProof/>
              </w:rPr>
              <w:fldChar w:fldCharType="separate"/>
            </w:r>
            <w:r>
              <w:rPr>
                <w:noProof/>
              </w:rPr>
              <w:t>4</w:t>
            </w:r>
            <w:r>
              <w:rPr>
                <w:noProof/>
              </w:rPr>
              <w:fldChar w:fldCharType="end"/>
            </w:r>
          </w:hyperlink>
        </w:p>
        <w:p w14:paraId="54DC6AFD" w14:textId="77F251A3" w:rsidR="00D0259C" w:rsidRDefault="00D0259C">
          <w:pPr>
            <w:pStyle w:val="TOC2"/>
            <w:tabs>
              <w:tab w:val="right" w:leader="dot" w:pos="9350"/>
            </w:tabs>
            <w:rPr>
              <w:noProof/>
            </w:rPr>
          </w:pPr>
          <w:hyperlink w:anchor="_Toc235173302" w:history="1">
            <w:r w:rsidRPr="007327CA">
              <w:rPr>
                <w:rStyle w:val="Hyperlink"/>
                <w:noProof/>
              </w:rPr>
              <w:t>2.1 Version History</w:t>
            </w:r>
            <w:r>
              <w:rPr>
                <w:noProof/>
              </w:rPr>
              <w:tab/>
            </w:r>
            <w:r>
              <w:rPr>
                <w:noProof/>
              </w:rPr>
              <w:fldChar w:fldCharType="begin"/>
            </w:r>
            <w:r>
              <w:rPr>
                <w:noProof/>
              </w:rPr>
              <w:instrText xml:space="preserve"> PAGEREF _Toc235173302 \h </w:instrText>
            </w:r>
            <w:r>
              <w:rPr>
                <w:noProof/>
              </w:rPr>
            </w:r>
            <w:r>
              <w:rPr>
                <w:noProof/>
              </w:rPr>
              <w:fldChar w:fldCharType="separate"/>
            </w:r>
            <w:r>
              <w:rPr>
                <w:noProof/>
              </w:rPr>
              <w:t>4</w:t>
            </w:r>
            <w:r>
              <w:rPr>
                <w:noProof/>
              </w:rPr>
              <w:fldChar w:fldCharType="end"/>
            </w:r>
          </w:hyperlink>
        </w:p>
        <w:p w14:paraId="270145C0" w14:textId="0879269E" w:rsidR="00D0259C" w:rsidRDefault="00D0259C">
          <w:pPr>
            <w:pStyle w:val="TOC2"/>
            <w:tabs>
              <w:tab w:val="right" w:leader="dot" w:pos="9350"/>
            </w:tabs>
            <w:rPr>
              <w:noProof/>
            </w:rPr>
          </w:pPr>
          <w:hyperlink w:anchor="_Toc235173303" w:history="1">
            <w:r w:rsidRPr="007327CA">
              <w:rPr>
                <w:rStyle w:val="Hyperlink"/>
                <w:noProof/>
              </w:rPr>
              <w:t>2.2 Source Documents</w:t>
            </w:r>
            <w:r>
              <w:rPr>
                <w:noProof/>
              </w:rPr>
              <w:tab/>
            </w:r>
            <w:r>
              <w:rPr>
                <w:noProof/>
              </w:rPr>
              <w:fldChar w:fldCharType="begin"/>
            </w:r>
            <w:r>
              <w:rPr>
                <w:noProof/>
              </w:rPr>
              <w:instrText xml:space="preserve"> PAGEREF _Toc235173303 \h </w:instrText>
            </w:r>
            <w:r>
              <w:rPr>
                <w:noProof/>
              </w:rPr>
            </w:r>
            <w:r>
              <w:rPr>
                <w:noProof/>
              </w:rPr>
              <w:fldChar w:fldCharType="separate"/>
            </w:r>
            <w:r>
              <w:rPr>
                <w:noProof/>
              </w:rPr>
              <w:t>4</w:t>
            </w:r>
            <w:r>
              <w:rPr>
                <w:noProof/>
              </w:rPr>
              <w:fldChar w:fldCharType="end"/>
            </w:r>
          </w:hyperlink>
        </w:p>
        <w:p w14:paraId="76DDA86B" w14:textId="518FA500" w:rsidR="00D0259C" w:rsidRDefault="00D0259C">
          <w:pPr>
            <w:pStyle w:val="TOC2"/>
            <w:tabs>
              <w:tab w:val="right" w:leader="dot" w:pos="9350"/>
            </w:tabs>
            <w:rPr>
              <w:noProof/>
            </w:rPr>
          </w:pPr>
          <w:hyperlink w:anchor="_Toc235173304" w:history="1">
            <w:r w:rsidRPr="007327CA">
              <w:rPr>
                <w:rStyle w:val="Hyperlink"/>
                <w:noProof/>
              </w:rPr>
              <w:t>2.3 Stakeholders &amp; Delivery Partners</w:t>
            </w:r>
            <w:r>
              <w:rPr>
                <w:noProof/>
              </w:rPr>
              <w:tab/>
            </w:r>
            <w:r>
              <w:rPr>
                <w:noProof/>
              </w:rPr>
              <w:fldChar w:fldCharType="begin"/>
            </w:r>
            <w:r>
              <w:rPr>
                <w:noProof/>
              </w:rPr>
              <w:instrText xml:space="preserve"> PAGEREF _Toc235173304 \h </w:instrText>
            </w:r>
            <w:r>
              <w:rPr>
                <w:noProof/>
              </w:rPr>
            </w:r>
            <w:r>
              <w:rPr>
                <w:noProof/>
              </w:rPr>
              <w:fldChar w:fldCharType="separate"/>
            </w:r>
            <w:r>
              <w:rPr>
                <w:noProof/>
              </w:rPr>
              <w:t>5</w:t>
            </w:r>
            <w:r>
              <w:rPr>
                <w:noProof/>
              </w:rPr>
              <w:fldChar w:fldCharType="end"/>
            </w:r>
          </w:hyperlink>
        </w:p>
        <w:p w14:paraId="309310A0" w14:textId="0A98B568" w:rsidR="00D0259C" w:rsidRDefault="00D0259C">
          <w:pPr>
            <w:pStyle w:val="TOC1"/>
            <w:tabs>
              <w:tab w:val="right" w:leader="dot" w:pos="9350"/>
            </w:tabs>
            <w:rPr>
              <w:noProof/>
            </w:rPr>
          </w:pPr>
          <w:hyperlink w:anchor="_Toc235173305" w:history="1">
            <w:r w:rsidRPr="007327CA">
              <w:rPr>
                <w:rStyle w:val="Hyperlink"/>
                <w:noProof/>
              </w:rPr>
              <w:t>3. Assessment Overview</w:t>
            </w:r>
            <w:r>
              <w:rPr>
                <w:noProof/>
              </w:rPr>
              <w:tab/>
            </w:r>
            <w:r>
              <w:rPr>
                <w:noProof/>
              </w:rPr>
              <w:fldChar w:fldCharType="begin"/>
            </w:r>
            <w:r>
              <w:rPr>
                <w:noProof/>
              </w:rPr>
              <w:instrText xml:space="preserve"> PAGEREF _Toc235173305 \h </w:instrText>
            </w:r>
            <w:r>
              <w:rPr>
                <w:noProof/>
              </w:rPr>
            </w:r>
            <w:r>
              <w:rPr>
                <w:noProof/>
              </w:rPr>
              <w:fldChar w:fldCharType="separate"/>
            </w:r>
            <w:r>
              <w:rPr>
                <w:noProof/>
              </w:rPr>
              <w:t>5</w:t>
            </w:r>
            <w:r>
              <w:rPr>
                <w:noProof/>
              </w:rPr>
              <w:fldChar w:fldCharType="end"/>
            </w:r>
          </w:hyperlink>
        </w:p>
        <w:p w14:paraId="14F1986E" w14:textId="440D5CE1" w:rsidR="00D0259C" w:rsidRDefault="00D0259C">
          <w:pPr>
            <w:pStyle w:val="TOC2"/>
            <w:tabs>
              <w:tab w:val="right" w:leader="dot" w:pos="9350"/>
            </w:tabs>
            <w:rPr>
              <w:noProof/>
            </w:rPr>
          </w:pPr>
          <w:hyperlink w:anchor="_Toc235173306" w:history="1">
            <w:r w:rsidRPr="007327CA">
              <w:rPr>
                <w:rStyle w:val="Hyperlink"/>
                <w:noProof/>
              </w:rPr>
              <w:t>3.1 Vision &amp; Objectives</w:t>
            </w:r>
            <w:r>
              <w:rPr>
                <w:noProof/>
              </w:rPr>
              <w:tab/>
            </w:r>
            <w:r>
              <w:rPr>
                <w:noProof/>
              </w:rPr>
              <w:fldChar w:fldCharType="begin"/>
            </w:r>
            <w:r>
              <w:rPr>
                <w:noProof/>
              </w:rPr>
              <w:instrText xml:space="preserve"> PAGEREF _Toc235173306 \h </w:instrText>
            </w:r>
            <w:r>
              <w:rPr>
                <w:noProof/>
              </w:rPr>
            </w:r>
            <w:r>
              <w:rPr>
                <w:noProof/>
              </w:rPr>
              <w:fldChar w:fldCharType="separate"/>
            </w:r>
            <w:r>
              <w:rPr>
                <w:noProof/>
              </w:rPr>
              <w:t>5</w:t>
            </w:r>
            <w:r>
              <w:rPr>
                <w:noProof/>
              </w:rPr>
              <w:fldChar w:fldCharType="end"/>
            </w:r>
          </w:hyperlink>
        </w:p>
        <w:p w14:paraId="13716052" w14:textId="528FD8DC" w:rsidR="00D0259C" w:rsidRDefault="00D0259C">
          <w:pPr>
            <w:pStyle w:val="TOC2"/>
            <w:tabs>
              <w:tab w:val="right" w:leader="dot" w:pos="9350"/>
            </w:tabs>
            <w:rPr>
              <w:noProof/>
            </w:rPr>
          </w:pPr>
          <w:hyperlink w:anchor="_Toc235173307" w:history="1">
            <w:r w:rsidRPr="007327CA">
              <w:rPr>
                <w:rStyle w:val="Hyperlink"/>
                <w:noProof/>
              </w:rPr>
              <w:t>3.2 Scope &amp; Approach</w:t>
            </w:r>
            <w:r>
              <w:rPr>
                <w:noProof/>
              </w:rPr>
              <w:tab/>
            </w:r>
            <w:r>
              <w:rPr>
                <w:noProof/>
              </w:rPr>
              <w:fldChar w:fldCharType="begin"/>
            </w:r>
            <w:r>
              <w:rPr>
                <w:noProof/>
              </w:rPr>
              <w:instrText xml:space="preserve"> PAGEREF _Toc235173307 \h </w:instrText>
            </w:r>
            <w:r>
              <w:rPr>
                <w:noProof/>
              </w:rPr>
            </w:r>
            <w:r>
              <w:rPr>
                <w:noProof/>
              </w:rPr>
              <w:fldChar w:fldCharType="separate"/>
            </w:r>
            <w:r>
              <w:rPr>
                <w:noProof/>
              </w:rPr>
              <w:t>5</w:t>
            </w:r>
            <w:r>
              <w:rPr>
                <w:noProof/>
              </w:rPr>
              <w:fldChar w:fldCharType="end"/>
            </w:r>
          </w:hyperlink>
        </w:p>
        <w:p w14:paraId="7F88F1A4" w14:textId="78DE05BC" w:rsidR="00D0259C" w:rsidRDefault="00D0259C">
          <w:pPr>
            <w:pStyle w:val="TOC1"/>
            <w:tabs>
              <w:tab w:val="right" w:leader="dot" w:pos="9350"/>
            </w:tabs>
            <w:rPr>
              <w:noProof/>
            </w:rPr>
          </w:pPr>
          <w:hyperlink w:anchor="_Toc235173308" w:history="1">
            <w:r w:rsidRPr="007327CA">
              <w:rPr>
                <w:rStyle w:val="Hyperlink"/>
                <w:noProof/>
              </w:rPr>
              <w:t>4. Current-State Baseline — HCAF Maturity Scorecard</w:t>
            </w:r>
            <w:r>
              <w:rPr>
                <w:noProof/>
              </w:rPr>
              <w:tab/>
            </w:r>
            <w:r>
              <w:rPr>
                <w:noProof/>
              </w:rPr>
              <w:fldChar w:fldCharType="begin"/>
            </w:r>
            <w:r>
              <w:rPr>
                <w:noProof/>
              </w:rPr>
              <w:instrText xml:space="preserve"> PAGEREF _Toc235173308 \h </w:instrText>
            </w:r>
            <w:r>
              <w:rPr>
                <w:noProof/>
              </w:rPr>
            </w:r>
            <w:r>
              <w:rPr>
                <w:noProof/>
              </w:rPr>
              <w:fldChar w:fldCharType="separate"/>
            </w:r>
            <w:r>
              <w:rPr>
                <w:noProof/>
              </w:rPr>
              <w:t>6</w:t>
            </w:r>
            <w:r>
              <w:rPr>
                <w:noProof/>
              </w:rPr>
              <w:fldChar w:fldCharType="end"/>
            </w:r>
          </w:hyperlink>
        </w:p>
        <w:p w14:paraId="43AB2833" w14:textId="224F15DA" w:rsidR="00D0259C" w:rsidRDefault="00D0259C">
          <w:pPr>
            <w:pStyle w:val="TOC1"/>
            <w:tabs>
              <w:tab w:val="right" w:leader="dot" w:pos="9350"/>
            </w:tabs>
            <w:rPr>
              <w:noProof/>
            </w:rPr>
          </w:pPr>
          <w:hyperlink w:anchor="_Toc235173309" w:history="1">
            <w:r w:rsidRPr="007327CA">
              <w:rPr>
                <w:rStyle w:val="Hyperlink"/>
                <w:noProof/>
              </w:rPr>
              <w:t>5. Strategic Context</w:t>
            </w:r>
            <w:r>
              <w:rPr>
                <w:noProof/>
              </w:rPr>
              <w:tab/>
            </w:r>
            <w:r>
              <w:rPr>
                <w:noProof/>
              </w:rPr>
              <w:fldChar w:fldCharType="begin"/>
            </w:r>
            <w:r>
              <w:rPr>
                <w:noProof/>
              </w:rPr>
              <w:instrText xml:space="preserve"> PAGEREF _Toc235173309 \h </w:instrText>
            </w:r>
            <w:r>
              <w:rPr>
                <w:noProof/>
              </w:rPr>
            </w:r>
            <w:r>
              <w:rPr>
                <w:noProof/>
              </w:rPr>
              <w:fldChar w:fldCharType="separate"/>
            </w:r>
            <w:r>
              <w:rPr>
                <w:noProof/>
              </w:rPr>
              <w:t>7</w:t>
            </w:r>
            <w:r>
              <w:rPr>
                <w:noProof/>
              </w:rPr>
              <w:fldChar w:fldCharType="end"/>
            </w:r>
          </w:hyperlink>
        </w:p>
        <w:p w14:paraId="1831FDAD" w14:textId="34847747" w:rsidR="00D0259C" w:rsidRDefault="00D0259C">
          <w:pPr>
            <w:pStyle w:val="TOC2"/>
            <w:tabs>
              <w:tab w:val="right" w:leader="dot" w:pos="9350"/>
            </w:tabs>
            <w:rPr>
              <w:noProof/>
            </w:rPr>
          </w:pPr>
          <w:hyperlink w:anchor="_Toc235173310" w:history="1">
            <w:r w:rsidRPr="007327CA">
              <w:rPr>
                <w:rStyle w:val="Hyperlink"/>
                <w:noProof/>
              </w:rPr>
              <w:t>5.1 Organisational Context</w:t>
            </w:r>
            <w:r>
              <w:rPr>
                <w:noProof/>
              </w:rPr>
              <w:tab/>
            </w:r>
            <w:r>
              <w:rPr>
                <w:noProof/>
              </w:rPr>
              <w:fldChar w:fldCharType="begin"/>
            </w:r>
            <w:r>
              <w:rPr>
                <w:noProof/>
              </w:rPr>
              <w:instrText xml:space="preserve"> PAGEREF _Toc235173310 \h </w:instrText>
            </w:r>
            <w:r>
              <w:rPr>
                <w:noProof/>
              </w:rPr>
            </w:r>
            <w:r>
              <w:rPr>
                <w:noProof/>
              </w:rPr>
              <w:fldChar w:fldCharType="separate"/>
            </w:r>
            <w:r>
              <w:rPr>
                <w:noProof/>
              </w:rPr>
              <w:t>7</w:t>
            </w:r>
            <w:r>
              <w:rPr>
                <w:noProof/>
              </w:rPr>
              <w:fldChar w:fldCharType="end"/>
            </w:r>
          </w:hyperlink>
        </w:p>
        <w:p w14:paraId="50DDA4D2" w14:textId="3EBF000B" w:rsidR="00D0259C" w:rsidRDefault="00D0259C">
          <w:pPr>
            <w:pStyle w:val="TOC2"/>
            <w:tabs>
              <w:tab w:val="right" w:leader="dot" w:pos="9350"/>
            </w:tabs>
            <w:rPr>
              <w:noProof/>
            </w:rPr>
          </w:pPr>
          <w:hyperlink w:anchor="_Toc235173311" w:history="1">
            <w:r w:rsidRPr="007327CA">
              <w:rPr>
                <w:rStyle w:val="Hyperlink"/>
                <w:noProof/>
              </w:rPr>
              <w:t>5.2 Drivers &amp; North Star</w:t>
            </w:r>
            <w:r>
              <w:rPr>
                <w:noProof/>
              </w:rPr>
              <w:tab/>
            </w:r>
            <w:r>
              <w:rPr>
                <w:noProof/>
              </w:rPr>
              <w:fldChar w:fldCharType="begin"/>
            </w:r>
            <w:r>
              <w:rPr>
                <w:noProof/>
              </w:rPr>
              <w:instrText xml:space="preserve"> PAGEREF _Toc235173311 \h </w:instrText>
            </w:r>
            <w:r>
              <w:rPr>
                <w:noProof/>
              </w:rPr>
            </w:r>
            <w:r>
              <w:rPr>
                <w:noProof/>
              </w:rPr>
              <w:fldChar w:fldCharType="separate"/>
            </w:r>
            <w:r>
              <w:rPr>
                <w:noProof/>
              </w:rPr>
              <w:t>7</w:t>
            </w:r>
            <w:r>
              <w:rPr>
                <w:noProof/>
              </w:rPr>
              <w:fldChar w:fldCharType="end"/>
            </w:r>
          </w:hyperlink>
        </w:p>
        <w:p w14:paraId="6208F75C" w14:textId="5C8FCE6E" w:rsidR="00D0259C" w:rsidRDefault="00D0259C">
          <w:pPr>
            <w:pStyle w:val="TOC2"/>
            <w:tabs>
              <w:tab w:val="right" w:leader="dot" w:pos="9350"/>
            </w:tabs>
            <w:rPr>
              <w:noProof/>
            </w:rPr>
          </w:pPr>
          <w:hyperlink w:anchor="_Toc235173312" w:history="1">
            <w:r w:rsidRPr="007327CA">
              <w:rPr>
                <w:rStyle w:val="Hyperlink"/>
                <w:noProof/>
              </w:rPr>
              <w:t>5.3 Blockers &amp; Risk Categories</w:t>
            </w:r>
            <w:r>
              <w:rPr>
                <w:noProof/>
              </w:rPr>
              <w:tab/>
            </w:r>
            <w:r>
              <w:rPr>
                <w:noProof/>
              </w:rPr>
              <w:fldChar w:fldCharType="begin"/>
            </w:r>
            <w:r>
              <w:rPr>
                <w:noProof/>
              </w:rPr>
              <w:instrText xml:space="preserve"> PAGEREF _Toc235173312 \h </w:instrText>
            </w:r>
            <w:r>
              <w:rPr>
                <w:noProof/>
              </w:rPr>
            </w:r>
            <w:r>
              <w:rPr>
                <w:noProof/>
              </w:rPr>
              <w:fldChar w:fldCharType="separate"/>
            </w:r>
            <w:r>
              <w:rPr>
                <w:noProof/>
              </w:rPr>
              <w:t>7</w:t>
            </w:r>
            <w:r>
              <w:rPr>
                <w:noProof/>
              </w:rPr>
              <w:fldChar w:fldCharType="end"/>
            </w:r>
          </w:hyperlink>
        </w:p>
        <w:p w14:paraId="0D0673EB" w14:textId="5D2A7E35" w:rsidR="00D0259C" w:rsidRDefault="00D0259C">
          <w:pPr>
            <w:pStyle w:val="TOC2"/>
            <w:tabs>
              <w:tab w:val="right" w:leader="dot" w:pos="9350"/>
            </w:tabs>
            <w:rPr>
              <w:noProof/>
            </w:rPr>
          </w:pPr>
          <w:hyperlink w:anchor="_Toc235173313" w:history="1">
            <w:r w:rsidRPr="007327CA">
              <w:rPr>
                <w:rStyle w:val="Hyperlink"/>
                <w:noProof/>
              </w:rPr>
              <w:t>5.4 Readiness Gaps &amp; Guard Rails</w:t>
            </w:r>
            <w:r>
              <w:rPr>
                <w:noProof/>
              </w:rPr>
              <w:tab/>
            </w:r>
            <w:r>
              <w:rPr>
                <w:noProof/>
              </w:rPr>
              <w:fldChar w:fldCharType="begin"/>
            </w:r>
            <w:r>
              <w:rPr>
                <w:noProof/>
              </w:rPr>
              <w:instrText xml:space="preserve"> PAGEREF _Toc235173313 \h </w:instrText>
            </w:r>
            <w:r>
              <w:rPr>
                <w:noProof/>
              </w:rPr>
            </w:r>
            <w:r>
              <w:rPr>
                <w:noProof/>
              </w:rPr>
              <w:fldChar w:fldCharType="separate"/>
            </w:r>
            <w:r>
              <w:rPr>
                <w:noProof/>
              </w:rPr>
              <w:t>8</w:t>
            </w:r>
            <w:r>
              <w:rPr>
                <w:noProof/>
              </w:rPr>
              <w:fldChar w:fldCharType="end"/>
            </w:r>
          </w:hyperlink>
        </w:p>
        <w:p w14:paraId="4B99BCA3" w14:textId="110041ED" w:rsidR="00D0259C" w:rsidRDefault="00D0259C">
          <w:pPr>
            <w:pStyle w:val="TOC1"/>
            <w:tabs>
              <w:tab w:val="right" w:leader="dot" w:pos="9350"/>
            </w:tabs>
            <w:rPr>
              <w:noProof/>
            </w:rPr>
          </w:pPr>
          <w:hyperlink w:anchor="_Toc235173314" w:history="1">
            <w:r w:rsidRPr="007327CA">
              <w:rPr>
                <w:rStyle w:val="Hyperlink"/>
                <w:noProof/>
              </w:rPr>
              <w:t>6. Detailed Findings by Domain</w:t>
            </w:r>
            <w:r>
              <w:rPr>
                <w:noProof/>
              </w:rPr>
              <w:tab/>
            </w:r>
            <w:r>
              <w:rPr>
                <w:noProof/>
              </w:rPr>
              <w:fldChar w:fldCharType="begin"/>
            </w:r>
            <w:r>
              <w:rPr>
                <w:noProof/>
              </w:rPr>
              <w:instrText xml:space="preserve"> PAGEREF _Toc235173314 \h </w:instrText>
            </w:r>
            <w:r>
              <w:rPr>
                <w:noProof/>
              </w:rPr>
            </w:r>
            <w:r>
              <w:rPr>
                <w:noProof/>
              </w:rPr>
              <w:fldChar w:fldCharType="separate"/>
            </w:r>
            <w:r>
              <w:rPr>
                <w:noProof/>
              </w:rPr>
              <w:t>8</w:t>
            </w:r>
            <w:r>
              <w:rPr>
                <w:noProof/>
              </w:rPr>
              <w:fldChar w:fldCharType="end"/>
            </w:r>
          </w:hyperlink>
        </w:p>
        <w:p w14:paraId="63E690E1" w14:textId="2CE6D2BB" w:rsidR="00D0259C" w:rsidRDefault="00D0259C">
          <w:pPr>
            <w:pStyle w:val="TOC2"/>
            <w:tabs>
              <w:tab w:val="right" w:leader="dot" w:pos="9350"/>
            </w:tabs>
            <w:rPr>
              <w:noProof/>
            </w:rPr>
          </w:pPr>
          <w:hyperlink w:anchor="_Toc235173315" w:history="1">
            <w:r w:rsidRPr="007327CA">
              <w:rPr>
                <w:rStyle w:val="Hyperlink"/>
                <w:noProof/>
              </w:rPr>
              <w:t>6.1 Cloud Governance &amp; Structure</w:t>
            </w:r>
            <w:r>
              <w:rPr>
                <w:noProof/>
              </w:rPr>
              <w:tab/>
            </w:r>
            <w:r>
              <w:rPr>
                <w:noProof/>
              </w:rPr>
              <w:fldChar w:fldCharType="begin"/>
            </w:r>
            <w:r>
              <w:rPr>
                <w:noProof/>
              </w:rPr>
              <w:instrText xml:space="preserve"> PAGEREF _Toc235173315 \h </w:instrText>
            </w:r>
            <w:r>
              <w:rPr>
                <w:noProof/>
              </w:rPr>
            </w:r>
            <w:r>
              <w:rPr>
                <w:noProof/>
              </w:rPr>
              <w:fldChar w:fldCharType="separate"/>
            </w:r>
            <w:r>
              <w:rPr>
                <w:noProof/>
              </w:rPr>
              <w:t>8</w:t>
            </w:r>
            <w:r>
              <w:rPr>
                <w:noProof/>
              </w:rPr>
              <w:fldChar w:fldCharType="end"/>
            </w:r>
          </w:hyperlink>
        </w:p>
        <w:p w14:paraId="1F50F583" w14:textId="5EE74AB1" w:rsidR="00D0259C" w:rsidRDefault="00D0259C">
          <w:pPr>
            <w:pStyle w:val="TOC2"/>
            <w:tabs>
              <w:tab w:val="right" w:leader="dot" w:pos="9350"/>
            </w:tabs>
            <w:rPr>
              <w:noProof/>
            </w:rPr>
          </w:pPr>
          <w:hyperlink w:anchor="_Toc235173316" w:history="1">
            <w:r w:rsidRPr="007327CA">
              <w:rPr>
                <w:rStyle w:val="Hyperlink"/>
                <w:noProof/>
              </w:rPr>
              <w:t>6.2 Identity, Privileged Access &amp; Threat Detection</w:t>
            </w:r>
            <w:r>
              <w:rPr>
                <w:noProof/>
              </w:rPr>
              <w:tab/>
            </w:r>
            <w:r>
              <w:rPr>
                <w:noProof/>
              </w:rPr>
              <w:fldChar w:fldCharType="begin"/>
            </w:r>
            <w:r>
              <w:rPr>
                <w:noProof/>
              </w:rPr>
              <w:instrText xml:space="preserve"> PAGEREF _Toc235173316 \h </w:instrText>
            </w:r>
            <w:r>
              <w:rPr>
                <w:noProof/>
              </w:rPr>
            </w:r>
            <w:r>
              <w:rPr>
                <w:noProof/>
              </w:rPr>
              <w:fldChar w:fldCharType="separate"/>
            </w:r>
            <w:r>
              <w:rPr>
                <w:noProof/>
              </w:rPr>
              <w:t>10</w:t>
            </w:r>
            <w:r>
              <w:rPr>
                <w:noProof/>
              </w:rPr>
              <w:fldChar w:fldCharType="end"/>
            </w:r>
          </w:hyperlink>
        </w:p>
        <w:p w14:paraId="7FE75A09" w14:textId="4D849D9C" w:rsidR="00D0259C" w:rsidRDefault="00D0259C">
          <w:pPr>
            <w:pStyle w:val="TOC2"/>
            <w:tabs>
              <w:tab w:val="right" w:leader="dot" w:pos="9350"/>
            </w:tabs>
            <w:rPr>
              <w:noProof/>
            </w:rPr>
          </w:pPr>
          <w:hyperlink w:anchor="_Toc235173317" w:history="1">
            <w:r w:rsidRPr="007327CA">
              <w:rPr>
                <w:rStyle w:val="Hyperlink"/>
                <w:noProof/>
              </w:rPr>
              <w:t>6.3 Networking &amp; Hybrid Connectivity</w:t>
            </w:r>
            <w:r>
              <w:rPr>
                <w:noProof/>
              </w:rPr>
              <w:tab/>
            </w:r>
            <w:r>
              <w:rPr>
                <w:noProof/>
              </w:rPr>
              <w:fldChar w:fldCharType="begin"/>
            </w:r>
            <w:r>
              <w:rPr>
                <w:noProof/>
              </w:rPr>
              <w:instrText xml:space="preserve"> PAGEREF _Toc235173317 \h </w:instrText>
            </w:r>
            <w:r>
              <w:rPr>
                <w:noProof/>
              </w:rPr>
            </w:r>
            <w:r>
              <w:rPr>
                <w:noProof/>
              </w:rPr>
              <w:fldChar w:fldCharType="separate"/>
            </w:r>
            <w:r>
              <w:rPr>
                <w:noProof/>
              </w:rPr>
              <w:t>11</w:t>
            </w:r>
            <w:r>
              <w:rPr>
                <w:noProof/>
              </w:rPr>
              <w:fldChar w:fldCharType="end"/>
            </w:r>
          </w:hyperlink>
        </w:p>
        <w:p w14:paraId="6975F4FE" w14:textId="40720450" w:rsidR="00D0259C" w:rsidRDefault="00D0259C">
          <w:pPr>
            <w:pStyle w:val="TOC2"/>
            <w:tabs>
              <w:tab w:val="right" w:leader="dot" w:pos="9350"/>
            </w:tabs>
            <w:rPr>
              <w:noProof/>
            </w:rPr>
          </w:pPr>
          <w:hyperlink w:anchor="_Toc235173318" w:history="1">
            <w:r w:rsidRPr="007327CA">
              <w:rPr>
                <w:rStyle w:val="Hyperlink"/>
                <w:noProof/>
              </w:rPr>
              <w:t>6.4 External Exposure</w:t>
            </w:r>
            <w:r>
              <w:rPr>
                <w:noProof/>
              </w:rPr>
              <w:tab/>
            </w:r>
            <w:r>
              <w:rPr>
                <w:noProof/>
              </w:rPr>
              <w:fldChar w:fldCharType="begin"/>
            </w:r>
            <w:r>
              <w:rPr>
                <w:noProof/>
              </w:rPr>
              <w:instrText xml:space="preserve"> PAGEREF _Toc235173318 \h </w:instrText>
            </w:r>
            <w:r>
              <w:rPr>
                <w:noProof/>
              </w:rPr>
            </w:r>
            <w:r>
              <w:rPr>
                <w:noProof/>
              </w:rPr>
              <w:fldChar w:fldCharType="separate"/>
            </w:r>
            <w:r>
              <w:rPr>
                <w:noProof/>
              </w:rPr>
              <w:t>13</w:t>
            </w:r>
            <w:r>
              <w:rPr>
                <w:noProof/>
              </w:rPr>
              <w:fldChar w:fldCharType="end"/>
            </w:r>
          </w:hyperlink>
        </w:p>
        <w:p w14:paraId="6D449980" w14:textId="65B74E7C" w:rsidR="00D0259C" w:rsidRDefault="00D0259C">
          <w:pPr>
            <w:pStyle w:val="TOC2"/>
            <w:tabs>
              <w:tab w:val="right" w:leader="dot" w:pos="9350"/>
            </w:tabs>
            <w:rPr>
              <w:noProof/>
            </w:rPr>
          </w:pPr>
          <w:hyperlink w:anchor="_Toc235173319" w:history="1">
            <w:r w:rsidRPr="007327CA">
              <w:rPr>
                <w:rStyle w:val="Hyperlink"/>
                <w:noProof/>
              </w:rPr>
              <w:t>6.5 Secret &amp; Key Management</w:t>
            </w:r>
            <w:r>
              <w:rPr>
                <w:noProof/>
              </w:rPr>
              <w:tab/>
            </w:r>
            <w:r>
              <w:rPr>
                <w:noProof/>
              </w:rPr>
              <w:fldChar w:fldCharType="begin"/>
            </w:r>
            <w:r>
              <w:rPr>
                <w:noProof/>
              </w:rPr>
              <w:instrText xml:space="preserve"> PAGEREF _Toc235173319 \h </w:instrText>
            </w:r>
            <w:r>
              <w:rPr>
                <w:noProof/>
              </w:rPr>
            </w:r>
            <w:r>
              <w:rPr>
                <w:noProof/>
              </w:rPr>
              <w:fldChar w:fldCharType="separate"/>
            </w:r>
            <w:r>
              <w:rPr>
                <w:noProof/>
              </w:rPr>
              <w:t>14</w:t>
            </w:r>
            <w:r>
              <w:rPr>
                <w:noProof/>
              </w:rPr>
              <w:fldChar w:fldCharType="end"/>
            </w:r>
          </w:hyperlink>
        </w:p>
        <w:p w14:paraId="7BC1AC8C" w14:textId="05D16EB9" w:rsidR="00D0259C" w:rsidRDefault="00D0259C">
          <w:pPr>
            <w:pStyle w:val="TOC2"/>
            <w:tabs>
              <w:tab w:val="right" w:leader="dot" w:pos="9350"/>
            </w:tabs>
            <w:rPr>
              <w:noProof/>
            </w:rPr>
          </w:pPr>
          <w:hyperlink w:anchor="_Toc235173320" w:history="1">
            <w:r w:rsidRPr="007327CA">
              <w:rPr>
                <w:rStyle w:val="Hyperlink"/>
                <w:noProof/>
              </w:rPr>
              <w:t>6.6 Platform Operations &amp; Observability</w:t>
            </w:r>
            <w:r>
              <w:rPr>
                <w:noProof/>
              </w:rPr>
              <w:tab/>
            </w:r>
            <w:r>
              <w:rPr>
                <w:noProof/>
              </w:rPr>
              <w:fldChar w:fldCharType="begin"/>
            </w:r>
            <w:r>
              <w:rPr>
                <w:noProof/>
              </w:rPr>
              <w:instrText xml:space="preserve"> PAGEREF _Toc235173320 \h </w:instrText>
            </w:r>
            <w:r>
              <w:rPr>
                <w:noProof/>
              </w:rPr>
            </w:r>
            <w:r>
              <w:rPr>
                <w:noProof/>
              </w:rPr>
              <w:fldChar w:fldCharType="separate"/>
            </w:r>
            <w:r>
              <w:rPr>
                <w:noProof/>
              </w:rPr>
              <w:t>16</w:t>
            </w:r>
            <w:r>
              <w:rPr>
                <w:noProof/>
              </w:rPr>
              <w:fldChar w:fldCharType="end"/>
            </w:r>
          </w:hyperlink>
        </w:p>
        <w:p w14:paraId="50056A2C" w14:textId="3BBFD705" w:rsidR="00D0259C" w:rsidRDefault="00D0259C">
          <w:pPr>
            <w:pStyle w:val="TOC2"/>
            <w:tabs>
              <w:tab w:val="right" w:leader="dot" w:pos="9350"/>
            </w:tabs>
            <w:rPr>
              <w:noProof/>
            </w:rPr>
          </w:pPr>
          <w:hyperlink w:anchor="_Toc235173321" w:history="1">
            <w:r w:rsidRPr="007327CA">
              <w:rPr>
                <w:rStyle w:val="Hyperlink"/>
                <w:noProof/>
              </w:rPr>
              <w:t>6.7 Workloads — Application Services, Storage &amp; Compute</w:t>
            </w:r>
            <w:r>
              <w:rPr>
                <w:noProof/>
              </w:rPr>
              <w:tab/>
            </w:r>
            <w:r>
              <w:rPr>
                <w:noProof/>
              </w:rPr>
              <w:fldChar w:fldCharType="begin"/>
            </w:r>
            <w:r>
              <w:rPr>
                <w:noProof/>
              </w:rPr>
              <w:instrText xml:space="preserve"> PAGEREF _Toc235173321 \h </w:instrText>
            </w:r>
            <w:r>
              <w:rPr>
                <w:noProof/>
              </w:rPr>
            </w:r>
            <w:r>
              <w:rPr>
                <w:noProof/>
              </w:rPr>
              <w:fldChar w:fldCharType="separate"/>
            </w:r>
            <w:r>
              <w:rPr>
                <w:noProof/>
              </w:rPr>
              <w:t>17</w:t>
            </w:r>
            <w:r>
              <w:rPr>
                <w:noProof/>
              </w:rPr>
              <w:fldChar w:fldCharType="end"/>
            </w:r>
          </w:hyperlink>
        </w:p>
        <w:p w14:paraId="7AC708CD" w14:textId="69245752" w:rsidR="00D0259C" w:rsidRDefault="00D0259C">
          <w:pPr>
            <w:pStyle w:val="TOC2"/>
            <w:tabs>
              <w:tab w:val="right" w:leader="dot" w:pos="9350"/>
            </w:tabs>
            <w:rPr>
              <w:noProof/>
            </w:rPr>
          </w:pPr>
          <w:hyperlink w:anchor="_Toc235173322" w:history="1">
            <w:r w:rsidRPr="007327CA">
              <w:rPr>
                <w:rStyle w:val="Hyperlink"/>
                <w:noProof/>
              </w:rPr>
              <w:t>6.8 FinOps &amp; Cost Management</w:t>
            </w:r>
            <w:r>
              <w:rPr>
                <w:noProof/>
              </w:rPr>
              <w:tab/>
            </w:r>
            <w:r>
              <w:rPr>
                <w:noProof/>
              </w:rPr>
              <w:fldChar w:fldCharType="begin"/>
            </w:r>
            <w:r>
              <w:rPr>
                <w:noProof/>
              </w:rPr>
              <w:instrText xml:space="preserve"> PAGEREF _Toc235173322 \h </w:instrText>
            </w:r>
            <w:r>
              <w:rPr>
                <w:noProof/>
              </w:rPr>
            </w:r>
            <w:r>
              <w:rPr>
                <w:noProof/>
              </w:rPr>
              <w:fldChar w:fldCharType="separate"/>
            </w:r>
            <w:r>
              <w:rPr>
                <w:noProof/>
              </w:rPr>
              <w:t>19</w:t>
            </w:r>
            <w:r>
              <w:rPr>
                <w:noProof/>
              </w:rPr>
              <w:fldChar w:fldCharType="end"/>
            </w:r>
          </w:hyperlink>
        </w:p>
        <w:p w14:paraId="40A9931D" w14:textId="7C4F94B9" w:rsidR="00D0259C" w:rsidRDefault="00D0259C">
          <w:pPr>
            <w:pStyle w:val="TOC2"/>
            <w:tabs>
              <w:tab w:val="right" w:leader="dot" w:pos="9350"/>
            </w:tabs>
            <w:rPr>
              <w:noProof/>
            </w:rPr>
          </w:pPr>
          <w:hyperlink w:anchor="_Toc235173323" w:history="1">
            <w:r w:rsidRPr="007327CA">
              <w:rPr>
                <w:rStyle w:val="Hyperlink"/>
                <w:noProof/>
              </w:rPr>
              <w:t>6.9 Application Integration Services (AIS)</w:t>
            </w:r>
            <w:r>
              <w:rPr>
                <w:noProof/>
              </w:rPr>
              <w:tab/>
            </w:r>
            <w:r>
              <w:rPr>
                <w:noProof/>
              </w:rPr>
              <w:fldChar w:fldCharType="begin"/>
            </w:r>
            <w:r>
              <w:rPr>
                <w:noProof/>
              </w:rPr>
              <w:instrText xml:space="preserve"> PAGEREF _Toc235173323 \h </w:instrText>
            </w:r>
            <w:r>
              <w:rPr>
                <w:noProof/>
              </w:rPr>
            </w:r>
            <w:r>
              <w:rPr>
                <w:noProof/>
              </w:rPr>
              <w:fldChar w:fldCharType="separate"/>
            </w:r>
            <w:r>
              <w:rPr>
                <w:noProof/>
              </w:rPr>
              <w:t>20</w:t>
            </w:r>
            <w:r>
              <w:rPr>
                <w:noProof/>
              </w:rPr>
              <w:fldChar w:fldCharType="end"/>
            </w:r>
          </w:hyperlink>
        </w:p>
        <w:p w14:paraId="447D9614" w14:textId="488D9461" w:rsidR="00D0259C" w:rsidRDefault="00D0259C">
          <w:pPr>
            <w:pStyle w:val="TOC2"/>
            <w:tabs>
              <w:tab w:val="right" w:leader="dot" w:pos="9350"/>
            </w:tabs>
            <w:rPr>
              <w:noProof/>
            </w:rPr>
          </w:pPr>
          <w:hyperlink w:anchor="_Toc235173324" w:history="1">
            <w:r w:rsidRPr="007327CA">
              <w:rPr>
                <w:rStyle w:val="Hyperlink"/>
                <w:noProof/>
              </w:rPr>
              <w:t>6.10 Data &amp; AI Platforms</w:t>
            </w:r>
            <w:r>
              <w:rPr>
                <w:noProof/>
              </w:rPr>
              <w:tab/>
            </w:r>
            <w:r>
              <w:rPr>
                <w:noProof/>
              </w:rPr>
              <w:fldChar w:fldCharType="begin"/>
            </w:r>
            <w:r>
              <w:rPr>
                <w:noProof/>
              </w:rPr>
              <w:instrText xml:space="preserve"> PAGEREF _Toc235173324 \h </w:instrText>
            </w:r>
            <w:r>
              <w:rPr>
                <w:noProof/>
              </w:rPr>
            </w:r>
            <w:r>
              <w:rPr>
                <w:noProof/>
              </w:rPr>
              <w:fldChar w:fldCharType="separate"/>
            </w:r>
            <w:r>
              <w:rPr>
                <w:noProof/>
              </w:rPr>
              <w:t>22</w:t>
            </w:r>
            <w:r>
              <w:rPr>
                <w:noProof/>
              </w:rPr>
              <w:fldChar w:fldCharType="end"/>
            </w:r>
          </w:hyperlink>
        </w:p>
        <w:p w14:paraId="20F34F3D" w14:textId="6C30B24F" w:rsidR="00D0259C" w:rsidRDefault="00D0259C">
          <w:pPr>
            <w:pStyle w:val="TOC2"/>
            <w:tabs>
              <w:tab w:val="right" w:leader="dot" w:pos="9350"/>
            </w:tabs>
            <w:rPr>
              <w:noProof/>
            </w:rPr>
          </w:pPr>
          <w:hyperlink w:anchor="_Toc235173325" w:history="1">
            <w:r w:rsidRPr="007327CA">
              <w:rPr>
                <w:rStyle w:val="Hyperlink"/>
                <w:noProof/>
              </w:rPr>
              <w:t>6.11 Cross-Cutting Themes &amp; Systemic Patterns</w:t>
            </w:r>
            <w:r>
              <w:rPr>
                <w:noProof/>
              </w:rPr>
              <w:tab/>
            </w:r>
            <w:r>
              <w:rPr>
                <w:noProof/>
              </w:rPr>
              <w:fldChar w:fldCharType="begin"/>
            </w:r>
            <w:r>
              <w:rPr>
                <w:noProof/>
              </w:rPr>
              <w:instrText xml:space="preserve"> PAGEREF _Toc235173325 \h </w:instrText>
            </w:r>
            <w:r>
              <w:rPr>
                <w:noProof/>
              </w:rPr>
            </w:r>
            <w:r>
              <w:rPr>
                <w:noProof/>
              </w:rPr>
              <w:fldChar w:fldCharType="separate"/>
            </w:r>
            <w:r>
              <w:rPr>
                <w:noProof/>
              </w:rPr>
              <w:t>24</w:t>
            </w:r>
            <w:r>
              <w:rPr>
                <w:noProof/>
              </w:rPr>
              <w:fldChar w:fldCharType="end"/>
            </w:r>
          </w:hyperlink>
        </w:p>
        <w:p w14:paraId="3133A610" w14:textId="542C4BDB" w:rsidR="00D0259C" w:rsidRDefault="00D0259C">
          <w:pPr>
            <w:pStyle w:val="TOC1"/>
            <w:tabs>
              <w:tab w:val="right" w:leader="dot" w:pos="9350"/>
            </w:tabs>
            <w:rPr>
              <w:noProof/>
            </w:rPr>
          </w:pPr>
          <w:hyperlink w:anchor="_Toc235173326" w:history="1">
            <w:r w:rsidRPr="007327CA">
              <w:rPr>
                <w:rStyle w:val="Hyperlink"/>
                <w:noProof/>
              </w:rPr>
              <w:t>7. Priority Risks &amp; Urgent Security Remediation</w:t>
            </w:r>
            <w:r>
              <w:rPr>
                <w:noProof/>
              </w:rPr>
              <w:tab/>
            </w:r>
            <w:r>
              <w:rPr>
                <w:noProof/>
              </w:rPr>
              <w:fldChar w:fldCharType="begin"/>
            </w:r>
            <w:r>
              <w:rPr>
                <w:noProof/>
              </w:rPr>
              <w:instrText xml:space="preserve"> PAGEREF _Toc235173326 \h </w:instrText>
            </w:r>
            <w:r>
              <w:rPr>
                <w:noProof/>
              </w:rPr>
            </w:r>
            <w:r>
              <w:rPr>
                <w:noProof/>
              </w:rPr>
              <w:fldChar w:fldCharType="separate"/>
            </w:r>
            <w:r>
              <w:rPr>
                <w:noProof/>
              </w:rPr>
              <w:t>25</w:t>
            </w:r>
            <w:r>
              <w:rPr>
                <w:noProof/>
              </w:rPr>
              <w:fldChar w:fldCharType="end"/>
            </w:r>
          </w:hyperlink>
        </w:p>
        <w:p w14:paraId="2576718E" w14:textId="049C55CE" w:rsidR="00D0259C" w:rsidRDefault="00D0259C">
          <w:pPr>
            <w:pStyle w:val="TOC1"/>
            <w:tabs>
              <w:tab w:val="right" w:leader="dot" w:pos="9350"/>
            </w:tabs>
            <w:rPr>
              <w:noProof/>
            </w:rPr>
          </w:pPr>
          <w:hyperlink w:anchor="_Toc235173327" w:history="1">
            <w:r w:rsidRPr="007327CA">
              <w:rPr>
                <w:rStyle w:val="Hyperlink"/>
                <w:noProof/>
              </w:rPr>
              <w:t>8. Target Operating Model</w:t>
            </w:r>
            <w:r>
              <w:rPr>
                <w:noProof/>
              </w:rPr>
              <w:tab/>
            </w:r>
            <w:r>
              <w:rPr>
                <w:noProof/>
              </w:rPr>
              <w:fldChar w:fldCharType="begin"/>
            </w:r>
            <w:r>
              <w:rPr>
                <w:noProof/>
              </w:rPr>
              <w:instrText xml:space="preserve"> PAGEREF _Toc235173327 \h </w:instrText>
            </w:r>
            <w:r>
              <w:rPr>
                <w:noProof/>
              </w:rPr>
            </w:r>
            <w:r>
              <w:rPr>
                <w:noProof/>
              </w:rPr>
              <w:fldChar w:fldCharType="separate"/>
            </w:r>
            <w:r>
              <w:rPr>
                <w:noProof/>
              </w:rPr>
              <w:t>25</w:t>
            </w:r>
            <w:r>
              <w:rPr>
                <w:noProof/>
              </w:rPr>
              <w:fldChar w:fldCharType="end"/>
            </w:r>
          </w:hyperlink>
        </w:p>
        <w:p w14:paraId="4BEF21D6" w14:textId="641BCCA0" w:rsidR="00D0259C" w:rsidRDefault="00D0259C">
          <w:pPr>
            <w:pStyle w:val="TOC2"/>
            <w:tabs>
              <w:tab w:val="right" w:leader="dot" w:pos="9350"/>
            </w:tabs>
            <w:rPr>
              <w:noProof/>
            </w:rPr>
          </w:pPr>
          <w:hyperlink w:anchor="_Toc235173328" w:history="1">
            <w:r w:rsidRPr="007327CA">
              <w:rPr>
                <w:rStyle w:val="Hyperlink"/>
                <w:noProof/>
              </w:rPr>
              <w:t>8.1 The Coordination Gap</w:t>
            </w:r>
            <w:r>
              <w:rPr>
                <w:noProof/>
              </w:rPr>
              <w:tab/>
            </w:r>
            <w:r>
              <w:rPr>
                <w:noProof/>
              </w:rPr>
              <w:fldChar w:fldCharType="begin"/>
            </w:r>
            <w:r>
              <w:rPr>
                <w:noProof/>
              </w:rPr>
              <w:instrText xml:space="preserve"> PAGEREF _Toc235173328 \h </w:instrText>
            </w:r>
            <w:r>
              <w:rPr>
                <w:noProof/>
              </w:rPr>
            </w:r>
            <w:r>
              <w:rPr>
                <w:noProof/>
              </w:rPr>
              <w:fldChar w:fldCharType="separate"/>
            </w:r>
            <w:r>
              <w:rPr>
                <w:noProof/>
              </w:rPr>
              <w:t>25</w:t>
            </w:r>
            <w:r>
              <w:rPr>
                <w:noProof/>
              </w:rPr>
              <w:fldChar w:fldCharType="end"/>
            </w:r>
          </w:hyperlink>
        </w:p>
        <w:p w14:paraId="2FF1F2FF" w14:textId="42596825" w:rsidR="00D0259C" w:rsidRDefault="00D0259C">
          <w:pPr>
            <w:pStyle w:val="TOC2"/>
            <w:tabs>
              <w:tab w:val="right" w:leader="dot" w:pos="9350"/>
            </w:tabs>
            <w:rPr>
              <w:noProof/>
            </w:rPr>
          </w:pPr>
          <w:hyperlink w:anchor="_Toc235173329" w:history="1">
            <w:r w:rsidRPr="007327CA">
              <w:rPr>
                <w:rStyle w:val="Hyperlink"/>
                <w:noProof/>
              </w:rPr>
              <w:t>8.2 Technical Programme Leadership</w:t>
            </w:r>
            <w:r>
              <w:rPr>
                <w:noProof/>
              </w:rPr>
              <w:tab/>
            </w:r>
            <w:r>
              <w:rPr>
                <w:noProof/>
              </w:rPr>
              <w:fldChar w:fldCharType="begin"/>
            </w:r>
            <w:r>
              <w:rPr>
                <w:noProof/>
              </w:rPr>
              <w:instrText xml:space="preserve"> PAGEREF _Toc235173329 \h </w:instrText>
            </w:r>
            <w:r>
              <w:rPr>
                <w:noProof/>
              </w:rPr>
            </w:r>
            <w:r>
              <w:rPr>
                <w:noProof/>
              </w:rPr>
              <w:fldChar w:fldCharType="separate"/>
            </w:r>
            <w:r>
              <w:rPr>
                <w:noProof/>
              </w:rPr>
              <w:t>25</w:t>
            </w:r>
            <w:r>
              <w:rPr>
                <w:noProof/>
              </w:rPr>
              <w:fldChar w:fldCharType="end"/>
            </w:r>
          </w:hyperlink>
        </w:p>
        <w:p w14:paraId="7003FBD2" w14:textId="5C7183D4" w:rsidR="00D0259C" w:rsidRDefault="00D0259C">
          <w:pPr>
            <w:pStyle w:val="TOC2"/>
            <w:tabs>
              <w:tab w:val="right" w:leader="dot" w:pos="9350"/>
            </w:tabs>
            <w:rPr>
              <w:noProof/>
            </w:rPr>
          </w:pPr>
          <w:hyperlink w:anchor="_Toc235173330" w:history="1">
            <w:r w:rsidRPr="007327CA">
              <w:rPr>
                <w:rStyle w:val="Hyperlink"/>
                <w:noProof/>
              </w:rPr>
              <w:t>8.3 Cloud Centre of Excellence</w:t>
            </w:r>
            <w:r>
              <w:rPr>
                <w:noProof/>
              </w:rPr>
              <w:tab/>
            </w:r>
            <w:r>
              <w:rPr>
                <w:noProof/>
              </w:rPr>
              <w:fldChar w:fldCharType="begin"/>
            </w:r>
            <w:r>
              <w:rPr>
                <w:noProof/>
              </w:rPr>
              <w:instrText xml:space="preserve"> PAGEREF _Toc235173330 \h </w:instrText>
            </w:r>
            <w:r>
              <w:rPr>
                <w:noProof/>
              </w:rPr>
            </w:r>
            <w:r>
              <w:rPr>
                <w:noProof/>
              </w:rPr>
              <w:fldChar w:fldCharType="separate"/>
            </w:r>
            <w:r>
              <w:rPr>
                <w:noProof/>
              </w:rPr>
              <w:t>26</w:t>
            </w:r>
            <w:r>
              <w:rPr>
                <w:noProof/>
              </w:rPr>
              <w:fldChar w:fldCharType="end"/>
            </w:r>
          </w:hyperlink>
        </w:p>
        <w:p w14:paraId="63E0A9AA" w14:textId="3C48C63A" w:rsidR="00D0259C" w:rsidRDefault="00D0259C">
          <w:pPr>
            <w:pStyle w:val="TOC2"/>
            <w:tabs>
              <w:tab w:val="right" w:leader="dot" w:pos="9350"/>
            </w:tabs>
            <w:rPr>
              <w:noProof/>
            </w:rPr>
          </w:pPr>
          <w:hyperlink w:anchor="_Toc235173331" w:history="1">
            <w:r w:rsidRPr="007327CA">
              <w:rPr>
                <w:rStyle w:val="Hyperlink"/>
                <w:noProof/>
              </w:rPr>
              <w:t>8.4 Delivery Teams</w:t>
            </w:r>
            <w:r>
              <w:rPr>
                <w:noProof/>
              </w:rPr>
              <w:tab/>
            </w:r>
            <w:r>
              <w:rPr>
                <w:noProof/>
              </w:rPr>
              <w:fldChar w:fldCharType="begin"/>
            </w:r>
            <w:r>
              <w:rPr>
                <w:noProof/>
              </w:rPr>
              <w:instrText xml:space="preserve"> PAGEREF _Toc235173331 \h </w:instrText>
            </w:r>
            <w:r>
              <w:rPr>
                <w:noProof/>
              </w:rPr>
            </w:r>
            <w:r>
              <w:rPr>
                <w:noProof/>
              </w:rPr>
              <w:fldChar w:fldCharType="separate"/>
            </w:r>
            <w:r>
              <w:rPr>
                <w:noProof/>
              </w:rPr>
              <w:t>26</w:t>
            </w:r>
            <w:r>
              <w:rPr>
                <w:noProof/>
              </w:rPr>
              <w:fldChar w:fldCharType="end"/>
            </w:r>
          </w:hyperlink>
        </w:p>
        <w:p w14:paraId="3CD9BAB2" w14:textId="6E320FEB" w:rsidR="00D0259C" w:rsidRDefault="00D0259C">
          <w:pPr>
            <w:pStyle w:val="TOC1"/>
            <w:tabs>
              <w:tab w:val="right" w:leader="dot" w:pos="9350"/>
            </w:tabs>
            <w:rPr>
              <w:noProof/>
            </w:rPr>
          </w:pPr>
          <w:hyperlink w:anchor="_Toc235173332" w:history="1">
            <w:r w:rsidRPr="007327CA">
              <w:rPr>
                <w:rStyle w:val="Hyperlink"/>
                <w:noProof/>
              </w:rPr>
              <w:t>9. Prioritised Work Packages</w:t>
            </w:r>
            <w:r>
              <w:rPr>
                <w:noProof/>
              </w:rPr>
              <w:tab/>
            </w:r>
            <w:r>
              <w:rPr>
                <w:noProof/>
              </w:rPr>
              <w:fldChar w:fldCharType="begin"/>
            </w:r>
            <w:r>
              <w:rPr>
                <w:noProof/>
              </w:rPr>
              <w:instrText xml:space="preserve"> PAGEREF _Toc235173332 \h </w:instrText>
            </w:r>
            <w:r>
              <w:rPr>
                <w:noProof/>
              </w:rPr>
            </w:r>
            <w:r>
              <w:rPr>
                <w:noProof/>
              </w:rPr>
              <w:fldChar w:fldCharType="separate"/>
            </w:r>
            <w:r>
              <w:rPr>
                <w:noProof/>
              </w:rPr>
              <w:t>26</w:t>
            </w:r>
            <w:r>
              <w:rPr>
                <w:noProof/>
              </w:rPr>
              <w:fldChar w:fldCharType="end"/>
            </w:r>
          </w:hyperlink>
        </w:p>
        <w:p w14:paraId="07DC13A3" w14:textId="4B60471F" w:rsidR="00D0259C" w:rsidRDefault="00D0259C">
          <w:pPr>
            <w:pStyle w:val="TOC1"/>
            <w:tabs>
              <w:tab w:val="right" w:leader="dot" w:pos="9350"/>
            </w:tabs>
            <w:rPr>
              <w:noProof/>
            </w:rPr>
          </w:pPr>
          <w:hyperlink w:anchor="_Toc235173333" w:history="1">
            <w:r w:rsidRPr="007327CA">
              <w:rPr>
                <w:rStyle w:val="Hyperlink"/>
                <w:noProof/>
              </w:rPr>
              <w:t>10. Phased Delivery Roadmap</w:t>
            </w:r>
            <w:r>
              <w:rPr>
                <w:noProof/>
              </w:rPr>
              <w:tab/>
            </w:r>
            <w:r>
              <w:rPr>
                <w:noProof/>
              </w:rPr>
              <w:fldChar w:fldCharType="begin"/>
            </w:r>
            <w:r>
              <w:rPr>
                <w:noProof/>
              </w:rPr>
              <w:instrText xml:space="preserve"> PAGEREF _Toc235173333 \h </w:instrText>
            </w:r>
            <w:r>
              <w:rPr>
                <w:noProof/>
              </w:rPr>
            </w:r>
            <w:r>
              <w:rPr>
                <w:noProof/>
              </w:rPr>
              <w:fldChar w:fldCharType="separate"/>
            </w:r>
            <w:r>
              <w:rPr>
                <w:noProof/>
              </w:rPr>
              <w:t>28</w:t>
            </w:r>
            <w:r>
              <w:rPr>
                <w:noProof/>
              </w:rPr>
              <w:fldChar w:fldCharType="end"/>
            </w:r>
          </w:hyperlink>
        </w:p>
        <w:p w14:paraId="20EA06F2" w14:textId="43854D6C" w:rsidR="00D0259C" w:rsidRDefault="00D0259C">
          <w:pPr>
            <w:pStyle w:val="TOC3"/>
            <w:tabs>
              <w:tab w:val="right" w:leader="dot" w:pos="9350"/>
            </w:tabs>
            <w:rPr>
              <w:noProof/>
            </w:rPr>
          </w:pPr>
          <w:hyperlink w:anchor="_Toc235173334" w:history="1">
            <w:r w:rsidRPr="007327CA">
              <w:rPr>
                <w:rStyle w:val="Hyperlink"/>
                <w:noProof/>
              </w:rPr>
              <w:t>Phase 1 — Continue, Enable &amp; Stabilise (≈ months 0–3)</w:t>
            </w:r>
            <w:r>
              <w:rPr>
                <w:noProof/>
              </w:rPr>
              <w:tab/>
            </w:r>
            <w:r>
              <w:rPr>
                <w:noProof/>
              </w:rPr>
              <w:fldChar w:fldCharType="begin"/>
            </w:r>
            <w:r>
              <w:rPr>
                <w:noProof/>
              </w:rPr>
              <w:instrText xml:space="preserve"> PAGEREF _Toc235173334 \h </w:instrText>
            </w:r>
            <w:r>
              <w:rPr>
                <w:noProof/>
              </w:rPr>
            </w:r>
            <w:r>
              <w:rPr>
                <w:noProof/>
              </w:rPr>
              <w:fldChar w:fldCharType="separate"/>
            </w:r>
            <w:r>
              <w:rPr>
                <w:noProof/>
              </w:rPr>
              <w:t>28</w:t>
            </w:r>
            <w:r>
              <w:rPr>
                <w:noProof/>
              </w:rPr>
              <w:fldChar w:fldCharType="end"/>
            </w:r>
          </w:hyperlink>
        </w:p>
        <w:p w14:paraId="4D192444" w14:textId="239CCE47" w:rsidR="00D0259C" w:rsidRDefault="00D0259C">
          <w:pPr>
            <w:pStyle w:val="TOC3"/>
            <w:tabs>
              <w:tab w:val="right" w:leader="dot" w:pos="9350"/>
            </w:tabs>
            <w:rPr>
              <w:noProof/>
            </w:rPr>
          </w:pPr>
          <w:hyperlink w:anchor="_Toc235173335" w:history="1">
            <w:r w:rsidRPr="007327CA">
              <w:rPr>
                <w:rStyle w:val="Hyperlink"/>
                <w:noProof/>
              </w:rPr>
              <w:t>Phase 2 — Consolidate &amp; Standardise (≈ months 3–9)</w:t>
            </w:r>
            <w:r>
              <w:rPr>
                <w:noProof/>
              </w:rPr>
              <w:tab/>
            </w:r>
            <w:r>
              <w:rPr>
                <w:noProof/>
              </w:rPr>
              <w:fldChar w:fldCharType="begin"/>
            </w:r>
            <w:r>
              <w:rPr>
                <w:noProof/>
              </w:rPr>
              <w:instrText xml:space="preserve"> PAGEREF _Toc235173335 \h </w:instrText>
            </w:r>
            <w:r>
              <w:rPr>
                <w:noProof/>
              </w:rPr>
            </w:r>
            <w:r>
              <w:rPr>
                <w:noProof/>
              </w:rPr>
              <w:fldChar w:fldCharType="separate"/>
            </w:r>
            <w:r>
              <w:rPr>
                <w:noProof/>
              </w:rPr>
              <w:t>28</w:t>
            </w:r>
            <w:r>
              <w:rPr>
                <w:noProof/>
              </w:rPr>
              <w:fldChar w:fldCharType="end"/>
            </w:r>
          </w:hyperlink>
        </w:p>
        <w:p w14:paraId="589120F0" w14:textId="55F47EA2" w:rsidR="00D0259C" w:rsidRDefault="00D0259C">
          <w:pPr>
            <w:pStyle w:val="TOC3"/>
            <w:tabs>
              <w:tab w:val="right" w:leader="dot" w:pos="9350"/>
            </w:tabs>
            <w:rPr>
              <w:noProof/>
            </w:rPr>
          </w:pPr>
          <w:hyperlink w:anchor="_Toc235173336" w:history="1">
            <w:r w:rsidRPr="007327CA">
              <w:rPr>
                <w:rStyle w:val="Hyperlink"/>
                <w:noProof/>
              </w:rPr>
              <w:t>Phase 3 — Transform, Migrate &amp; Modernise (≈ months 9–18)</w:t>
            </w:r>
            <w:r>
              <w:rPr>
                <w:noProof/>
              </w:rPr>
              <w:tab/>
            </w:r>
            <w:r>
              <w:rPr>
                <w:noProof/>
              </w:rPr>
              <w:fldChar w:fldCharType="begin"/>
            </w:r>
            <w:r>
              <w:rPr>
                <w:noProof/>
              </w:rPr>
              <w:instrText xml:space="preserve"> PAGEREF _Toc235173336 \h </w:instrText>
            </w:r>
            <w:r>
              <w:rPr>
                <w:noProof/>
              </w:rPr>
            </w:r>
            <w:r>
              <w:rPr>
                <w:noProof/>
              </w:rPr>
              <w:fldChar w:fldCharType="separate"/>
            </w:r>
            <w:r>
              <w:rPr>
                <w:noProof/>
              </w:rPr>
              <w:t>28</w:t>
            </w:r>
            <w:r>
              <w:rPr>
                <w:noProof/>
              </w:rPr>
              <w:fldChar w:fldCharType="end"/>
            </w:r>
          </w:hyperlink>
        </w:p>
        <w:p w14:paraId="52A98807" w14:textId="7CBC8AD0" w:rsidR="00D0259C" w:rsidRDefault="00D0259C">
          <w:pPr>
            <w:pStyle w:val="TOC1"/>
            <w:tabs>
              <w:tab w:val="right" w:leader="dot" w:pos="9350"/>
            </w:tabs>
            <w:rPr>
              <w:noProof/>
            </w:rPr>
          </w:pPr>
          <w:hyperlink w:anchor="_Toc235173337" w:history="1">
            <w:r w:rsidRPr="007327CA">
              <w:rPr>
                <w:rStyle w:val="Hyperlink"/>
                <w:noProof/>
              </w:rPr>
              <w:t>11. Cross-Workstream Dependencies</w:t>
            </w:r>
            <w:r>
              <w:rPr>
                <w:noProof/>
              </w:rPr>
              <w:tab/>
            </w:r>
            <w:r>
              <w:rPr>
                <w:noProof/>
              </w:rPr>
              <w:fldChar w:fldCharType="begin"/>
            </w:r>
            <w:r>
              <w:rPr>
                <w:noProof/>
              </w:rPr>
              <w:instrText xml:space="preserve"> PAGEREF _Toc235173337 \h </w:instrText>
            </w:r>
            <w:r>
              <w:rPr>
                <w:noProof/>
              </w:rPr>
            </w:r>
            <w:r>
              <w:rPr>
                <w:noProof/>
              </w:rPr>
              <w:fldChar w:fldCharType="separate"/>
            </w:r>
            <w:r>
              <w:rPr>
                <w:noProof/>
              </w:rPr>
              <w:t>29</w:t>
            </w:r>
            <w:r>
              <w:rPr>
                <w:noProof/>
              </w:rPr>
              <w:fldChar w:fldCharType="end"/>
            </w:r>
          </w:hyperlink>
        </w:p>
        <w:p w14:paraId="4CD46383" w14:textId="1D3ACFB7" w:rsidR="00D0259C" w:rsidRDefault="00D0259C">
          <w:pPr>
            <w:pStyle w:val="TOC1"/>
            <w:tabs>
              <w:tab w:val="right" w:leader="dot" w:pos="9350"/>
            </w:tabs>
            <w:rPr>
              <w:noProof/>
            </w:rPr>
          </w:pPr>
          <w:hyperlink w:anchor="_Toc235173338" w:history="1">
            <w:r w:rsidRPr="007327CA">
              <w:rPr>
                <w:rStyle w:val="Hyperlink"/>
                <w:noProof/>
              </w:rPr>
              <w:t>12. Prioritisation Summary &amp; Next Steps</w:t>
            </w:r>
            <w:r>
              <w:rPr>
                <w:noProof/>
              </w:rPr>
              <w:tab/>
            </w:r>
            <w:r>
              <w:rPr>
                <w:noProof/>
              </w:rPr>
              <w:fldChar w:fldCharType="begin"/>
            </w:r>
            <w:r>
              <w:rPr>
                <w:noProof/>
              </w:rPr>
              <w:instrText xml:space="preserve"> PAGEREF _Toc235173338 \h </w:instrText>
            </w:r>
            <w:r>
              <w:rPr>
                <w:noProof/>
              </w:rPr>
            </w:r>
            <w:r>
              <w:rPr>
                <w:noProof/>
              </w:rPr>
              <w:fldChar w:fldCharType="separate"/>
            </w:r>
            <w:r>
              <w:rPr>
                <w:noProof/>
              </w:rPr>
              <w:t>30</w:t>
            </w:r>
            <w:r>
              <w:rPr>
                <w:noProof/>
              </w:rPr>
              <w:fldChar w:fldCharType="end"/>
            </w:r>
          </w:hyperlink>
        </w:p>
        <w:p w14:paraId="0AFA72CF" w14:textId="3F74CF1D" w:rsidR="00D0259C" w:rsidRDefault="00D0259C">
          <w:pPr>
            <w:pStyle w:val="TOC1"/>
            <w:tabs>
              <w:tab w:val="right" w:leader="dot" w:pos="9350"/>
            </w:tabs>
            <w:rPr>
              <w:noProof/>
            </w:rPr>
          </w:pPr>
          <w:hyperlink w:anchor="_Toc235173339" w:history="1">
            <w:r w:rsidRPr="007327CA">
              <w:rPr>
                <w:rStyle w:val="Hyperlink"/>
                <w:noProof/>
              </w:rPr>
              <w:t>Appendix A — Glossary</w:t>
            </w:r>
            <w:r>
              <w:rPr>
                <w:noProof/>
              </w:rPr>
              <w:tab/>
            </w:r>
            <w:r>
              <w:rPr>
                <w:noProof/>
              </w:rPr>
              <w:fldChar w:fldCharType="begin"/>
            </w:r>
            <w:r>
              <w:rPr>
                <w:noProof/>
              </w:rPr>
              <w:instrText xml:space="preserve"> PAGEREF _Toc235173339 \h </w:instrText>
            </w:r>
            <w:r>
              <w:rPr>
                <w:noProof/>
              </w:rPr>
            </w:r>
            <w:r>
              <w:rPr>
                <w:noProof/>
              </w:rPr>
              <w:fldChar w:fldCharType="separate"/>
            </w:r>
            <w:r>
              <w:rPr>
                <w:noProof/>
              </w:rPr>
              <w:t>31</w:t>
            </w:r>
            <w:r>
              <w:rPr>
                <w:noProof/>
              </w:rPr>
              <w:fldChar w:fldCharType="end"/>
            </w:r>
          </w:hyperlink>
        </w:p>
        <w:p w14:paraId="451316FC" w14:textId="7B254A03" w:rsidR="00D0259C" w:rsidRDefault="00D0259C">
          <w:pPr>
            <w:pStyle w:val="TOC1"/>
            <w:tabs>
              <w:tab w:val="right" w:leader="dot" w:pos="9350"/>
            </w:tabs>
            <w:rPr>
              <w:noProof/>
            </w:rPr>
          </w:pPr>
          <w:hyperlink w:anchor="_Toc235173340" w:history="1">
            <w:r w:rsidRPr="007327CA">
              <w:rPr>
                <w:rStyle w:val="Hyperlink"/>
                <w:noProof/>
              </w:rPr>
              <w:t>Appendix B — Source &amp; Reference Documents</w:t>
            </w:r>
            <w:r>
              <w:rPr>
                <w:noProof/>
              </w:rPr>
              <w:tab/>
            </w:r>
            <w:r>
              <w:rPr>
                <w:noProof/>
              </w:rPr>
              <w:fldChar w:fldCharType="begin"/>
            </w:r>
            <w:r>
              <w:rPr>
                <w:noProof/>
              </w:rPr>
              <w:instrText xml:space="preserve"> PAGEREF _Toc235173340 \h </w:instrText>
            </w:r>
            <w:r>
              <w:rPr>
                <w:noProof/>
              </w:rPr>
            </w:r>
            <w:r>
              <w:rPr>
                <w:noProof/>
              </w:rPr>
              <w:fldChar w:fldCharType="separate"/>
            </w:r>
            <w:r>
              <w:rPr>
                <w:noProof/>
              </w:rPr>
              <w:t>32</w:t>
            </w:r>
            <w:r>
              <w:rPr>
                <w:noProof/>
              </w:rPr>
              <w:fldChar w:fldCharType="end"/>
            </w:r>
          </w:hyperlink>
        </w:p>
        <w:p w14:paraId="0B3EDC0A" w14:textId="77777777" w:rsidR="00D0259C" w:rsidRDefault="00000000" w:rsidP="00D0259C">
          <w:r>
            <w:fldChar w:fldCharType="end"/>
          </w:r>
        </w:p>
      </w:sdtContent>
    </w:sdt>
    <w:p w14:paraId="1E8902A1" w14:textId="73227066" w:rsidR="0026123B" w:rsidRDefault="00000000">
      <w:r>
        <w:br w:type="page"/>
      </w:r>
    </w:p>
    <w:p w14:paraId="0936AF89" w14:textId="77777777" w:rsidR="0026123B" w:rsidRDefault="00000000">
      <w:pPr>
        <w:pStyle w:val="Heading1"/>
      </w:pPr>
      <w:bookmarkStart w:id="1" w:name="_Toc235173300"/>
      <w:r>
        <w:lastRenderedPageBreak/>
        <w:t>1. Executive Summary</w:t>
      </w:r>
      <w:bookmarkEnd w:id="1"/>
    </w:p>
    <w:p w14:paraId="11F8D478" w14:textId="77777777" w:rsidR="0026123B" w:rsidRDefault="00000000">
      <w:pPr>
        <w:spacing w:before="60" w:after="60"/>
      </w:pPr>
      <w:r>
        <w:t>This document is a consolidated summary of the CQC Cloud Assessment delivered by Hitachi Solutions Europe. It draws together the four assessment outputs — the Cloud Assessment Playback (ACS_920), the Cloud Assessment Report (ACS_921), the Cloud Health Check (ACS_922) and the Cloud Strategy Workshop — into a single detailed narrative, and sets out the prioritised work packages that turn the findings into a sequenced, governed programme of delivery.</w:t>
      </w:r>
    </w:p>
    <w:p w14:paraId="11FBADD4" w14:textId="77777777" w:rsidR="0026123B" w:rsidRDefault="00000000">
      <w:pPr>
        <w:spacing w:before="60" w:after="60"/>
      </w:pPr>
      <w:r>
        <w:t>The assessment has established three things:</w:t>
      </w:r>
    </w:p>
    <w:p w14:paraId="7F485443" w14:textId="77777777" w:rsidR="0026123B" w:rsidRDefault="00000000">
      <w:pPr>
        <w:pStyle w:val="ListParagraph"/>
        <w:numPr>
          <w:ilvl w:val="0"/>
          <w:numId w:val="2"/>
        </w:numPr>
        <w:spacing w:before="40" w:after="40"/>
      </w:pPr>
      <w:r>
        <w:t>CQC's cloud strategy is sound. The target direction is clear and consistent across the CCoE charter, the cloud strategy paper and every workshop: a CAF-aligned landing zone, stronger governance, better observability, cost transparency, Zero Trust, and a platform that supports data-driven regulation.</w:t>
      </w:r>
    </w:p>
    <w:p w14:paraId="14D57BAA" w14:textId="77777777" w:rsidR="0026123B" w:rsidRDefault="00000000">
      <w:pPr>
        <w:pStyle w:val="ListParagraph"/>
        <w:numPr>
          <w:ilvl w:val="0"/>
          <w:numId w:val="2"/>
        </w:numPr>
        <w:spacing w:before="40" w:after="40"/>
      </w:pPr>
      <w:r>
        <w:t>The current estate cannot yet deliver on that direction. Governance is split across three management-group hierarchies, policy enforcement varies by subscription placement, standing privilege is high, observability is fragmented and cost attribution is not possible. Every technical chapter describes a different facet of the same problem: the organisation is trying to move forward while carrying an estate that is not yet controlled.</w:t>
      </w:r>
    </w:p>
    <w:p w14:paraId="5CF5DCD5" w14:textId="77777777" w:rsidR="0026123B" w:rsidRDefault="00000000">
      <w:pPr>
        <w:pStyle w:val="ListParagraph"/>
        <w:numPr>
          <w:ilvl w:val="0"/>
          <w:numId w:val="2"/>
        </w:numPr>
        <w:spacing w:before="40" w:after="40"/>
      </w:pPr>
      <w:r>
        <w:t>Work is already underway — it lacks coordination. CQC is not starting from zero: the platform team is building the new landing zone, security is improving identity hygiene, and FinOps analysis is identifying waste. The issue is not a lack of activity but a lack of a single view of what should come first, what depends on what, and who arbitrates when priorities compete.</w:t>
      </w:r>
    </w:p>
    <w:p w14:paraId="5F25BA6F" w14:textId="77777777" w:rsidR="0026123B" w:rsidRDefault="00000000">
      <w:pPr>
        <w:spacing w:before="60" w:after="60"/>
      </w:pPr>
      <w:r>
        <w:t>The assessment resolves into a 12-pillar maturity baseline, 129 prioritised recommendations, and sixteen owned, sequenced work packages delivered across three phases over roughly eighteen months. The aim is not to replace the work already underway, but to make it deliberate, sequenced and governed.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ADFEA65"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456E131C" w14:textId="77777777" w:rsidR="0026123B" w:rsidRDefault="00000000">
            <w:r>
              <w:rPr>
                <w:b/>
                <w:bCs/>
                <w:color w:val="5F2861"/>
              </w:rPr>
              <w:t>At a glance:  £2.185M annualised Azure spend with zero cost-allocation tag coverage; 107 of 118 Key Vaults allow public network access; 0 of 161 Function Apps enforce authentication; all 12 API Management instances are publicly exposed; mean Secure Score 59.8% against a 75% target; identity and secret management both at maturity level 1 (Initial).</w:t>
            </w:r>
          </w:p>
        </w:tc>
      </w:tr>
    </w:tbl>
    <w:p w14:paraId="6B2FFAA2" w14:textId="77777777" w:rsidR="0026123B" w:rsidRDefault="00000000">
      <w:pPr>
        <w:pStyle w:val="Heading1"/>
      </w:pPr>
      <w:bookmarkStart w:id="2" w:name="_Toc235173301"/>
      <w:r>
        <w:t>2. Document Information</w:t>
      </w:r>
      <w:bookmarkEnd w:id="2"/>
    </w:p>
    <w:p w14:paraId="2AAEFFCE" w14:textId="77777777" w:rsidR="0026123B" w:rsidRDefault="00000000">
      <w:pPr>
        <w:pStyle w:val="Heading2"/>
      </w:pPr>
      <w:bookmarkStart w:id="3" w:name="_Toc235173302"/>
      <w:r>
        <w:t>2.1 Version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394"/>
        <w:gridCol w:w="1409"/>
        <w:gridCol w:w="1134"/>
        <w:gridCol w:w="4449"/>
      </w:tblGrid>
      <w:tr w:rsidR="0026123B" w14:paraId="404FD644" w14:textId="77777777">
        <w:tc>
          <w:tcPr>
            <w:tcW w:w="7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6984B7E" w14:textId="77777777" w:rsidR="0026123B" w:rsidRDefault="00000000">
            <w:pPr>
              <w:jc w:val="center"/>
            </w:pPr>
            <w:r>
              <w:rPr>
                <w:b/>
                <w:bCs/>
                <w:color w:val="FFFFFF"/>
              </w:rPr>
              <w:t>Version</w:t>
            </w:r>
          </w:p>
        </w:tc>
        <w:tc>
          <w:tcPr>
            <w:tcW w:w="14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B94E974" w14:textId="77777777" w:rsidR="0026123B" w:rsidRDefault="00000000">
            <w:pPr>
              <w:jc w:val="center"/>
            </w:pPr>
            <w:r>
              <w:rPr>
                <w:b/>
                <w:bCs/>
                <w:color w:val="FFFFFF"/>
              </w:rPr>
              <w:t>Date</w:t>
            </w:r>
          </w:p>
        </w:tc>
        <w:tc>
          <w:tcPr>
            <w:tcW w:w="14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ACCE853" w14:textId="77777777" w:rsidR="0026123B" w:rsidRDefault="00000000">
            <w:pPr>
              <w:jc w:val="center"/>
            </w:pPr>
            <w:r>
              <w:rPr>
                <w:b/>
                <w:bCs/>
                <w:color w:val="FFFFFF"/>
              </w:rPr>
              <w:t>Author</w:t>
            </w:r>
          </w:p>
        </w:tc>
        <w:tc>
          <w:tcPr>
            <w:tcW w:w="1152"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1F98242" w14:textId="77777777" w:rsidR="0026123B" w:rsidRDefault="00000000">
            <w:pPr>
              <w:jc w:val="center"/>
            </w:pPr>
            <w:r>
              <w:rPr>
                <w:b/>
                <w:bCs/>
                <w:color w:val="FFFFFF"/>
              </w:rPr>
              <w:t>Status</w:t>
            </w:r>
          </w:p>
        </w:tc>
        <w:tc>
          <w:tcPr>
            <w:tcW w:w="4608"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C06EA1A" w14:textId="77777777" w:rsidR="0026123B" w:rsidRDefault="00000000">
            <w:pPr>
              <w:jc w:val="center"/>
            </w:pPr>
            <w:r>
              <w:rPr>
                <w:b/>
                <w:bCs/>
                <w:color w:val="FFFFFF"/>
              </w:rPr>
              <w:t>Description</w:t>
            </w:r>
          </w:p>
        </w:tc>
      </w:tr>
      <w:tr w:rsidR="0026123B" w14:paraId="7647639F"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DBBAFB" w14:textId="77777777" w:rsidR="0026123B" w:rsidRDefault="00000000">
            <w:pPr>
              <w:jc w:val="center"/>
            </w:pPr>
            <w:r>
              <w:t>0.1</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A10593" w14:textId="77777777" w:rsidR="0026123B" w:rsidRDefault="00000000">
            <w:r>
              <w:t>17 July 2026</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5FC2CD" w14:textId="77777777" w:rsidR="0026123B" w:rsidRDefault="00000000">
            <w:r>
              <w:t>[Author]</w:t>
            </w:r>
          </w:p>
        </w:tc>
        <w:tc>
          <w:tcPr>
            <w:tcW w:w="11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C1099E" w14:textId="77777777" w:rsidR="0026123B" w:rsidRDefault="00000000">
            <w:r>
              <w:t>Draft</w:t>
            </w:r>
          </w:p>
        </w:tc>
        <w:tc>
          <w:tcPr>
            <w:tcW w:w="46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9AAF65" w14:textId="77777777" w:rsidR="0026123B" w:rsidRDefault="00000000">
            <w:r>
              <w:t>Consolidated detailed summary and prioritised work packages, derived from the Hitachi Cloud Assessment (ACS_920/921/922) and Cloud Strategy Workshop.</w:t>
            </w:r>
          </w:p>
        </w:tc>
      </w:tr>
    </w:tbl>
    <w:p w14:paraId="2BC5B1DD" w14:textId="77777777" w:rsidR="0026123B" w:rsidRDefault="00000000">
      <w:pPr>
        <w:pStyle w:val="Heading2"/>
      </w:pPr>
      <w:bookmarkStart w:id="4" w:name="_Toc235173303"/>
      <w:r>
        <w:t>2.2 Source Documents</w:t>
      </w:r>
      <w:bookmarkEnd w:id="4"/>
    </w:p>
    <w:p w14:paraId="5A4542BA" w14:textId="77777777" w:rsidR="0026123B" w:rsidRDefault="00000000">
      <w:pPr>
        <w:spacing w:before="60" w:after="60"/>
      </w:pPr>
      <w:r>
        <w:t>This summary consolidates the following Hitachi Solutions Cloud Assessment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6624"/>
      </w:tblGrid>
      <w:tr w:rsidR="0026123B" w14:paraId="475E8EBD" w14:textId="77777777">
        <w:tc>
          <w:tcPr>
            <w:tcW w:w="2736"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E1DB270" w14:textId="77777777" w:rsidR="0026123B" w:rsidRDefault="00000000">
            <w:r>
              <w:rPr>
                <w:b/>
                <w:bCs/>
                <w:color w:val="5F2861"/>
              </w:rPr>
              <w:t>01 — Cloud Assessment Playback</w:t>
            </w:r>
          </w:p>
        </w:tc>
        <w:tc>
          <w:tcPr>
            <w:tcW w:w="662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3367F" w14:textId="77777777" w:rsidR="0026123B" w:rsidRDefault="00000000">
            <w:r>
              <w:t>ACS_920 — CQC (Hitachi Solutions Europe)</w:t>
            </w:r>
          </w:p>
        </w:tc>
      </w:tr>
      <w:tr w:rsidR="0026123B" w14:paraId="4BC8C36D" w14:textId="77777777">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96B205" w14:textId="77777777" w:rsidR="0026123B" w:rsidRDefault="00000000">
            <w:r>
              <w:rPr>
                <w:b/>
                <w:bCs/>
                <w:color w:val="5F2861"/>
              </w:rPr>
              <w:t>02 — Cloud Assessment Report</w:t>
            </w:r>
          </w:p>
        </w:tc>
        <w:tc>
          <w:tcPr>
            <w:tcW w:w="662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38169F" w14:textId="77777777" w:rsidR="0026123B" w:rsidRDefault="00000000">
            <w:r>
              <w:t>ACS_921 — CQC (advisory findings, recommendations, roadmap)</w:t>
            </w:r>
          </w:p>
        </w:tc>
      </w:tr>
      <w:tr w:rsidR="0026123B" w14:paraId="57E28629" w14:textId="77777777">
        <w:tc>
          <w:tcPr>
            <w:tcW w:w="2736"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FE1B7D" w14:textId="77777777" w:rsidR="0026123B" w:rsidRDefault="00000000">
            <w:r>
              <w:rPr>
                <w:b/>
                <w:bCs/>
                <w:color w:val="5F2861"/>
              </w:rPr>
              <w:t>03 — Cloud Health Check</w:t>
            </w:r>
          </w:p>
        </w:tc>
        <w:tc>
          <w:tcPr>
            <w:tcW w:w="662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718406" w14:textId="77777777" w:rsidR="0026123B" w:rsidRDefault="00000000">
            <w:r>
              <w:t>ACS_922 — CQC (detailed technical evidence by domain)</w:t>
            </w:r>
          </w:p>
        </w:tc>
      </w:tr>
      <w:tr w:rsidR="0026123B" w14:paraId="676063E6" w14:textId="77777777">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41C4A4" w14:textId="77777777" w:rsidR="0026123B" w:rsidRDefault="00000000">
            <w:r>
              <w:rPr>
                <w:b/>
                <w:bCs/>
                <w:color w:val="5F2861"/>
              </w:rPr>
              <w:lastRenderedPageBreak/>
              <w:t>04 — Cloud Strategy Workshop</w:t>
            </w:r>
          </w:p>
        </w:tc>
        <w:tc>
          <w:tcPr>
            <w:tcW w:w="662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2187B7" w14:textId="77777777" w:rsidR="0026123B" w:rsidRDefault="00000000">
            <w:r>
              <w:t>Workshop outputs — drivers, blockers, priorities, guard rails</w:t>
            </w:r>
          </w:p>
        </w:tc>
      </w:tr>
      <w:tr w:rsidR="0026123B" w14:paraId="1960FE88" w14:textId="77777777">
        <w:tc>
          <w:tcPr>
            <w:tcW w:w="2736"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7E56876" w14:textId="77777777" w:rsidR="0026123B" w:rsidRDefault="00000000">
            <w:r>
              <w:rPr>
                <w:b/>
                <w:bCs/>
                <w:color w:val="5F2861"/>
              </w:rPr>
              <w:t>Consolidated Recommendations</w:t>
            </w:r>
          </w:p>
        </w:tc>
        <w:tc>
          <w:tcPr>
            <w:tcW w:w="662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E56503" w14:textId="77777777" w:rsidR="0026123B" w:rsidRDefault="00000000">
            <w:r>
              <w:t>ACS_921 — CQC — Consolidated Health Check Recommendations.xlsx (129 items)</w:t>
            </w:r>
          </w:p>
        </w:tc>
      </w:tr>
    </w:tbl>
    <w:p w14:paraId="39116419" w14:textId="77777777" w:rsidR="0026123B" w:rsidRDefault="00000000">
      <w:pPr>
        <w:pStyle w:val="Heading2"/>
      </w:pPr>
      <w:bookmarkStart w:id="5" w:name="_Toc235173304"/>
      <w:r>
        <w:t>2.3 Stakeholders &amp; Delivery Partners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2160"/>
        <w:gridCol w:w="1584"/>
        <w:gridCol w:w="3888"/>
      </w:tblGrid>
      <w:tr w:rsidR="0026123B" w14:paraId="61E935B9" w14:textId="77777777">
        <w:tc>
          <w:tcPr>
            <w:tcW w:w="1728"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B39F1DD" w14:textId="77777777" w:rsidR="0026123B" w:rsidRDefault="00000000">
            <w:pPr>
              <w:jc w:val="center"/>
            </w:pPr>
            <w:r>
              <w:rPr>
                <w:b/>
                <w:bCs/>
                <w:color w:val="FFFFFF"/>
              </w:rPr>
              <w:t>Stakeholder / Partner</w:t>
            </w:r>
          </w:p>
        </w:tc>
        <w:tc>
          <w:tcPr>
            <w:tcW w:w="2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900A2DF" w14:textId="77777777" w:rsidR="0026123B" w:rsidRDefault="00000000">
            <w:pPr>
              <w:jc w:val="center"/>
            </w:pPr>
            <w:r>
              <w:rPr>
                <w:b/>
                <w:bCs/>
                <w:color w:val="FFFFFF"/>
              </w:rPr>
              <w:t>Role</w:t>
            </w:r>
          </w:p>
        </w:tc>
        <w:tc>
          <w:tcPr>
            <w:tcW w:w="1584"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8751AF5" w14:textId="77777777" w:rsidR="0026123B" w:rsidRDefault="00000000">
            <w:pPr>
              <w:jc w:val="center"/>
            </w:pPr>
            <w:r>
              <w:rPr>
                <w:b/>
                <w:bCs/>
                <w:color w:val="FFFFFF"/>
              </w:rPr>
              <w:t>Organisation</w:t>
            </w:r>
          </w:p>
        </w:tc>
        <w:tc>
          <w:tcPr>
            <w:tcW w:w="3888"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F97E997" w14:textId="77777777" w:rsidR="0026123B" w:rsidRDefault="00000000">
            <w:pPr>
              <w:jc w:val="center"/>
            </w:pPr>
            <w:r>
              <w:rPr>
                <w:b/>
                <w:bCs/>
                <w:color w:val="FFFFFF"/>
              </w:rPr>
              <w:t>Responsibility</w:t>
            </w:r>
          </w:p>
        </w:tc>
      </w:tr>
      <w:tr w:rsidR="0026123B" w14:paraId="17E1DB4A" w14:textId="77777777">
        <w:tc>
          <w:tcPr>
            <w:tcW w:w="172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BEDB50" w14:textId="77777777" w:rsidR="0026123B" w:rsidRDefault="00000000">
            <w:r>
              <w:t>DHSC</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F0757D" w14:textId="77777777" w:rsidR="0026123B" w:rsidRDefault="00000000">
            <w:r>
              <w:t>Parent department</w:t>
            </w:r>
          </w:p>
        </w:tc>
        <w:tc>
          <w:tcPr>
            <w:tcW w:w="15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D805B1" w14:textId="77777777" w:rsidR="0026123B" w:rsidRDefault="00000000">
            <w:r>
              <w:t>Government</w:t>
            </w:r>
          </w:p>
        </w:tc>
        <w:tc>
          <w:tcPr>
            <w:tcW w:w="388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5F2380" w14:textId="77777777" w:rsidR="0026123B" w:rsidRDefault="00000000">
            <w:r>
              <w:t>Cyber strategy alignment (DHSC cyber strategy)</w:t>
            </w:r>
          </w:p>
        </w:tc>
      </w:tr>
      <w:tr w:rsidR="0026123B" w14:paraId="62FF78A6" w14:textId="77777777">
        <w:tc>
          <w:tcPr>
            <w:tcW w:w="172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A66E0A" w14:textId="77777777" w:rsidR="0026123B" w:rsidRDefault="00000000">
            <w:r>
              <w:t>CDIO</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D84C66" w14:textId="77777777" w:rsidR="0026123B" w:rsidRDefault="00000000">
            <w:r>
              <w:t>Accountable owner</w:t>
            </w:r>
          </w:p>
        </w:tc>
        <w:tc>
          <w:tcPr>
            <w:tcW w:w="15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F7CBEE" w14:textId="77777777" w:rsidR="0026123B" w:rsidRDefault="00000000">
            <w:r>
              <w:t>CQC</w:t>
            </w:r>
          </w:p>
        </w:tc>
        <w:tc>
          <w:tcPr>
            <w:tcW w:w="388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57525C" w14:textId="77777777" w:rsidR="0026123B" w:rsidRDefault="00000000">
            <w:r>
              <w:t>Scope and ownership decisions; executive authority</w:t>
            </w:r>
          </w:p>
        </w:tc>
      </w:tr>
      <w:tr w:rsidR="0026123B" w14:paraId="499C53A6" w14:textId="77777777">
        <w:tc>
          <w:tcPr>
            <w:tcW w:w="172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C4615A" w14:textId="77777777" w:rsidR="0026123B" w:rsidRDefault="00000000">
            <w:r>
              <w:t>Little Fish</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D7ACDB" w14:textId="77777777" w:rsidR="0026123B" w:rsidRDefault="00000000">
            <w:r>
              <w:t>Managed-service partner</w:t>
            </w:r>
          </w:p>
        </w:tc>
        <w:tc>
          <w:tcPr>
            <w:tcW w:w="15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0F54CD" w14:textId="77777777" w:rsidR="0026123B" w:rsidRDefault="00000000">
            <w:r>
              <w:t>Partner</w:t>
            </w:r>
          </w:p>
        </w:tc>
        <w:tc>
          <w:tcPr>
            <w:tcW w:w="388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35376E" w14:textId="77777777" w:rsidR="0026123B" w:rsidRDefault="00000000">
            <w:r>
              <w:t>Identity administration and legacy firewall</w:t>
            </w:r>
          </w:p>
        </w:tc>
      </w:tr>
      <w:tr w:rsidR="0026123B" w14:paraId="05ED3D3D" w14:textId="77777777">
        <w:tc>
          <w:tcPr>
            <w:tcW w:w="172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41D53C" w14:textId="77777777" w:rsidR="0026123B" w:rsidRDefault="00000000">
            <w:r>
              <w:t>KPMG</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9E0EAD" w14:textId="77777777" w:rsidR="0026123B" w:rsidRDefault="00000000">
            <w:r>
              <w:t>Legacy implementation partner</w:t>
            </w:r>
          </w:p>
        </w:tc>
        <w:tc>
          <w:tcPr>
            <w:tcW w:w="15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A5DF50" w14:textId="77777777" w:rsidR="0026123B" w:rsidRDefault="00000000">
            <w:r>
              <w:t>Partner</w:t>
            </w:r>
          </w:p>
        </w:tc>
        <w:tc>
          <w:tcPr>
            <w:tcW w:w="388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74B915" w14:textId="77777777" w:rsidR="0026123B" w:rsidRDefault="00000000">
            <w:r>
              <w:t>Prior implementation; access to be re-validated</w:t>
            </w:r>
          </w:p>
        </w:tc>
      </w:tr>
      <w:tr w:rsidR="0026123B" w14:paraId="21571B70" w14:textId="77777777">
        <w:tc>
          <w:tcPr>
            <w:tcW w:w="172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530222" w14:textId="77777777" w:rsidR="0026123B" w:rsidRDefault="00000000">
            <w:r>
              <w:t>Avanade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85BC4E" w14:textId="77777777" w:rsidR="0026123B" w:rsidRDefault="00000000">
            <w:r>
              <w:t>Data/AI partner</w:t>
            </w:r>
          </w:p>
        </w:tc>
        <w:tc>
          <w:tcPr>
            <w:tcW w:w="15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95A9D2" w14:textId="77777777" w:rsidR="0026123B" w:rsidRDefault="00000000">
            <w:r>
              <w:t>Partner</w:t>
            </w:r>
          </w:p>
        </w:tc>
        <w:tc>
          <w:tcPr>
            <w:tcW w:w="388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A09A94" w14:textId="77777777" w:rsidR="0026123B" w:rsidRDefault="00000000">
            <w:r>
              <w:t>ARA framework and AI HLD/LLD</w:t>
            </w:r>
          </w:p>
        </w:tc>
      </w:tr>
      <w:tr w:rsidR="0026123B" w14:paraId="56D800AF" w14:textId="77777777">
        <w:tc>
          <w:tcPr>
            <w:tcW w:w="172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C456B4" w14:textId="77777777" w:rsidR="0026123B" w:rsidRDefault="00000000">
            <w:r>
              <w:t>Node 4</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3F0803" w14:textId="77777777" w:rsidR="0026123B" w:rsidRDefault="00000000">
            <w:r>
              <w:t>Support partner</w:t>
            </w:r>
          </w:p>
        </w:tc>
        <w:tc>
          <w:tcPr>
            <w:tcW w:w="15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234604" w14:textId="77777777" w:rsidR="0026123B" w:rsidRDefault="00000000">
            <w:r>
              <w:t>Partner</w:t>
            </w:r>
          </w:p>
        </w:tc>
        <w:tc>
          <w:tcPr>
            <w:tcW w:w="388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41C2B8" w14:textId="77777777" w:rsidR="0026123B" w:rsidRDefault="00000000">
            <w:r>
              <w:t>ARA support contract (EDP)</w:t>
            </w:r>
          </w:p>
        </w:tc>
      </w:tr>
      <w:tr w:rsidR="0026123B" w14:paraId="2D36996D" w14:textId="77777777">
        <w:tc>
          <w:tcPr>
            <w:tcW w:w="172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9F0C5F" w14:textId="77777777" w:rsidR="0026123B" w:rsidRDefault="00000000">
            <w:r>
              <w:t>Infosys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A6755" w14:textId="77777777" w:rsidR="0026123B" w:rsidRDefault="00000000">
            <w:r>
              <w:t>Application partner</w:t>
            </w:r>
          </w:p>
        </w:tc>
        <w:tc>
          <w:tcPr>
            <w:tcW w:w="15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4B2B62" w14:textId="77777777" w:rsidR="0026123B" w:rsidRDefault="00000000">
            <w:r>
              <w:t>Partner</w:t>
            </w:r>
          </w:p>
        </w:tc>
        <w:tc>
          <w:tcPr>
            <w:tcW w:w="388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CBF9AF" w14:textId="77777777" w:rsidR="0026123B" w:rsidRDefault="00000000">
            <w:r>
              <w:t>Siebel CRM operations</w:t>
            </w:r>
          </w:p>
        </w:tc>
      </w:tr>
      <w:tr w:rsidR="0026123B" w14:paraId="1342888E" w14:textId="77777777">
        <w:tc>
          <w:tcPr>
            <w:tcW w:w="172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8B5E7" w14:textId="77777777" w:rsidR="0026123B" w:rsidRDefault="00000000">
            <w:r>
              <w:t>NHS CSOC / SoCC</w:t>
            </w:r>
          </w:p>
        </w:tc>
        <w:tc>
          <w:tcPr>
            <w:tcW w:w="2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572773" w14:textId="77777777" w:rsidR="0026123B" w:rsidRDefault="00000000">
            <w:r>
              <w:t>Security operations</w:t>
            </w:r>
          </w:p>
        </w:tc>
        <w:tc>
          <w:tcPr>
            <w:tcW w:w="15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913A06" w14:textId="77777777" w:rsidR="0026123B" w:rsidRDefault="00000000">
            <w:r>
              <w:t>NHS England</w:t>
            </w:r>
          </w:p>
        </w:tc>
        <w:tc>
          <w:tcPr>
            <w:tcW w:w="388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6BCA74" w14:textId="77777777" w:rsidR="0026123B" w:rsidRDefault="00000000">
            <w:r>
              <w:t>Sentinel operation via Azure Lighthouse</w:t>
            </w:r>
          </w:p>
        </w:tc>
      </w:tr>
      <w:tr w:rsidR="0026123B" w14:paraId="45AE3506" w14:textId="77777777">
        <w:tc>
          <w:tcPr>
            <w:tcW w:w="172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7D5CD7" w14:textId="77777777" w:rsidR="0026123B" w:rsidRDefault="00000000">
            <w:r>
              <w:t>Vodafone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5F9938" w14:textId="77777777" w:rsidR="0026123B" w:rsidRDefault="00000000">
            <w:r>
              <w:t>DNS hosting</w:t>
            </w:r>
          </w:p>
        </w:tc>
        <w:tc>
          <w:tcPr>
            <w:tcW w:w="15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85CF97" w14:textId="77777777" w:rsidR="0026123B" w:rsidRDefault="00000000">
            <w:r>
              <w:t>Partner</w:t>
            </w:r>
          </w:p>
        </w:tc>
        <w:tc>
          <w:tcPr>
            <w:tcW w:w="388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7989F5" w14:textId="77777777" w:rsidR="0026123B" w:rsidRDefault="00000000">
            <w:r>
              <w:t>Public DNS hosting</w:t>
            </w:r>
          </w:p>
        </w:tc>
      </w:tr>
    </w:tbl>
    <w:p w14:paraId="473509C9" w14:textId="77777777" w:rsidR="0026123B" w:rsidRDefault="00000000">
      <w:pPr>
        <w:pStyle w:val="Heading1"/>
      </w:pPr>
      <w:bookmarkStart w:id="6" w:name="_Toc235173305"/>
      <w:r>
        <w:t>3. Assessment Overview</w:t>
      </w:r>
      <w:bookmarkEnd w:id="6"/>
    </w:p>
    <w:p w14:paraId="58C53F5B" w14:textId="77777777" w:rsidR="0026123B" w:rsidRDefault="00000000">
      <w:pPr>
        <w:pStyle w:val="Heading2"/>
      </w:pPr>
      <w:bookmarkStart w:id="7" w:name="_Toc235173306"/>
      <w:r>
        <w:t>3.1 Vision &amp; Objectives</w:t>
      </w:r>
      <w:bookmarkEnd w:id="7"/>
    </w:p>
    <w:p w14:paraId="221C7002" w14:textId="77777777" w:rsidR="0026123B" w:rsidRDefault="00000000">
      <w:pPr>
        <w:spacing w:before="60" w:after="60"/>
      </w:pPr>
      <w:r>
        <w:t>“To establish a secure, scalable, and data-driven cloud platform that enables CQC to deliver smarter regulation, foster innovation, and uphold public trust.” CQC's stated approach is “cloud-first, but not cloud-only”, retaining flexibility to integrate SaaS and on-premises systems where they remain fit for purpose.</w:t>
      </w:r>
    </w:p>
    <w:p w14:paraId="3801D06C" w14:textId="77777777" w:rsidR="0026123B" w:rsidRDefault="00000000">
      <w:pPr>
        <w:spacing w:before="60" w:after="60"/>
      </w:pPr>
      <w:r>
        <w:t>The assessment objectives were to:</w:t>
      </w:r>
    </w:p>
    <w:p w14:paraId="38A594F4" w14:textId="77777777" w:rsidR="0026123B" w:rsidRDefault="00000000">
      <w:pPr>
        <w:pStyle w:val="ListParagraph"/>
        <w:numPr>
          <w:ilvl w:val="0"/>
          <w:numId w:val="2"/>
        </w:numPr>
        <w:spacing w:before="40" w:after="40"/>
      </w:pPr>
      <w:r>
        <w:t>Build on CQC's existing strategy paper and previous cloud assessments — bespoke to CQC's regulatory mandate and dual-estate reality, not a vanilla assessment.</w:t>
      </w:r>
    </w:p>
    <w:p w14:paraId="435026B0" w14:textId="77777777" w:rsidR="0026123B" w:rsidRDefault="00000000">
      <w:pPr>
        <w:pStyle w:val="ListParagraph"/>
        <w:numPr>
          <w:ilvl w:val="0"/>
          <w:numId w:val="2"/>
        </w:numPr>
        <w:spacing w:before="40" w:after="40"/>
      </w:pPr>
      <w:r>
        <w:t>Address the immediate need for a technical programme owner to “hold the pen” on the digital rebuild.</w:t>
      </w:r>
    </w:p>
    <w:p w14:paraId="74E903CD" w14:textId="77777777" w:rsidR="0026123B" w:rsidRDefault="00000000">
      <w:pPr>
        <w:pStyle w:val="ListParagraph"/>
        <w:numPr>
          <w:ilvl w:val="0"/>
          <w:numId w:val="2"/>
        </w:numPr>
        <w:spacing w:before="40" w:after="40"/>
      </w:pPr>
      <w:r>
        <w:t>Sequence and dependency-map the work in line with the in-flight CCoE charter and cloud strategy.</w:t>
      </w:r>
    </w:p>
    <w:p w14:paraId="2A43D5D2" w14:textId="77777777" w:rsidR="0026123B" w:rsidRDefault="00000000">
      <w:pPr>
        <w:pStyle w:val="ListParagraph"/>
        <w:numPr>
          <w:ilvl w:val="0"/>
          <w:numId w:val="2"/>
        </w:numPr>
        <w:spacing w:before="40" w:after="40"/>
      </w:pPr>
      <w:r>
        <w:t>Align to the Microsoft Cloud Adoption Framework (CAF) and Well-Architected Framework (WAF), and to GovAssure and the NCSC Cyber Assessment Framework.</w:t>
      </w:r>
    </w:p>
    <w:p w14:paraId="076EA6FE" w14:textId="77777777" w:rsidR="0026123B" w:rsidRDefault="00000000">
      <w:pPr>
        <w:pStyle w:val="ListParagraph"/>
        <w:numPr>
          <w:ilvl w:val="0"/>
          <w:numId w:val="2"/>
        </w:numPr>
        <w:spacing w:before="40" w:after="40"/>
      </w:pPr>
      <w:r>
        <w:t>Focus on Zero Trust Architecture, the AIS workload, and the Data and AI estate.</w:t>
      </w:r>
    </w:p>
    <w:p w14:paraId="3B091F9D" w14:textId="77777777" w:rsidR="0026123B" w:rsidRDefault="00000000">
      <w:pPr>
        <w:pStyle w:val="Heading2"/>
      </w:pPr>
      <w:bookmarkStart w:id="8" w:name="_Toc235173307"/>
      <w:r>
        <w:t>3.2 Scope &amp; Approach</w:t>
      </w:r>
      <w:bookmarkEnd w:id="8"/>
    </w:p>
    <w:p w14:paraId="680E8C7F" w14:textId="77777777" w:rsidR="0026123B" w:rsidRDefault="00000000">
      <w:pPr>
        <w:spacing w:before="60" w:after="60"/>
      </w:pPr>
      <w:r>
        <w:lastRenderedPageBreak/>
        <w:t>The assessment was delivered through a structured programme of engagement sessions, supplemented by read-only discovery against CQC's Azure tenant and analysis of stakeholder-supplied documentation. Hitachi was granted Reader access across the platform and decommissioned subscriptions, Owner on legacy workload subscriptions, and Specified Access on the newer landing-zone subscriptions. Findings are drawn from that combined evidence base and scored against the Hitachi Cloud Assessment Framework (HCAF).</w:t>
      </w:r>
    </w:p>
    <w:p w14:paraId="1130C266" w14:textId="77777777" w:rsidR="0026123B" w:rsidRDefault="00000000">
      <w:pPr>
        <w:pStyle w:val="Heading1"/>
      </w:pPr>
      <w:bookmarkStart w:id="9" w:name="_Toc235173308"/>
      <w:r>
        <w:t>4. Current-State Baseline — HCAF Maturity Scorecard</w:t>
      </w:r>
      <w:bookmarkEnd w:id="9"/>
    </w:p>
    <w:p w14:paraId="169E89DD" w14:textId="77777777" w:rsidR="0026123B" w:rsidRDefault="00000000">
      <w:pPr>
        <w:spacing w:before="60" w:after="60"/>
      </w:pPr>
      <w:r>
        <w:t>The Hitachi Cloud Assessment Framework (HCAF) scores each pillar on a five-level maturity scale — 1 Initial, 2 Developing, 3 Defined, 4 Managed, 5 Optimised. The table below records the current and target maturity for each pillar, with the evidence that underpins the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512"/>
        <w:gridCol w:w="1368"/>
        <w:gridCol w:w="3960"/>
      </w:tblGrid>
      <w:tr w:rsidR="0026123B" w14:paraId="3C9AFED9" w14:textId="77777777">
        <w:tc>
          <w:tcPr>
            <w:tcW w:w="25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B1BAFB6" w14:textId="77777777" w:rsidR="0026123B" w:rsidRDefault="00000000">
            <w:pPr>
              <w:jc w:val="center"/>
            </w:pPr>
            <w:r>
              <w:rPr>
                <w:b/>
                <w:bCs/>
                <w:color w:val="FFFFFF"/>
              </w:rPr>
              <w:t>Pillar</w:t>
            </w:r>
          </w:p>
        </w:tc>
        <w:tc>
          <w:tcPr>
            <w:tcW w:w="1512"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030BD72" w14:textId="77777777" w:rsidR="0026123B" w:rsidRDefault="00000000">
            <w:pPr>
              <w:jc w:val="center"/>
            </w:pPr>
            <w:r>
              <w:rPr>
                <w:b/>
                <w:bCs/>
                <w:color w:val="FFFFFF"/>
              </w:rPr>
              <w:t>Current</w:t>
            </w:r>
          </w:p>
        </w:tc>
        <w:tc>
          <w:tcPr>
            <w:tcW w:w="1368"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8E0A091" w14:textId="77777777" w:rsidR="0026123B" w:rsidRDefault="00000000">
            <w:pPr>
              <w:jc w:val="center"/>
            </w:pPr>
            <w:r>
              <w:rPr>
                <w:b/>
                <w:bCs/>
                <w:color w:val="FFFFFF"/>
              </w:rPr>
              <w:t>Target</w:t>
            </w:r>
          </w:p>
        </w:tc>
        <w:tc>
          <w:tcPr>
            <w:tcW w:w="3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7CD8EE" w14:textId="77777777" w:rsidR="0026123B" w:rsidRDefault="00000000">
            <w:pPr>
              <w:jc w:val="center"/>
            </w:pPr>
            <w:r>
              <w:rPr>
                <w:b/>
                <w:bCs/>
                <w:color w:val="FFFFFF"/>
              </w:rPr>
              <w:t>Evidence</w:t>
            </w:r>
          </w:p>
        </w:tc>
      </w:tr>
      <w:tr w:rsidR="0026123B" w14:paraId="710AF71B" w14:textId="77777777">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2FA340" w14:textId="77777777" w:rsidR="0026123B" w:rsidRDefault="00000000">
            <w:r>
              <w:t>Cloud Governance</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968E9D" w14:textId="77777777" w:rsidR="0026123B" w:rsidRDefault="00000000">
            <w:r>
              <w:t>Developing (2)</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E9F800" w14:textId="77777777" w:rsidR="0026123B" w:rsidRDefault="00000000">
            <w:r>
              <w:t>Managed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DBDF1B" w14:textId="77777777" w:rsidR="0026123B" w:rsidRDefault="00000000">
            <w:r>
              <w:t>Three parallel Management Group hierarchies in flight; 19 subscriptions directly under mgcqc-legacy; two subscriptions bypassing all Management Group policy.</w:t>
            </w:r>
          </w:p>
        </w:tc>
      </w:tr>
      <w:tr w:rsidR="0026123B" w14:paraId="6687FFD4" w14:textId="77777777">
        <w:tc>
          <w:tcPr>
            <w:tcW w:w="25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B6C104" w14:textId="77777777" w:rsidR="0026123B" w:rsidRDefault="00000000">
            <w:r>
              <w:t>FinOps &amp; Cost Management</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179A2F" w14:textId="77777777" w:rsidR="0026123B" w:rsidRDefault="00000000">
            <w:r>
              <w:t>Developing (2)</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82CDDA" w14:textId="77777777" w:rsidR="0026123B" w:rsidRDefault="00000000">
            <w:r>
              <w:t>Defined</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1FD054" w14:textId="77777777" w:rsidR="0026123B" w:rsidRDefault="00000000">
            <w:r>
              <w:t>£2.185M annualised spend with zero CostCenter or BusinessOwner tag coverage; no budgets configured at Management Group level.</w:t>
            </w:r>
          </w:p>
        </w:tc>
      </w:tr>
      <w:tr w:rsidR="0026123B" w14:paraId="079548E9" w14:textId="77777777">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6E55A4" w14:textId="77777777" w:rsidR="0026123B" w:rsidRDefault="00000000">
            <w:r>
              <w:t>Management &amp; Monitoring</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D81E17" w14:textId="77777777" w:rsidR="0026123B" w:rsidRDefault="00000000">
            <w:r>
              <w:t>Initial (1)</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0723F6" w14:textId="77777777" w:rsidR="0026123B" w:rsidRDefault="00000000">
            <w:r>
              <w:t>Defined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FB5269" w14:textId="77777777" w:rsidR="0026123B" w:rsidRDefault="00000000">
            <w:r>
              <w:t>296 monitoring resources but 100% of inspected resources have no diagnostic forwarding; mean Secure Score 59.8% against a 75% target.</w:t>
            </w:r>
          </w:p>
        </w:tc>
      </w:tr>
      <w:tr w:rsidR="0026123B" w14:paraId="3362621E" w14:textId="77777777">
        <w:tc>
          <w:tcPr>
            <w:tcW w:w="25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1AC00E" w14:textId="77777777" w:rsidR="0026123B" w:rsidRDefault="00000000">
            <w:r>
              <w:t>Identity &amp; Access</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468F68" w14:textId="77777777" w:rsidR="0026123B" w:rsidRDefault="00000000">
            <w:r>
              <w:t>Initial (1)</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F87D12" w14:textId="77777777" w:rsidR="0026123B" w:rsidRDefault="00000000">
            <w:r>
              <w:t>Defined</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E2F1C9" w14:textId="77777777" w:rsidR="0026123B" w:rsidRDefault="00000000">
            <w:r>
              <w:t>1,116 service principals holding 2,955 role assignments; 163 Classic Administrator grants persisting; only 30% of grants made via groups.</w:t>
            </w:r>
          </w:p>
        </w:tc>
      </w:tr>
      <w:tr w:rsidR="0026123B" w14:paraId="3ADCC74E" w14:textId="77777777">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5AF848" w14:textId="77777777" w:rsidR="0026123B" w:rsidRDefault="00000000">
            <w:r>
              <w:t>Network Security</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F3C4C4" w14:textId="77777777" w:rsidR="0026123B" w:rsidRDefault="00000000">
            <w:r>
              <w:t>Developing (2)</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D0482D" w14:textId="77777777" w:rsidR="0026123B" w:rsidRDefault="00000000">
            <w:r>
              <w:t>Managed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6DD04C" w14:textId="77777777" w:rsidR="0026123B" w:rsidRDefault="00000000">
            <w:r>
              <w:t>32% average NSG coverage across VNets; 34 isolated VNets outside the centrally governed hub; hub-and-spoke only partially realised.</w:t>
            </w:r>
          </w:p>
        </w:tc>
      </w:tr>
      <w:tr w:rsidR="0026123B" w14:paraId="290F2E25" w14:textId="77777777">
        <w:tc>
          <w:tcPr>
            <w:tcW w:w="25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D6D10E" w14:textId="77777777" w:rsidR="0026123B" w:rsidRDefault="00000000">
            <w:r>
              <w:t>External Exposure</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1ED822" w14:textId="77777777" w:rsidR="0026123B" w:rsidRDefault="00000000">
            <w:r>
              <w:t>Developing (2)</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566639" w14:textId="77777777" w:rsidR="0026123B" w:rsidRDefault="00000000">
            <w:r>
              <w:t>Managed</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9C5254" w14:textId="77777777" w:rsidR="0026123B" w:rsidRDefault="00000000">
            <w:r>
              <w:t>Zero DDoS Standard protection across 40 Public IPs; 2 of 7 WAF policies in Detection mode; 5 unsupported Basic SKU Public IPs.</w:t>
            </w:r>
          </w:p>
        </w:tc>
      </w:tr>
      <w:tr w:rsidR="0026123B" w14:paraId="3B10155F" w14:textId="77777777">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69FBCF" w14:textId="77777777" w:rsidR="0026123B" w:rsidRDefault="00000000">
            <w:r>
              <w:t>Secret &amp; Key Management</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EE2125" w14:textId="77777777" w:rsidR="0026123B" w:rsidRDefault="00000000">
            <w:r>
              <w:t>Initial (1)</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7A6653" w14:textId="77777777" w:rsidR="0026123B" w:rsidRDefault="00000000">
            <w:r>
              <w:t>Managed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B46EEC" w14:textId="77777777" w:rsidR="0026123B" w:rsidRDefault="00000000">
            <w:r>
              <w:t>107 of 118 Key Vaults allow public network access; 86 still on legacy Access Policies; 66 without Purge Protection.</w:t>
            </w:r>
          </w:p>
        </w:tc>
      </w:tr>
      <w:tr w:rsidR="0026123B" w14:paraId="3D3E833F" w14:textId="77777777">
        <w:tc>
          <w:tcPr>
            <w:tcW w:w="25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10BBD8" w14:textId="77777777" w:rsidR="0026123B" w:rsidRDefault="00000000">
            <w:r>
              <w:t>Data Services</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03419B" w14:textId="77777777" w:rsidR="0026123B" w:rsidRDefault="00000000">
            <w:r>
              <w:t>Developing (2)</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F8C620" w14:textId="77777777" w:rsidR="0026123B" w:rsidRDefault="00000000">
            <w:r>
              <w:t>Defined</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D5AC44" w14:textId="77777777" w:rsidR="0026123B" w:rsidRDefault="00000000">
            <w:r>
              <w:t>7 SQL Servers running on Virtual Machines; 32 data services with public network access; database-level tag coverage sparse.</w:t>
            </w:r>
          </w:p>
        </w:tc>
      </w:tr>
      <w:tr w:rsidR="0026123B" w14:paraId="46F317CE" w14:textId="77777777">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3DD9DC" w14:textId="77777777" w:rsidR="0026123B" w:rsidRDefault="00000000">
            <w:r>
              <w:lastRenderedPageBreak/>
              <w:t>Compute</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DB9BD2" w14:textId="77777777" w:rsidR="0026123B" w:rsidRDefault="00000000">
            <w:r>
              <w:t>Defined (3)</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F5AB65" w14:textId="77777777" w:rsidR="0026123B" w:rsidRDefault="00000000">
            <w:r>
              <w:t>Managed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BD0EF1" w14:textId="77777777" w:rsidR="0026123B" w:rsidRDefault="00000000">
            <w:r>
              <w:t>100% OS disk encryption; 55 legacy SKU VMs awaiting modernisation; 154 of 194 VMs with VMTier = Unknown.</w:t>
            </w:r>
          </w:p>
        </w:tc>
      </w:tr>
      <w:tr w:rsidR="0026123B" w14:paraId="57B31E94" w14:textId="77777777">
        <w:tc>
          <w:tcPr>
            <w:tcW w:w="25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E51505" w14:textId="77777777" w:rsidR="0026123B" w:rsidRDefault="00000000">
            <w:r>
              <w:t>Application Services</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646331" w14:textId="77777777" w:rsidR="0026123B" w:rsidRDefault="00000000">
            <w:r>
              <w:t>Initial (1)</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3E2ABD" w14:textId="77777777" w:rsidR="0026123B" w:rsidRDefault="00000000">
            <w:r>
              <w:t>Defined</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FA69A1" w14:textId="77777777" w:rsidR="0026123B" w:rsidRDefault="00000000">
            <w:r>
              <w:t>All 12 APIM instances allow public access; 0 of 161 Function Apps enforce authentication; 6 Developer SKU APIM instances in non-trial use.</w:t>
            </w:r>
          </w:p>
        </w:tc>
      </w:tr>
      <w:tr w:rsidR="0026123B" w14:paraId="644B08B4" w14:textId="77777777">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A8EC7C" w14:textId="77777777" w:rsidR="0026123B" w:rsidRDefault="00000000">
            <w:r>
              <w:t>Storage</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8506EC" w14:textId="77777777" w:rsidR="0026123B" w:rsidRDefault="00000000">
            <w:r>
              <w:t>Developing (2)</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675637" w14:textId="77777777" w:rsidR="0026123B" w:rsidRDefault="00000000">
            <w:r>
              <w:t>Managed</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634495" w14:textId="77777777" w:rsidR="0026123B" w:rsidRDefault="00000000">
            <w:r>
              <w:t>70.4% of accounts allow shared-key authentication; 58% allow public network access; 17.1% allow anonymous blob access.</w:t>
            </w:r>
          </w:p>
        </w:tc>
      </w:tr>
      <w:tr w:rsidR="0026123B" w14:paraId="79B67D3A" w14:textId="77777777">
        <w:tc>
          <w:tcPr>
            <w:tcW w:w="25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99D5E8" w14:textId="77777777" w:rsidR="0026123B" w:rsidRDefault="00000000">
            <w:r>
              <w:t>Operations &amp; Backup</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AFEA12" w14:textId="77777777" w:rsidR="0026123B" w:rsidRDefault="00000000">
            <w:r>
              <w:t>Developing (2)</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B35E46" w14:textId="77777777" w:rsidR="0026123B" w:rsidRDefault="00000000">
            <w:r>
              <w:t>Managed</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3483F2" w14:textId="77777777" w:rsidR="0026123B" w:rsidRDefault="00000000">
            <w:r>
              <w:t>547 alert rules and 110 action groups deployed but zero ITSM integration; Cross-Region Restore disabled on all 20 RSVs; 41% of backup items not actively protected.</w:t>
            </w:r>
          </w:p>
        </w:tc>
      </w:tr>
    </w:tbl>
    <w:p w14:paraId="68EF219D" w14:textId="77777777" w:rsidR="0026123B" w:rsidRDefault="00000000">
      <w:pPr>
        <w:pStyle w:val="Heading1"/>
      </w:pPr>
      <w:bookmarkStart w:id="10" w:name="_Toc235173309"/>
      <w:r>
        <w:t>5. Strategic Context</w:t>
      </w:r>
      <w:bookmarkEnd w:id="10"/>
    </w:p>
    <w:p w14:paraId="38E982E4" w14:textId="77777777" w:rsidR="0026123B" w:rsidRDefault="00000000">
      <w:pPr>
        <w:pStyle w:val="Heading2"/>
      </w:pPr>
      <w:bookmarkStart w:id="11" w:name="_Toc235173310"/>
      <w:r>
        <w:t>5.1 Organisational Context</w:t>
      </w:r>
      <w:bookmarkEnd w:id="11"/>
    </w:p>
    <w:p w14:paraId="714F2C28" w14:textId="77777777" w:rsidR="0026123B" w:rsidRDefault="00000000">
      <w:pPr>
        <w:spacing w:before="60" w:after="60"/>
      </w:pPr>
      <w:r>
        <w:t>CQC is under pressure from several directions at once: previous transformation failure, an inspection backlog, ageing systems, delivery friction, workforce strain, and scrutiny of its regulatory effectiveness. The cloud estate sits inside that problem — where systems are hard to change, monitor, own or govern, they add drag to an organisation that already has little headroom. The challenge is therefore not platform modernisation alone; it is whether CQC can improve the speed, consistency and confidence of regulation. That depends as much on the operating model as on the technology.</w:t>
      </w:r>
    </w:p>
    <w:p w14:paraId="055DF7BE" w14:textId="77777777" w:rsidR="0026123B" w:rsidRDefault="00000000">
      <w:pPr>
        <w:pStyle w:val="Heading2"/>
      </w:pPr>
      <w:bookmarkStart w:id="12" w:name="_Toc235173311"/>
      <w:r>
        <w:t>5.2 Drivers &amp; North Star</w:t>
      </w:r>
      <w:bookmarkEnd w:id="12"/>
    </w:p>
    <w:p w14:paraId="00F5D539" w14:textId="77777777" w:rsidR="0026123B" w:rsidRDefault="00000000">
      <w:pPr>
        <w:spacing w:before="60" w:after="60"/>
      </w:pPr>
      <w:r>
        <w:t>Cloud is treated as a mechanism for becoming more resilient, more governable and better able to support the regulatory mission — not as an end in itself. The North Star that emerged is defined by control, consistency and self-sufficiency:</w:t>
      </w:r>
    </w:p>
    <w:p w14:paraId="72018ABA" w14:textId="77777777" w:rsidR="0026123B" w:rsidRDefault="00000000">
      <w:pPr>
        <w:pStyle w:val="ListParagraph"/>
        <w:numPr>
          <w:ilvl w:val="0"/>
          <w:numId w:val="2"/>
        </w:numPr>
        <w:spacing w:before="40" w:after="40"/>
      </w:pPr>
      <w:r>
        <w:t>Clearer landing zones</w:t>
      </w:r>
    </w:p>
    <w:p w14:paraId="4033E30E" w14:textId="77777777" w:rsidR="0026123B" w:rsidRDefault="00000000">
      <w:pPr>
        <w:pStyle w:val="ListParagraph"/>
        <w:numPr>
          <w:ilvl w:val="0"/>
          <w:numId w:val="2"/>
        </w:numPr>
        <w:spacing w:before="40" w:after="40"/>
      </w:pPr>
      <w:r>
        <w:t>Stronger identity governance</w:t>
      </w:r>
    </w:p>
    <w:p w14:paraId="219A5B3E" w14:textId="77777777" w:rsidR="0026123B" w:rsidRDefault="00000000">
      <w:pPr>
        <w:pStyle w:val="ListParagraph"/>
        <w:numPr>
          <w:ilvl w:val="0"/>
          <w:numId w:val="2"/>
        </w:numPr>
        <w:spacing w:before="40" w:after="40"/>
      </w:pPr>
      <w:r>
        <w:t>Reusable engineering patterns</w:t>
      </w:r>
    </w:p>
    <w:p w14:paraId="39AB141E" w14:textId="77777777" w:rsidR="0026123B" w:rsidRDefault="00000000">
      <w:pPr>
        <w:pStyle w:val="ListParagraph"/>
        <w:numPr>
          <w:ilvl w:val="0"/>
          <w:numId w:val="2"/>
        </w:numPr>
        <w:spacing w:before="40" w:after="40"/>
      </w:pPr>
      <w:r>
        <w:t>Better observability and supportability</w:t>
      </w:r>
    </w:p>
    <w:p w14:paraId="732F9E62" w14:textId="77777777" w:rsidR="0026123B" w:rsidRDefault="00000000">
      <w:pPr>
        <w:pStyle w:val="ListParagraph"/>
        <w:numPr>
          <w:ilvl w:val="0"/>
          <w:numId w:val="2"/>
        </w:numPr>
        <w:spacing w:before="40" w:after="40"/>
      </w:pPr>
      <w:r>
        <w:t>Less dependence on manual workarounds</w:t>
      </w:r>
    </w:p>
    <w:p w14:paraId="04DC0D7E" w14:textId="77777777" w:rsidR="0026123B" w:rsidRDefault="00000000">
      <w:pPr>
        <w:pStyle w:val="Heading2"/>
      </w:pPr>
      <w:bookmarkStart w:id="13" w:name="_Toc235173312"/>
      <w:r>
        <w:t>5.3 Blockers &amp; Risk Categories</w:t>
      </w:r>
      <w:bookmarkEnd w:id="13"/>
    </w:p>
    <w:p w14:paraId="08FE3FDE" w14:textId="77777777" w:rsidR="0026123B" w:rsidRDefault="00000000">
      <w:pPr>
        <w:spacing w:before="60" w:after="60"/>
      </w:pPr>
      <w:r>
        <w:t>The assessment grouped the blockers into eight categories. Three sit at the top of the causal chain and deserve most leadership attention:</w:t>
      </w:r>
    </w:p>
    <w:p w14:paraId="1CE4D7C1" w14:textId="77777777" w:rsidR="0026123B" w:rsidRDefault="00000000">
      <w:pPr>
        <w:pStyle w:val="ListParagraph"/>
        <w:numPr>
          <w:ilvl w:val="0"/>
          <w:numId w:val="2"/>
        </w:numPr>
        <w:spacing w:before="40" w:after="40"/>
      </w:pPr>
      <w:r>
        <w:t>Priority. The dominant category. Too many workstreams compete with too little clarity on what comes first. Fragmentation, not any single gap, is the largest risk.</w:t>
      </w:r>
    </w:p>
    <w:p w14:paraId="1235D21F" w14:textId="77777777" w:rsidR="0026123B" w:rsidRDefault="00000000">
      <w:pPr>
        <w:pStyle w:val="ListParagraph"/>
        <w:numPr>
          <w:ilvl w:val="0"/>
          <w:numId w:val="2"/>
        </w:numPr>
        <w:spacing w:before="40" w:after="40"/>
      </w:pPr>
      <w:r>
        <w:t>Ownership. Cuts across almost every objective. Where accountability is unclear, support is inconsistent, change approval slows, and governance depends on individuals.</w:t>
      </w:r>
    </w:p>
    <w:p w14:paraId="35CA9BEC" w14:textId="77777777" w:rsidR="0026123B" w:rsidRDefault="00000000">
      <w:pPr>
        <w:pStyle w:val="ListParagraph"/>
        <w:numPr>
          <w:ilvl w:val="0"/>
          <w:numId w:val="2"/>
        </w:numPr>
        <w:spacing w:before="40" w:after="40"/>
      </w:pPr>
      <w:r>
        <w:t>Strategy &amp; Governance. Treated as design conditions for the future platform, not downstream checks.</w:t>
      </w:r>
    </w:p>
    <w:p w14:paraId="38CC6A1A" w14:textId="77777777" w:rsidR="0026123B" w:rsidRDefault="00000000">
      <w:pPr>
        <w:pStyle w:val="ListParagraph"/>
        <w:numPr>
          <w:ilvl w:val="0"/>
          <w:numId w:val="2"/>
        </w:numPr>
        <w:spacing w:before="40" w:after="40"/>
      </w:pPr>
      <w:r>
        <w:lastRenderedPageBreak/>
        <w:t>Capacity. Broader than headcount — shaped by workload, focus, administrative burden and repeatability; relieved through stronger patterns and prioritisation, not recruitment alone.</w:t>
      </w:r>
    </w:p>
    <w:p w14:paraId="150F3839" w14:textId="77777777" w:rsidR="0026123B" w:rsidRDefault="00000000">
      <w:pPr>
        <w:pStyle w:val="ListParagraph"/>
        <w:numPr>
          <w:ilvl w:val="0"/>
          <w:numId w:val="2"/>
        </w:numPr>
        <w:spacing w:before="40" w:after="40"/>
      </w:pPr>
      <w:r>
        <w:t>Capability, Automation &amp; Security. Enabling conditions rather than separate workstreams; if Priority, Ownership and Governance stay weak, these are consumed inefficiently.</w:t>
      </w:r>
    </w:p>
    <w:p w14:paraId="03EC8ED8" w14:textId="77777777" w:rsidR="0026123B" w:rsidRDefault="00000000">
      <w:pPr>
        <w:pStyle w:val="Heading2"/>
      </w:pPr>
      <w:bookmarkStart w:id="14" w:name="_Toc235173313"/>
      <w:r>
        <w:t>5.4 Readiness Gaps &amp; Guard Rails</w:t>
      </w:r>
      <w:bookmarkEnd w:id="14"/>
    </w:p>
    <w:p w14:paraId="2530A76C" w14:textId="77777777" w:rsidR="0026123B" w:rsidRDefault="00000000">
      <w:pPr>
        <w:spacing w:before="60" w:after="60"/>
      </w:pPr>
      <w:r>
        <w:t>The evidence-versus-assumption exercise separates current, evidenced weakness from themes still needing validation. Evidenced and foundational: weak observability, incomplete integration patterns, unclear ownership, inconsistent governance, and limited automation in the legacy estate. More measured (validate first): skills shortages and compliance complexity — likely symptoms of workload pressure and weak patterns rather than root causes.</w:t>
      </w:r>
    </w:p>
    <w:p w14:paraId="5693A17D" w14:textId="77777777" w:rsidR="0026123B" w:rsidRDefault="00000000">
      <w:pPr>
        <w:spacing w:before="60" w:after="60"/>
      </w:pPr>
      <w:r>
        <w:t>Control maturity is uneven. The new-world environment is more advanced on policy parameters and diagnostic settings; the legacy estate remains inconsistent — often by design choice, legacy constraint or cost trade-off rather than technical inability. Activity logging is stronger in newer areas; policy enforcement needs to move from written standards to policy-as-code; change control is a legacy strength but operates through manual governance rather than built-in platform mechanisms.</w:t>
      </w:r>
    </w:p>
    <w:p w14:paraId="78A72EA5" w14:textId="77777777" w:rsidR="0026123B" w:rsidRDefault="00000000">
      <w:pPr>
        <w:pStyle w:val="Heading1"/>
      </w:pPr>
      <w:bookmarkStart w:id="15" w:name="_Toc235173314"/>
      <w:r>
        <w:t>6. Detailed Findings by Domain</w:t>
      </w:r>
      <w:bookmarkEnd w:id="15"/>
    </w:p>
    <w:p w14:paraId="40B561E8" w14:textId="77777777" w:rsidR="0026123B" w:rsidRDefault="00000000">
      <w:pPr>
        <w:spacing w:before="60" w:after="60"/>
      </w:pPr>
      <w:r>
        <w:t>The following sections summarise the detailed technical findings from the Cloud Health Check (ACS_922) and Cloud Assessment Report (ACS_921), domain by domain. Each domain records the current state, the key evidenced findings, the risks they create, and the priority recommendations.</w:t>
      </w:r>
    </w:p>
    <w:p w14:paraId="0979E5C4" w14:textId="77777777" w:rsidR="0026123B" w:rsidRDefault="00000000">
      <w:pPr>
        <w:pStyle w:val="Heading2"/>
      </w:pPr>
      <w:bookmarkStart w:id="16" w:name="_Toc235173315"/>
      <w:r>
        <w:t>6.1 Cloud Governance &amp; Structure</w:t>
      </w:r>
      <w:bookmarkEnd w:id="16"/>
    </w:p>
    <w:p w14:paraId="24703392" w14:textId="77777777" w:rsidR="0026123B" w:rsidRDefault="00000000">
      <w:pPr>
        <w:spacing w:before="60" w:after="60"/>
      </w:pPr>
      <w:r>
        <w:rPr>
          <w:b/>
        </w:rPr>
        <w:t>Current maturity: Developing (2) → Managed</w:t>
      </w:r>
    </w:p>
    <w:p w14:paraId="7F7737AF" w14:textId="77777777" w:rsidR="0026123B" w:rsidRDefault="00000000">
      <w:pPr>
        <w:spacing w:before="60" w:after="60"/>
      </w:pPr>
      <w:r>
        <w:t>CQC's Azure estate runs in a single Entra tenant but is split across three parallel management-group hierarchies - a legacy tree (mg-cqc-legacy), an interim "old CAF" tree (mg-cqc-root), and the new CQC CAF-aligned target - totalling 36 management groups, 65 subscriptions, 566 resource groups and 7,839 tenant-wide resources. The new CQC CAF hierarchy is confirmed as the future model and is live but holds only 4 platform subscriptions, while the bulk of running workloads remain in the two older trees, which continue to accrue resources. Governance outcomes (policy inheritance, RBAC scope, tagging, FinOps, decommissioning) are determined by historical placement rather than current intent, with an estimated ~18-month legacy retirement runway.</w:t>
      </w:r>
    </w:p>
    <w:p w14:paraId="1BA03800" w14:textId="77777777" w:rsidR="0026123B" w:rsidRDefault="00000000">
      <w:pPr>
        <w:spacing w:before="60" w:after="60"/>
      </w:pPr>
      <w:r>
        <w:rPr>
          <w:b/>
        </w:rPr>
        <w:t>Key findings</w:t>
      </w:r>
    </w:p>
    <w:p w14:paraId="6C91228D" w14:textId="77777777" w:rsidR="0026123B" w:rsidRDefault="00000000">
      <w:pPr>
        <w:pStyle w:val="ListParagraph"/>
        <w:numPr>
          <w:ilvl w:val="0"/>
          <w:numId w:val="2"/>
        </w:numPr>
        <w:spacing w:before="40" w:after="40"/>
      </w:pPr>
      <w:r>
        <w:t>Three parallel management-group hierarchies govern one tenant: mg-cqc-legacy (10 child MGs, 19 direct subs, holds bulk of resources), mg-cqc-root (earlier ALZ CAF attempt), and the CAF-aligned CQC target tree - 36 management groups, 65 subscriptions, 566 resource groups and 7,839 resources in total, with the new CQC tree holding only 4 platform subscriptions and empty Corp/Online landing-zone groups reserved for future migration.</w:t>
      </w:r>
    </w:p>
    <w:p w14:paraId="16E7712A" w14:textId="77777777" w:rsidR="0026123B" w:rsidRDefault="00000000">
      <w:pPr>
        <w:pStyle w:val="ListParagraph"/>
        <w:numPr>
          <w:ilvl w:val="0"/>
          <w:numId w:val="2"/>
        </w:numPr>
        <w:spacing w:before="40" w:after="40"/>
      </w:pPr>
      <w:r>
        <w:t>Two bootstrap subscriptions (sub-bootstrap-dev-01, sub-bootstrap-prd-01) sit directly under Tenant Root bypassing all MG-scoped policy and RBAC (the only fully unconstrained subs); a further 19 subscriptions attach directly to mg-cqc-legacy instead of its 10 child MGs, weakening granular policy targeting.</w:t>
      </w:r>
    </w:p>
    <w:p w14:paraId="47ED0823" w14:textId="77777777" w:rsidR="0026123B" w:rsidRDefault="00000000">
      <w:pPr>
        <w:pStyle w:val="ListParagraph"/>
        <w:numPr>
          <w:ilvl w:val="0"/>
          <w:numId w:val="2"/>
        </w:numPr>
        <w:spacing w:before="40" w:after="40"/>
      </w:pPr>
      <w:r>
        <w:t>Eight management groups are empty - four obsolete Atos-era artefacts (e.g. Global, Registration, mg-msp) to delete and four valid CAF scaffolding; 11 subscriptions (17%) are empty with zero resources and 4 are disabled; mg-decommissioned holds 3 subscriptions but retirement is not keeping pace with legacy technical debt.</w:t>
      </w:r>
    </w:p>
    <w:p w14:paraId="6B5E032D" w14:textId="77777777" w:rsidR="0026123B" w:rsidRDefault="00000000">
      <w:pPr>
        <w:pStyle w:val="ListParagraph"/>
        <w:numPr>
          <w:ilvl w:val="0"/>
          <w:numId w:val="2"/>
        </w:numPr>
        <w:spacing w:before="40" w:after="40"/>
      </w:pPr>
      <w:r>
        <w:t>Estate resource concentration in legacy: the five largest subscriptions (all in legacy MGs) account for over 50% of the 7,839 resources - CQC PRD VDC0 UKS (1,099 resources, 57% secure), CQC DEVTST VDC2 UKS (1,079, 63%), CQC PRD VDC1 UKS (962, 53%), CQC-QA-RP-UKS (570, 44%).</w:t>
      </w:r>
    </w:p>
    <w:p w14:paraId="10ACB4BC" w14:textId="77777777" w:rsidR="0026123B" w:rsidRDefault="00000000">
      <w:pPr>
        <w:pStyle w:val="ListParagraph"/>
        <w:numPr>
          <w:ilvl w:val="0"/>
          <w:numId w:val="2"/>
        </w:numPr>
        <w:spacing w:before="40" w:after="40"/>
      </w:pPr>
      <w:r>
        <w:lastRenderedPageBreak/>
        <w:t>23 subscriptions (35%) score below 50% Secure Score; cqc-plat-identity is a critical anomaly at 14% despite sitting in the identity MG; rg-plat-terraform-identity concentrates 165 User-Assigned Managed Identities in a single resource group, breaking RBAC scoping across every pipeline.</w:t>
      </w:r>
    </w:p>
    <w:p w14:paraId="4C9E4C9D" w14:textId="77777777" w:rsidR="0026123B" w:rsidRDefault="00000000">
      <w:pPr>
        <w:pStyle w:val="ListParagraph"/>
        <w:numPr>
          <w:ilvl w:val="0"/>
          <w:numId w:val="2"/>
        </w:numPr>
        <w:spacing w:before="40" w:after="40"/>
      </w:pPr>
      <w:r>
        <w:t>Tagging is the primary governance failure: resources average 7.4 tags each yet CostCenter and DataClassification coverage is 0%; Environment tag covers 92.0% (7,213 of 7,839) but uses 20 inconsistent values (PRD, prd, prod, POC, SND); non-canonical keys IT-Service-Owner (90.9%), Cost-Code (91.7%) and Data-Classification (54.5%) must be renamed before policy enforcement.</w:t>
      </w:r>
    </w:p>
    <w:p w14:paraId="6FEE0557" w14:textId="77777777" w:rsidR="0026123B" w:rsidRDefault="00000000">
      <w:pPr>
        <w:pStyle w:val="ListParagraph"/>
        <w:numPr>
          <w:ilvl w:val="0"/>
          <w:numId w:val="2"/>
        </w:numPr>
        <w:spacing w:before="40" w:after="40"/>
      </w:pPr>
      <w:r>
        <w:t>The estate carries 355 Owner role assignments - 194 service principals and 63 user accounts - with the service-principal concentration raising blast radius from pipeline compromise; Owner usage has never been through a rationalisation exercise.</w:t>
      </w:r>
    </w:p>
    <w:p w14:paraId="194FC070" w14:textId="77777777" w:rsidR="0026123B" w:rsidRDefault="00000000">
      <w:pPr>
        <w:pStyle w:val="ListParagraph"/>
        <w:numPr>
          <w:ilvl w:val="0"/>
          <w:numId w:val="2"/>
        </w:numPr>
        <w:spacing w:before="40" w:after="40"/>
      </w:pPr>
      <w:r>
        <w:t>Policy compliance splits sharply by hierarchy: CQC 90% vs mg-cqc-legacy 52% and mg-cqc-root 54%; four deny policies drive 1,185 of 1,529 critical breaches (77.5%) - secure transfer not enforced (514 of 663 storage accounts, 19.5% compliant), TLS below 1.2 (368), storage network access unrestricted (135), and Key Vault logs disabled (168 vaults across 53 subs); storage breaches span 39 subscriptions, and ~89% of critical deny breaches originate from four storage-account initiatives.</w:t>
      </w:r>
    </w:p>
    <w:p w14:paraId="23963679" w14:textId="77777777" w:rsidR="0026123B" w:rsidRDefault="00000000">
      <w:pPr>
        <w:pStyle w:val="ListParagraph"/>
        <w:numPr>
          <w:ilvl w:val="0"/>
          <w:numId w:val="2"/>
        </w:numPr>
        <w:spacing w:before="40" w:after="40"/>
      </w:pPr>
      <w:r>
        <w:t>Estate is effectively single-region: 86.1% of resources (6,749) in UK South, only 154 (2%) in UK West and 5 in EU regions; 0 of 20 Recovery Services Vaults have Cross-Region Restore enabled (19 of 20 use Geo-Redundant Storage), and 13 resource groups span multiple regions; decommissioning debt includes 20 failed/disconnected private endpoints (16 in CQC DEVTST VDC2), 86 orphaned Application Insights, and 158 publicly reachable function apps of which only 2 have private endpoints.</w:t>
      </w:r>
    </w:p>
    <w:p w14:paraId="54B472C2" w14:textId="77777777" w:rsidR="0026123B" w:rsidRDefault="00000000">
      <w:pPr>
        <w:spacing w:before="60" w:after="60"/>
      </w:pPr>
      <w:r>
        <w:rPr>
          <w:b/>
        </w:rPr>
        <w:t>Key risks</w:t>
      </w:r>
    </w:p>
    <w:p w14:paraId="29A35C29" w14:textId="77777777" w:rsidR="0026123B" w:rsidRDefault="00000000">
      <w:pPr>
        <w:pStyle w:val="ListParagraph"/>
        <w:numPr>
          <w:ilvl w:val="0"/>
          <w:numId w:val="2"/>
        </w:numPr>
        <w:spacing w:before="40" w:after="40"/>
      </w:pPr>
      <w:r>
        <w:t>DSPT (NHS Data Security and Protection Toolkit) failure would cut CQC's access to patient data; CQC is not ISO or Cyber Essentials certified and policy documentation remains limited, so assurance relies on point-in-time evidence rather than repeatable mechanisms.</w:t>
      </w:r>
    </w:p>
    <w:p w14:paraId="7B136902" w14:textId="77777777" w:rsidR="0026123B" w:rsidRDefault="00000000">
      <w:pPr>
        <w:pStyle w:val="ListParagraph"/>
        <w:numPr>
          <w:ilvl w:val="0"/>
          <w:numId w:val="2"/>
        </w:numPr>
        <w:spacing w:before="40" w:after="40"/>
      </w:pPr>
      <w:r>
        <w:t>The two bootstrap subscriptions directly under Tenant Root are fully unconstrained by policy and RBAC and carry the most exposure in the estate; storage-account non-compliance (39 subscriptions, 514 accounts without secure transfer) is estate-wide across the legacy footprint.</w:t>
      </w:r>
    </w:p>
    <w:p w14:paraId="32B062F2" w14:textId="77777777" w:rsidR="0026123B" w:rsidRDefault="00000000">
      <w:pPr>
        <w:pStyle w:val="ListParagraph"/>
        <w:numPr>
          <w:ilvl w:val="0"/>
          <w:numId w:val="2"/>
        </w:numPr>
        <w:spacing w:before="40" w:after="40"/>
      </w:pPr>
      <w:r>
        <w:t>Single-region concentration (86.1% in UK South, UK South constrained today and UK West not a clean secondary) combined with 0 of 20 vaults having Cross-Region Restore means geo-redundant data cannot be recovered during a regional outage.</w:t>
      </w:r>
    </w:p>
    <w:p w14:paraId="33D0A313" w14:textId="77777777" w:rsidR="0026123B" w:rsidRDefault="00000000">
      <w:pPr>
        <w:pStyle w:val="ListParagraph"/>
        <w:numPr>
          <w:ilvl w:val="0"/>
          <w:numId w:val="2"/>
        </w:numPr>
        <w:spacing w:before="40" w:after="40"/>
      </w:pPr>
      <w:r>
        <w:t>GDPR retention vacuum: NHS Employee Service Record (ESR) data is held in an 'Interim SA' storage account that retains all employee data indefinitely with no retention policy, and APIM handles GDPR-sensitive data via manually triggered SOAD processes - a live GDPR non-compliance exposure.</w:t>
      </w:r>
    </w:p>
    <w:p w14:paraId="660CDC7A" w14:textId="77777777" w:rsidR="0026123B" w:rsidRDefault="00000000">
      <w:pPr>
        <w:pStyle w:val="ListParagraph"/>
        <w:numPr>
          <w:ilvl w:val="0"/>
          <w:numId w:val="2"/>
        </w:numPr>
        <w:spacing w:before="40" w:after="40"/>
      </w:pPr>
      <w:r>
        <w:t>Both older hierarchies remain fully operational and continue to accrue resources over an ~18-month retirement runway, widening the governance gap every month, while orphaned/stale resources (empty subs, Hitachi Dev UK POC with 29 RGs from 2020) mask live exposures and drive cost waste.</w:t>
      </w:r>
    </w:p>
    <w:p w14:paraId="16732697" w14:textId="77777777" w:rsidR="0026123B" w:rsidRDefault="00000000">
      <w:pPr>
        <w:spacing w:before="60" w:after="60"/>
      </w:pPr>
      <w:r>
        <w:rPr>
          <w:b/>
        </w:rPr>
        <w:t>Priority recommendations</w:t>
      </w:r>
    </w:p>
    <w:p w14:paraId="5A9C2268" w14:textId="77777777" w:rsidR="0026123B" w:rsidRDefault="00000000">
      <w:pPr>
        <w:pStyle w:val="ListParagraph"/>
        <w:numPr>
          <w:ilvl w:val="0"/>
          <w:numId w:val="2"/>
        </w:numPr>
        <w:spacing w:before="40" w:after="40"/>
      </w:pPr>
      <w:r>
        <w:t>Consolidate onto the New CAF CQC hierarchy: make the CAF-aligned tree the single management-group hierarchy and retire the legacy (mg-cqc-legacy) and old-CAF (mg-cqc-root) trees, freezing new placement under both so neither keeps growing; relocate the two unconstrained bootstrap subscriptions under Platform/Management.</w:t>
      </w:r>
    </w:p>
    <w:p w14:paraId="32E0C86C" w14:textId="77777777" w:rsidR="0026123B" w:rsidRDefault="00000000">
      <w:pPr>
        <w:pStyle w:val="ListParagraph"/>
        <w:numPr>
          <w:ilvl w:val="0"/>
          <w:numId w:val="2"/>
        </w:numPr>
        <w:spacing w:before="40" w:after="40"/>
      </w:pPr>
      <w:r>
        <w:t>Formalise and prioritise the legacy migration: sequence the larger legacy and VDC migration on its ~18-month retirement runway, breaking the VDC concentration apart workload by workload.</w:t>
      </w:r>
    </w:p>
    <w:p w14:paraId="7475AC80" w14:textId="77777777" w:rsidR="0026123B" w:rsidRDefault="00000000">
      <w:pPr>
        <w:pStyle w:val="ListParagraph"/>
        <w:numPr>
          <w:ilvl w:val="0"/>
          <w:numId w:val="2"/>
        </w:numPr>
        <w:spacing w:before="40" w:after="40"/>
      </w:pPr>
      <w:r>
        <w:t>Refresh policy definitions: promote audit-mode legacy policies to enforced mode under the New CAF management group and align to CIS, NIST and UK NHS packs; concentrate on the storage-account programme that clears ~89% of critical deny breaches.</w:t>
      </w:r>
    </w:p>
    <w:p w14:paraId="61679F76" w14:textId="77777777" w:rsidR="0026123B" w:rsidRDefault="00000000">
      <w:pPr>
        <w:pStyle w:val="ListParagraph"/>
        <w:numPr>
          <w:ilvl w:val="0"/>
          <w:numId w:val="2"/>
        </w:numPr>
        <w:spacing w:before="40" w:after="40"/>
      </w:pPr>
      <w:r>
        <w:t xml:space="preserve">Track compliance uplift: set a 30/60/90-day remediation cadence per subscription and target 80% overall compliance within twelve months; also formalise policy ownership, publish the policy catalogue as markdown generated from policy code, back the Secure by Design review with a </w:t>
      </w:r>
      <w:r>
        <w:lastRenderedPageBreak/>
        <w:t>documented logging/monitoring standard, and embed FinOps guardrails via policy-enforced ownership and cost-allocation tags.</w:t>
      </w:r>
    </w:p>
    <w:p w14:paraId="5F5D6089" w14:textId="77777777" w:rsidR="0026123B" w:rsidRDefault="00000000">
      <w:pPr>
        <w:pStyle w:val="ListParagraph"/>
        <w:numPr>
          <w:ilvl w:val="0"/>
          <w:numId w:val="2"/>
        </w:numPr>
        <w:spacing w:before="40" w:after="40"/>
      </w:pPr>
      <w:r>
        <w:t>Standardise tagging: rename non-canonical keys (IT-Service-Owner to Owner, Cost-Code to CostCenter, Data-Classification to DataClassification), enforce canonical CostCenter and DataClassification (currently 0% coverage), reconcile the 20 inconsistent Environment values, and retain high-value custom tags (BusinessCriticality, IT-Service-Name).</w:t>
      </w:r>
    </w:p>
    <w:p w14:paraId="1C4D4C7A" w14:textId="77777777" w:rsidR="0026123B" w:rsidRDefault="00000000">
      <w:pPr>
        <w:pStyle w:val="ListParagraph"/>
        <w:numPr>
          <w:ilvl w:val="0"/>
          <w:numId w:val="2"/>
        </w:numPr>
        <w:spacing w:before="40" w:after="40"/>
      </w:pPr>
      <w:r>
        <w:t>Move onboarding to controlled patterns: publish a fixed set of approved subscription archetypes/landing-zone patterns, replace the DevOps-request route with a ServiceNow-driven vending form within 90 days, embed platform-team ownership with governance checkpoints, and rationalise the 355 Owner role assignments (particularly the 194 service-principal grants) to named, justified exceptions.</w:t>
      </w:r>
    </w:p>
    <w:p w14:paraId="5C7B9C97" w14:textId="77777777" w:rsidR="0026123B" w:rsidRDefault="00000000">
      <w:pPr>
        <w:pStyle w:val="ListParagraph"/>
        <w:numPr>
          <w:ilvl w:val="0"/>
          <w:numId w:val="2"/>
        </w:numPr>
        <w:spacing w:before="40" w:after="40"/>
      </w:pPr>
      <w:r>
        <w:t>Establish Technical Program Leadership to own prioritisation across AIS, EDP, Reg Platform, security remediation and platform migration, so tactical fixes build toward the target state rather than fragmenting.</w:t>
      </w:r>
    </w:p>
    <w:p w14:paraId="0D333682" w14:textId="77777777" w:rsidR="0026123B" w:rsidRDefault="00000000">
      <w:pPr>
        <w:pStyle w:val="ListParagraph"/>
        <w:numPr>
          <w:ilvl w:val="0"/>
          <w:numId w:val="2"/>
        </w:numPr>
        <w:spacing w:before="40" w:after="40"/>
      </w:pPr>
      <w:r>
        <w:t>Data governance: consolidate the two Microsoft Purview instances (recover production access, migrate to the new portal, appoint a named administrator), apply retention policies to the Interim SA and all ESR-bearing storage, define data ownership/classification and operationalise sensitivity labelling enforced across EDP, Fabric and downstream services, and document residency/sovereignty expectations and exception handling.</w:t>
      </w:r>
    </w:p>
    <w:p w14:paraId="00BED10D" w14:textId="77777777" w:rsidR="0026123B" w:rsidRDefault="00000000">
      <w:pPr>
        <w:pStyle w:val="Heading2"/>
      </w:pPr>
      <w:bookmarkStart w:id="17" w:name="_Toc235173316"/>
      <w:r>
        <w:t>6.2 Identity, Privileged Access &amp; Threat Detection</w:t>
      </w:r>
      <w:bookmarkEnd w:id="17"/>
    </w:p>
    <w:p w14:paraId="33669F90" w14:textId="77777777" w:rsidR="0026123B" w:rsidRDefault="00000000">
      <w:pPr>
        <w:spacing w:before="60" w:after="60"/>
      </w:pPr>
      <w:r>
        <w:rPr>
          <w:b/>
        </w:rPr>
        <w:t>Current maturity: Initial (1) → Defined</w:t>
      </w:r>
    </w:p>
    <w:p w14:paraId="030427DE" w14:textId="77777777" w:rsidR="0026123B" w:rsidRDefault="00000000">
      <w:pPr>
        <w:spacing w:before="60" w:after="60"/>
      </w:pPr>
      <w:r>
        <w:t>CQC runs a single Entra tenant ("Care Quality Commission") spanning all subscriptions, administered by Littlefish, with Microsoft Sentinel and Defender for Cloud operated jointly with NHS CSOC via Azure Lighthouse. The control fabric is strong on the detective side and weak on the preventive side: standing privilege is the dominant blast-radius lever, break-glass discipline is informal, and Key Vault hygiene is uneven. Defender for Cloud is enabled on 61 of 65 subscriptions with a mean Secure Score of 59.8% against a 75% target and an active backlog of 4,870 Critical and High recommendations. The RBAC plane is wide, permanent and broad-scope, with 100% of assignments carrying no PIM coverage.</w:t>
      </w:r>
    </w:p>
    <w:p w14:paraId="517A1261" w14:textId="77777777" w:rsidR="0026123B" w:rsidRDefault="00000000">
      <w:pPr>
        <w:spacing w:before="60" w:after="60"/>
      </w:pPr>
      <w:r>
        <w:rPr>
          <w:b/>
        </w:rPr>
        <w:t>Key findings</w:t>
      </w:r>
    </w:p>
    <w:p w14:paraId="531FE134" w14:textId="77777777" w:rsidR="0026123B" w:rsidRDefault="00000000">
      <w:pPr>
        <w:pStyle w:val="ListParagraph"/>
        <w:numPr>
          <w:ilvl w:val="0"/>
          <w:numId w:val="2"/>
        </w:numPr>
        <w:spacing w:before="40" w:after="40"/>
      </w:pPr>
      <w:r>
        <w:t>Four Global Administrator accounts exist, permanently active, with no approval required to activate and no alerting on activation, leaving a compromised-admin scenario with no preventive gate</w:t>
      </w:r>
    </w:p>
    <w:p w14:paraId="090F6568" w14:textId="77777777" w:rsidR="0026123B" w:rsidRDefault="00000000">
      <w:pPr>
        <w:pStyle w:val="ListParagraph"/>
        <w:numPr>
          <w:ilvl w:val="0"/>
          <w:numId w:val="2"/>
        </w:numPr>
        <w:spacing w:before="40" w:after="40"/>
      </w:pPr>
      <w:r>
        <w:t>Defender for Cloud is enabled on 61 of 65 subscriptions; mean Secure Score is 59.8% against a 75% target (median 56.3%), and the active backlog is 4,870 Critical and High recommendations (323 Critical, 4,547 High)</w:t>
      </w:r>
    </w:p>
    <w:p w14:paraId="2EB1EE45" w14:textId="77777777" w:rsidR="0026123B" w:rsidRDefault="00000000">
      <w:pPr>
        <w:pStyle w:val="ListParagraph"/>
        <w:numPr>
          <w:ilvl w:val="0"/>
          <w:numId w:val="2"/>
        </w:numPr>
        <w:spacing w:before="40" w:after="40"/>
      </w:pPr>
      <w:r>
        <w:t>100% of the 1,461 inspected resources have no diagnostic settings configured, so the Defender data plane produces signal the SOC has no path to consume</w:t>
      </w:r>
    </w:p>
    <w:p w14:paraId="7B0E9C56" w14:textId="77777777" w:rsidR="0026123B" w:rsidRDefault="00000000">
      <w:pPr>
        <w:pStyle w:val="ListParagraph"/>
        <w:numPr>
          <w:ilvl w:val="0"/>
          <w:numId w:val="2"/>
        </w:numPr>
        <w:spacing w:before="40" w:after="40"/>
      </w:pPr>
      <w:r>
        <w:t>4 subscriptions have Defender disabled entirely and report a 0% Secure Score (cqc-pf-prd, cqc-pf-tst and two others); the lowest tenanted score is cqc-plat-identity, the central identity subscription, at 14% (14.2% in the metrics table), and the lowest scored subscription is CQC-INTEGRATIONSERVICES-PREPROD-UKS at 11.0%; 35 subscriptions sit below 60% Secure Score (metrics table) while 12 new CAF builds are at 100%</w:t>
      </w:r>
    </w:p>
    <w:p w14:paraId="7A90962F" w14:textId="77777777" w:rsidR="0026123B" w:rsidRDefault="00000000">
      <w:pPr>
        <w:pStyle w:val="ListParagraph"/>
        <w:numPr>
          <w:ilvl w:val="0"/>
          <w:numId w:val="2"/>
        </w:numPr>
        <w:spacing w:before="40" w:after="40"/>
      </w:pPr>
      <w:r>
        <w:t>1,116 service principals hold 2,955 role assignments (7x human RBAC); 194 SPs hold Owner and 58 hold User Access Administrator, both permitting privilege escalation via self-assignment</w:t>
      </w:r>
    </w:p>
    <w:p w14:paraId="17DE8E86" w14:textId="77777777" w:rsidR="0026123B" w:rsidRDefault="00000000">
      <w:pPr>
        <w:pStyle w:val="ListParagraph"/>
        <w:numPr>
          <w:ilvl w:val="0"/>
          <w:numId w:val="2"/>
        </w:numPr>
        <w:spacing w:before="40" w:after="40"/>
      </w:pPr>
      <w:r>
        <w:t>Of 1,219 control-plane grants at Management Group, Subscription or whole-RG scope, 813 (66.7%) are flagged; Owner and Contributor at broad scope account for 71% of the flag pool; 100% of assignments are permanent with no PIM in place</w:t>
      </w:r>
    </w:p>
    <w:p w14:paraId="500E717C" w14:textId="77777777" w:rsidR="0026123B" w:rsidRDefault="00000000">
      <w:pPr>
        <w:pStyle w:val="ListParagraph"/>
        <w:numPr>
          <w:ilvl w:val="0"/>
          <w:numId w:val="2"/>
        </w:numPr>
        <w:spacing w:before="40" w:after="40"/>
      </w:pPr>
      <w:r>
        <w:t>163 legacy Classic Administrator (pre-RBAC ASM) grants remain active, bypassing RBAC entirely; only 30% of grants flow through groups, the other 70% are direct to users or service principals</w:t>
      </w:r>
    </w:p>
    <w:p w14:paraId="552494D6" w14:textId="77777777" w:rsidR="0026123B" w:rsidRDefault="00000000">
      <w:pPr>
        <w:pStyle w:val="ListParagraph"/>
        <w:numPr>
          <w:ilvl w:val="0"/>
          <w:numId w:val="2"/>
        </w:numPr>
        <w:spacing w:before="40" w:after="40"/>
      </w:pPr>
      <w:r>
        <w:lastRenderedPageBreak/>
        <w:t>84 human principals and 1,116 service principals hold role assignments for a total of 3,380; the privilege escalation surface totals 210 Owner grants (16 human + 194 SP) and 59 User Access Administrator grants (1 human + 58 SP)</w:t>
      </w:r>
    </w:p>
    <w:p w14:paraId="776EBA11" w14:textId="77777777" w:rsidR="0026123B" w:rsidRDefault="00000000">
      <w:pPr>
        <w:pStyle w:val="ListParagraph"/>
        <w:numPr>
          <w:ilvl w:val="0"/>
          <w:numId w:val="2"/>
        </w:numPr>
        <w:spacing w:before="40" w:after="40"/>
      </w:pPr>
      <w:r>
        <w:t>At least one Entra ID group holding Contributor on Production is believed to belong to previous delivery partner KPMG and remains active; developers hold permanent Contributor on production with Click-Ops routinely invalidating Terraform, and some individual users carry twenty or more role assignments</w:t>
      </w:r>
    </w:p>
    <w:p w14:paraId="6DE526B1" w14:textId="77777777" w:rsidR="0026123B" w:rsidRDefault="00000000">
      <w:pPr>
        <w:pStyle w:val="ListParagraph"/>
        <w:numPr>
          <w:ilvl w:val="0"/>
          <w:numId w:val="2"/>
        </w:numPr>
        <w:spacing w:before="40" w:after="40"/>
      </w:pPr>
      <w:r>
        <w:t>Guest onboarding is ad hoc with no Access Packages or Access Reviews; Hitachi engineers were issued CQC user accounts rather than B2B guests, crossing the identity boundary; a single Sentinel resource run by Ryan Torrance's team (with NHS CSOC via Azure Lighthouse) has some analytic rules in disabled or development state</w:t>
      </w:r>
    </w:p>
    <w:p w14:paraId="0B0A52B5" w14:textId="77777777" w:rsidR="0026123B" w:rsidRDefault="00000000">
      <w:pPr>
        <w:spacing w:before="60" w:after="60"/>
      </w:pPr>
      <w:r>
        <w:rPr>
          <w:b/>
        </w:rPr>
        <w:t>Key risks</w:t>
      </w:r>
    </w:p>
    <w:p w14:paraId="2613ADB7" w14:textId="77777777" w:rsidR="0026123B" w:rsidRDefault="00000000">
      <w:pPr>
        <w:pStyle w:val="ListParagraph"/>
        <w:numPr>
          <w:ilvl w:val="0"/>
          <w:numId w:val="2"/>
        </w:numPr>
        <w:spacing w:before="40" w:after="40"/>
      </w:pPr>
      <w:r>
        <w:t>No preventive gate on privileged access: four permanently active Global Administrators plus 100% permanent, no-PIM assignments mean a single compromised identity has a wide blast radius, with Sentinel acting only as a detective control</w:t>
      </w:r>
    </w:p>
    <w:p w14:paraId="5BFC15A7" w14:textId="77777777" w:rsidR="0026123B" w:rsidRDefault="00000000">
      <w:pPr>
        <w:pStyle w:val="ListParagraph"/>
        <w:numPr>
          <w:ilvl w:val="0"/>
          <w:numId w:val="2"/>
        </w:numPr>
        <w:spacing w:before="40" w:after="40"/>
      </w:pPr>
      <w:r>
        <w:t>Large-scale privilege escalation surface from 194 SP Owner and 58 User Access Administrator grants (self-assignment capable) and 813 flagged broad-scope grants, making least privilege the weakest of the three Zero Trust principles</w:t>
      </w:r>
    </w:p>
    <w:p w14:paraId="70D78F24" w14:textId="77777777" w:rsidR="0026123B" w:rsidRDefault="00000000">
      <w:pPr>
        <w:pStyle w:val="ListParagraph"/>
        <w:numPr>
          <w:ilvl w:val="0"/>
          <w:numId w:val="2"/>
        </w:numPr>
        <w:spacing w:before="40" w:after="40"/>
      </w:pPr>
      <w:r>
        <w:t>Security signal is unusable at scale: 4,870 Critical/High Defender recommendations combined with 100% of 1,461 inspected resources lacking diagnostic settings means findings are neither remediated nor traceable</w:t>
      </w:r>
    </w:p>
    <w:p w14:paraId="189B525D" w14:textId="77777777" w:rsidR="0026123B" w:rsidRDefault="00000000">
      <w:pPr>
        <w:pStyle w:val="ListParagraph"/>
        <w:numPr>
          <w:ilvl w:val="0"/>
          <w:numId w:val="2"/>
        </w:numPr>
        <w:spacing w:before="40" w:after="40"/>
      </w:pPr>
      <w:r>
        <w:t>Legacy bypass and ungoverned access: 163 active Classic Administrators bypass RBAC and a former-partner (KPMG) group retains Contributor on Production as an unverified access path</w:t>
      </w:r>
    </w:p>
    <w:p w14:paraId="19B37E0C" w14:textId="77777777" w:rsidR="0026123B" w:rsidRDefault="00000000">
      <w:pPr>
        <w:pStyle w:val="ListParagraph"/>
        <w:numPr>
          <w:ilvl w:val="0"/>
          <w:numId w:val="2"/>
        </w:numPr>
        <w:spacing w:before="40" w:after="40"/>
      </w:pPr>
      <w:r>
        <w:t>Identity-sensitive subscriptions are the most exposed: cqc-plat-identity, the central identity subscription, scores only 14%, and 4 subscriptions have Defender disabled at 0% Secure Score</w:t>
      </w:r>
    </w:p>
    <w:p w14:paraId="15F7580C" w14:textId="77777777" w:rsidR="0026123B" w:rsidRDefault="00000000">
      <w:pPr>
        <w:spacing w:before="60" w:after="60"/>
      </w:pPr>
      <w:r>
        <w:rPr>
          <w:b/>
        </w:rPr>
        <w:t>Priority recommendations</w:t>
      </w:r>
    </w:p>
    <w:p w14:paraId="4CF974FD" w14:textId="77777777" w:rsidR="0026123B" w:rsidRDefault="00000000">
      <w:pPr>
        <w:pStyle w:val="ListParagraph"/>
        <w:numPr>
          <w:ilvl w:val="0"/>
          <w:numId w:val="2"/>
        </w:numPr>
        <w:spacing w:before="40" w:after="40"/>
      </w:pPr>
      <w:r>
        <w:t>Extend PIM to Global Administrators: bring all Global Administrator accounts under PIM with mandatory approval and alerting on activation</w:t>
      </w:r>
    </w:p>
    <w:p w14:paraId="1909E355" w14:textId="77777777" w:rsidR="0026123B" w:rsidRDefault="00000000">
      <w:pPr>
        <w:pStyle w:val="ListParagraph"/>
        <w:numPr>
          <w:ilvl w:val="0"/>
          <w:numId w:val="2"/>
        </w:numPr>
        <w:spacing w:before="40" w:after="40"/>
      </w:pPr>
      <w:r>
        <w:t>Rationalise Standing Privilege: rationalise Owner and Contributor assignments, remove Classic Administrators, and target a maximum of three Owners per subscription</w:t>
      </w:r>
    </w:p>
    <w:p w14:paraId="2B62EA0E" w14:textId="77777777" w:rsidR="0026123B" w:rsidRDefault="00000000">
      <w:pPr>
        <w:pStyle w:val="ListParagraph"/>
        <w:numPr>
          <w:ilvl w:val="0"/>
          <w:numId w:val="2"/>
        </w:numPr>
        <w:spacing w:before="40" w:after="40"/>
      </w:pPr>
      <w:r>
        <w:t>Eliminate Click-Ops in Production: enforce deployment via pipeline only so manual changes no longer override Terraform</w:t>
      </w:r>
    </w:p>
    <w:p w14:paraId="0CB9DB14" w14:textId="77777777" w:rsidR="0026123B" w:rsidRDefault="00000000">
      <w:pPr>
        <w:pStyle w:val="ListParagraph"/>
        <w:numPr>
          <w:ilvl w:val="0"/>
          <w:numId w:val="2"/>
        </w:numPr>
        <w:spacing w:before="40" w:after="40"/>
      </w:pPr>
      <w:r>
        <w:t>Remove Former Partner Access: remove or re-validate all former partner access in Production, including the networking-level exceptions</w:t>
      </w:r>
    </w:p>
    <w:p w14:paraId="51164663" w14:textId="77777777" w:rsidR="0026123B" w:rsidRDefault="00000000">
      <w:pPr>
        <w:pStyle w:val="ListParagraph"/>
        <w:numPr>
          <w:ilvl w:val="0"/>
          <w:numId w:val="2"/>
        </w:numPr>
        <w:spacing w:before="40" w:after="40"/>
      </w:pPr>
      <w:r>
        <w:t>Right-Size Defender Coverage and Automate Onboarding: remove Defender plans from decommissioned and sandbox subscriptions and onboard Defender via policy to prevent configuration drift</w:t>
      </w:r>
    </w:p>
    <w:p w14:paraId="5E971FAD" w14:textId="77777777" w:rsidR="0026123B" w:rsidRDefault="00000000">
      <w:pPr>
        <w:pStyle w:val="ListParagraph"/>
        <w:numPr>
          <w:ilvl w:val="0"/>
          <w:numId w:val="2"/>
        </w:numPr>
        <w:spacing w:before="40" w:after="40"/>
      </w:pPr>
      <w:r>
        <w:t>Triage the Recommendation Backlog: triage and prioritise the critical and high-severity Defender recommendation backlog</w:t>
      </w:r>
    </w:p>
    <w:p w14:paraId="66A71646" w14:textId="77777777" w:rsidR="0026123B" w:rsidRDefault="00000000">
      <w:pPr>
        <w:pStyle w:val="ListParagraph"/>
        <w:numPr>
          <w:ilvl w:val="0"/>
          <w:numId w:val="2"/>
        </w:numPr>
        <w:spacing w:before="40" w:after="40"/>
      </w:pPr>
      <w:r>
        <w:t>Close the Detective-Preventive Gap: bring PIM, Conditional Access and break-glass procedures to parity with Sentinel coverage so detection no longer compensates for missing preventive controls</w:t>
      </w:r>
    </w:p>
    <w:p w14:paraId="330E60E2" w14:textId="77777777" w:rsidR="0026123B" w:rsidRDefault="00000000">
      <w:pPr>
        <w:pStyle w:val="ListParagraph"/>
        <w:numPr>
          <w:ilvl w:val="0"/>
          <w:numId w:val="2"/>
        </w:numPr>
        <w:spacing w:before="40" w:after="40"/>
      </w:pPr>
      <w:r>
        <w:t>Govern the Guest Lifecycle and Scope Key Vault RBAC: implement Access Packages and Access Reviews for all guest accounts, clear the risky-user backlog, and scope Key Vault RBAC to individual vaults rather than subscription or management-group level</w:t>
      </w:r>
    </w:p>
    <w:p w14:paraId="49A795B1" w14:textId="77777777" w:rsidR="0026123B" w:rsidRDefault="00000000">
      <w:pPr>
        <w:pStyle w:val="Heading2"/>
      </w:pPr>
      <w:bookmarkStart w:id="18" w:name="_Toc235173317"/>
      <w:r>
        <w:t>6.3 Networking &amp; Hybrid Connectivity</w:t>
      </w:r>
      <w:bookmarkEnd w:id="18"/>
    </w:p>
    <w:p w14:paraId="3D268E1A" w14:textId="77777777" w:rsidR="0026123B" w:rsidRDefault="00000000">
      <w:pPr>
        <w:spacing w:before="60" w:after="60"/>
      </w:pPr>
      <w:r>
        <w:rPr>
          <w:b/>
        </w:rPr>
        <w:t>Current maturity: Developing (2) → Managed</w:t>
      </w:r>
    </w:p>
    <w:p w14:paraId="0B265D61" w14:textId="77777777" w:rsidR="0026123B" w:rsidRDefault="00000000">
      <w:pPr>
        <w:spacing w:before="60" w:after="60"/>
      </w:pPr>
      <w:r>
        <w:t xml:space="preserve">CQC's networking estate is structurally legacy: a single central Azure Firewall hub serves prod, dev and UAT in a "hub-and-spiderweb" topology that the platform team acknowledges as a legacy transition state rather than a mature or target architecture. The estate spans 76 VNets (6 hub VNets against a 1-2 target, </w:t>
      </w:r>
      <w:r>
        <w:lastRenderedPageBreak/>
        <w:t>34 isolated), with average NSG coverage of 32% and only 16/76 VNets fully NSG-protected. Around 86% of resources sit in a capacity-constrained UK South with no validated secondary region and no active DR posture (UK West is limited to a single availability zone). The new-world CAF design exists in code on paper but is not yet deployed.</w:t>
      </w:r>
    </w:p>
    <w:p w14:paraId="59D91539" w14:textId="77777777" w:rsidR="0026123B" w:rsidRDefault="00000000">
      <w:pPr>
        <w:spacing w:before="60" w:after="60"/>
      </w:pPr>
      <w:r>
        <w:rPr>
          <w:b/>
        </w:rPr>
        <w:t>Key findings</w:t>
      </w:r>
    </w:p>
    <w:p w14:paraId="78101461" w14:textId="77777777" w:rsidR="0026123B" w:rsidRDefault="00000000">
      <w:pPr>
        <w:pStyle w:val="ListParagraph"/>
        <w:numPr>
          <w:ilvl w:val="0"/>
          <w:numId w:val="2"/>
        </w:numPr>
        <w:spacing w:before="40" w:after="40"/>
      </w:pPr>
      <w:r>
        <w:t>Topology: a single Azure Firewall hub serves prod, dev and UAT; the firewall ruleset is third-party managed with thousands of unaudited rules and no owner-of-record. Estate has 76 VNets total, 6 hub VNets (target 1-2), and 34 isolated VNets (47%, target 0).</w:t>
      </w:r>
    </w:p>
    <w:p w14:paraId="1BEAC3ED" w14:textId="77777777" w:rsidR="0026123B" w:rsidRDefault="00000000">
      <w:pPr>
        <w:pStyle w:val="ListParagraph"/>
        <w:numPr>
          <w:ilvl w:val="0"/>
          <w:numId w:val="2"/>
        </w:numPr>
        <w:spacing w:before="40" w:after="40"/>
      </w:pPr>
      <w:r>
        <w:t>NSG coverage is low: only 16/76 VNets fully NSG-protected and average NSG coverage of 32% (21% full). Production hub vnet-hub-uks-prd has 20 subnets at 35% NSG coverage with 36 peerings; vnet-ukshscn (7 subnets, NHS/HSCN data path) sits at 0% NSG coverage.</w:t>
      </w:r>
    </w:p>
    <w:p w14:paraId="186B2A26" w14:textId="77777777" w:rsidR="0026123B" w:rsidRDefault="00000000">
      <w:pPr>
        <w:pStyle w:val="ListParagraph"/>
        <w:numPr>
          <w:ilvl w:val="0"/>
          <w:numId w:val="2"/>
        </w:numPr>
        <w:spacing w:before="40" w:after="40"/>
      </w:pPr>
      <w:r>
        <w:t>Exposed management ports: 6 NSGs allow RDP (3389) from Internet and 1 allows SSH (22) from Internet. Across 312 inbound Allow rules over 106 NSGs, 79 rules are flagged (25.3%), 42 NSGs (39.6%) contain a finding, and 4 subscriptions (19%) have &gt;=1 Critical finding; 72 further Allow-from-Any rules exist on other ports.</w:t>
      </w:r>
    </w:p>
    <w:p w14:paraId="623CBF7B" w14:textId="77777777" w:rsidR="0026123B" w:rsidRDefault="00000000">
      <w:pPr>
        <w:pStyle w:val="ListParagraph"/>
        <w:numPr>
          <w:ilvl w:val="0"/>
          <w:numId w:val="2"/>
        </w:numPr>
        <w:spacing w:before="40" w:after="40"/>
      </w:pPr>
      <w:r>
        <w:t>WAF/APIM: App Gateway WAF v2 fronts APIM but runs the default managed rule set only (no geo-restrictions, no throttling, no custom rules); an APIM scraping incident saw tens of millions of API calls per month scraped. Four Premium APIM instances run (one per environment), and hardcoded JWT token values sit in APIM policies.</w:t>
      </w:r>
    </w:p>
    <w:p w14:paraId="4F8ABD0E" w14:textId="77777777" w:rsidR="0026123B" w:rsidRDefault="00000000">
      <w:pPr>
        <w:pStyle w:val="ListParagraph"/>
        <w:numPr>
          <w:ilvl w:val="0"/>
          <w:numId w:val="2"/>
        </w:numPr>
        <w:spacing w:before="40" w:after="40"/>
      </w:pPr>
      <w:r>
        <w:t>Region concentration: ~86% of resources are in UK South, which Microsoft has confirmed is capacity-constrained; quoted lead times are '10 days for simple, six weeks for complex', with one open request at ten weeks. UK West is ruled out as a resilient secondary because it offers only a single availability zone.</w:t>
      </w:r>
    </w:p>
    <w:p w14:paraId="1883A718" w14:textId="77777777" w:rsidR="0026123B" w:rsidRDefault="00000000">
      <w:pPr>
        <w:pStyle w:val="ListParagraph"/>
        <w:numPr>
          <w:ilvl w:val="0"/>
          <w:numId w:val="2"/>
        </w:numPr>
        <w:spacing w:before="40" w:after="40"/>
      </w:pPr>
      <w:r>
        <w:t>Private Endpoints: 214 deployed, 194 approved connections (90.7% success), 20 failed. Storage accounts dominate at 110 endpoints (10 failed, 90.9% success) across 19 subscriptions; 16 of the 20 failures sit in CQC DEVTST VDC2 UKS, with 2 failures in production; Web/Function app endpoints are among the weakest at 10 endpoints, 3 failed (70%).</w:t>
      </w:r>
    </w:p>
    <w:p w14:paraId="0DADF181" w14:textId="77777777" w:rsidR="0026123B" w:rsidRDefault="00000000">
      <w:pPr>
        <w:pStyle w:val="ListParagraph"/>
        <w:numPr>
          <w:ilvl w:val="0"/>
          <w:numId w:val="2"/>
        </w:numPr>
        <w:spacing w:before="40" w:after="40"/>
      </w:pPr>
      <w:r>
        <w:t>Hybrid connectivity: 2 ExpressRoute circuits operate - the legacy on-prem data-centre circuit is being decommissioned by end of year (gateway retained for AVS/Azure VMware Solution) and the HSCN circuit is being retained. Infosys reaches Siebel CRM via a Pulse Secure VPN terminating on a VM in the hub, expected to retire with Siebel migration to Azure in August-September; 6 VPN Gateways exist.</w:t>
      </w:r>
    </w:p>
    <w:p w14:paraId="651694AA" w14:textId="77777777" w:rsidR="0026123B" w:rsidRDefault="00000000">
      <w:pPr>
        <w:pStyle w:val="ListParagraph"/>
        <w:numPr>
          <w:ilvl w:val="0"/>
          <w:numId w:val="2"/>
        </w:numPr>
        <w:spacing w:before="40" w:after="40"/>
      </w:pPr>
      <w:r>
        <w:t>DNS and firewalls: public DNS for the CQC domain is externally managed by Vodafone while internal DNS still runs on legacy AD domain controllers; hundreds of duplicated private DNS zones exist (17/76 VNets use custom DNS, 59 use Azure default DNS). All 4 Azure Firewall instances are Standard SKU (no IDPS or TLS inspection; target Premium).</w:t>
      </w:r>
    </w:p>
    <w:p w14:paraId="2E521D71" w14:textId="77777777" w:rsidR="0026123B" w:rsidRDefault="00000000">
      <w:pPr>
        <w:pStyle w:val="ListParagraph"/>
        <w:numPr>
          <w:ilvl w:val="0"/>
          <w:numId w:val="2"/>
        </w:numPr>
        <w:spacing w:before="40" w:after="40"/>
      </w:pPr>
      <w:r>
        <w:t>Diagnostics/hygiene: Network Watcher has 43 records with 32 deployed and 11 flagged NOT DEPLOYED (no NSG flow logs in those subscription-regions); 98/99 peerings are connected with 1 disconnected; MNSI (Maternity and Newborn Safety Investigations) and other organisations sit inside the CQC tenancy with no dedicated subscriptions.</w:t>
      </w:r>
    </w:p>
    <w:p w14:paraId="1F40502B" w14:textId="77777777" w:rsidR="0026123B" w:rsidRDefault="00000000">
      <w:pPr>
        <w:spacing w:before="60" w:after="60"/>
      </w:pPr>
      <w:r>
        <w:rPr>
          <w:b/>
        </w:rPr>
        <w:t>Key risks</w:t>
      </w:r>
    </w:p>
    <w:p w14:paraId="01504C7B" w14:textId="77777777" w:rsidR="0026123B" w:rsidRDefault="00000000">
      <w:pPr>
        <w:pStyle w:val="ListParagraph"/>
        <w:numPr>
          <w:ilvl w:val="0"/>
          <w:numId w:val="2"/>
        </w:numPr>
        <w:spacing w:before="40" w:after="40"/>
      </w:pPr>
      <w:r>
        <w:t>Cross-environment and cross-organisation lateral movement: one firewall ruleset spans all environments, spokes are peered laterally to one another, and MNSI plus other orgs sit inside the CQC tenancy with no dedicated subscriptions, extending the lateral-movement blast radius across organisational boundaries.</w:t>
      </w:r>
    </w:p>
    <w:p w14:paraId="0092A969" w14:textId="77777777" w:rsidR="0026123B" w:rsidRDefault="00000000">
      <w:pPr>
        <w:pStyle w:val="ListParagraph"/>
        <w:numPr>
          <w:ilvl w:val="0"/>
          <w:numId w:val="2"/>
        </w:numPr>
        <w:spacing w:before="40" w:after="40"/>
      </w:pPr>
      <w:r>
        <w:t>Direct internet exposure of management planes: 6 RDP (3389) and 1 SSH (22) allow rules from any internet source expose management ports directly, alongside 72 further Allow-from-Any rules on other ports.</w:t>
      </w:r>
    </w:p>
    <w:p w14:paraId="1579C065" w14:textId="77777777" w:rsidR="0026123B" w:rsidRDefault="00000000">
      <w:pPr>
        <w:pStyle w:val="ListParagraph"/>
        <w:numPr>
          <w:ilvl w:val="0"/>
          <w:numId w:val="2"/>
        </w:numPr>
        <w:spacing w:before="40" w:after="40"/>
      </w:pPr>
      <w:r>
        <w:t>NHS-data compliance failure: vnet-ukshscn carries the NHS data path at 0% NSG coverage, a direct compliance risk under the DSP Toolkit and HSCN agreement.</w:t>
      </w:r>
    </w:p>
    <w:p w14:paraId="7AD697D9" w14:textId="77777777" w:rsidR="0026123B" w:rsidRDefault="00000000">
      <w:pPr>
        <w:pStyle w:val="ListParagraph"/>
        <w:numPr>
          <w:ilvl w:val="0"/>
          <w:numId w:val="2"/>
        </w:numPr>
        <w:spacing w:before="40" w:after="40"/>
      </w:pPr>
      <w:r>
        <w:t>Private Endpoint failures revert resources to their public path: 20 failed endpoints (including 2 in production) create real exfiltration exposure.</w:t>
      </w:r>
    </w:p>
    <w:p w14:paraId="158C5762" w14:textId="77777777" w:rsidR="0026123B" w:rsidRDefault="00000000">
      <w:pPr>
        <w:pStyle w:val="ListParagraph"/>
        <w:numPr>
          <w:ilvl w:val="0"/>
          <w:numId w:val="2"/>
        </w:numPr>
        <w:spacing w:before="40" w:after="40"/>
      </w:pPr>
      <w:r>
        <w:lastRenderedPageBreak/>
        <w:t>Strategic single-region dependency: ~86% of resources in a constrained UK South with no validated secondary (UK West single-AZ) and no active DR posture.</w:t>
      </w:r>
    </w:p>
    <w:p w14:paraId="440109EB" w14:textId="77777777" w:rsidR="0026123B" w:rsidRDefault="00000000">
      <w:pPr>
        <w:spacing w:before="60" w:after="60"/>
      </w:pPr>
      <w:r>
        <w:rPr>
          <w:b/>
        </w:rPr>
        <w:t>Priority recommendations</w:t>
      </w:r>
    </w:p>
    <w:p w14:paraId="76E64280" w14:textId="77777777" w:rsidR="0026123B" w:rsidRDefault="00000000">
      <w:pPr>
        <w:pStyle w:val="ListParagraph"/>
        <w:numPr>
          <w:ilvl w:val="0"/>
          <w:numId w:val="2"/>
        </w:numPr>
        <w:spacing w:before="40" w:after="40"/>
      </w:pPr>
      <w:r>
        <w:t>Firewall: deploy one firewall per region in the new CAF, retire legacy rules on a hard sunset, hold the rule estate in code as an Azure Firewall Policy resource (replacing Classic rules), audit/rationalise the ruleset before migration and assign an internal owner-of-record; consider segregating per environment.</w:t>
      </w:r>
    </w:p>
    <w:p w14:paraId="7A92294C" w14:textId="77777777" w:rsidR="0026123B" w:rsidRDefault="00000000">
      <w:pPr>
        <w:pStyle w:val="ListParagraph"/>
        <w:numPr>
          <w:ilvl w:val="0"/>
          <w:numId w:val="2"/>
        </w:numPr>
        <w:spacing w:before="40" w:after="40"/>
      </w:pPr>
      <w:r>
        <w:t>Network topology: stand up the new-world hub-and-spoke as code and eliminate lateral spoke-to-spoke peering; decommission or repurpose isolated VNets and reclaim unused IP address space.</w:t>
      </w:r>
    </w:p>
    <w:p w14:paraId="5447521A" w14:textId="77777777" w:rsidR="0026123B" w:rsidRDefault="00000000">
      <w:pPr>
        <w:pStyle w:val="ListParagraph"/>
        <w:numPr>
          <w:ilvl w:val="0"/>
          <w:numId w:val="2"/>
        </w:numPr>
        <w:spacing w:before="40" w:after="40"/>
      </w:pPr>
      <w:r>
        <w:t>Region and DR: formalise UK South capacity management (including advance notice to Microsoft for planned scaling), validate a secondary-region strategy by defining a minimum viable DR posture and testing failover, and consider Azure Front Door if a multi-location environment becomes the norm.</w:t>
      </w:r>
    </w:p>
    <w:p w14:paraId="4F259546" w14:textId="77777777" w:rsidR="0026123B" w:rsidRDefault="00000000">
      <w:pPr>
        <w:pStyle w:val="ListParagraph"/>
        <w:numPr>
          <w:ilvl w:val="0"/>
          <w:numId w:val="2"/>
        </w:numPr>
        <w:spacing w:before="40" w:after="40"/>
      </w:pPr>
      <w:r>
        <w:t>WAF/APIM: harden the WAF with custom rules, geo-restrictions and rate limiting; right-size APIM SKUs per environment, remove hardcoded JWT values from APIM policies and externalise token management.</w:t>
      </w:r>
    </w:p>
    <w:p w14:paraId="6FDC727F" w14:textId="77777777" w:rsidR="0026123B" w:rsidRDefault="00000000">
      <w:pPr>
        <w:pStyle w:val="ListParagraph"/>
        <w:numPr>
          <w:ilvl w:val="0"/>
          <w:numId w:val="2"/>
        </w:numPr>
        <w:spacing w:before="40" w:after="40"/>
      </w:pPr>
      <w:r>
        <w:t>NSG and segmentation: mandate NSGs on all subnets via Azure Policy (prioritising the hub VNet and production spokes, enforcing a Deny All baseline), and move from reactive segmentation to a designed, policy-driven Zero Trust model.</w:t>
      </w:r>
    </w:p>
    <w:p w14:paraId="77216AB1" w14:textId="77777777" w:rsidR="0026123B" w:rsidRDefault="00000000">
      <w:pPr>
        <w:pStyle w:val="ListParagraph"/>
        <w:numPr>
          <w:ilvl w:val="0"/>
          <w:numId w:val="2"/>
        </w:numPr>
        <w:spacing w:before="40" w:after="40"/>
      </w:pPr>
      <w:r>
        <w:t>Lock down exposed management ports: remove the internet-facing RDP (6 on 3389) and SSH (1 on 22) allow rules and require Azure Bastion with Just-in-Time (JIT) access for all administrative VM connections.</w:t>
      </w:r>
    </w:p>
    <w:p w14:paraId="5807128B" w14:textId="77777777" w:rsidR="0026123B" w:rsidRDefault="00000000">
      <w:pPr>
        <w:pStyle w:val="ListParagraph"/>
        <w:numPr>
          <w:ilvl w:val="0"/>
          <w:numId w:val="2"/>
        </w:numPr>
        <w:spacing w:before="40" w:after="40"/>
      </w:pPr>
      <w:r>
        <w:t>Private Endpoints and DNS: consolidate duplicated private DNS zones, remediate failed or disconnected Private Endpoints, and centralise name resolution under Azure DNS as the single authoritative source.</w:t>
      </w:r>
    </w:p>
    <w:p w14:paraId="225F3D48" w14:textId="77777777" w:rsidR="0026123B" w:rsidRDefault="00000000">
      <w:pPr>
        <w:pStyle w:val="ListParagraph"/>
        <w:numPr>
          <w:ilvl w:val="0"/>
          <w:numId w:val="2"/>
        </w:numPr>
        <w:spacing w:before="40" w:after="40"/>
      </w:pPr>
      <w:r>
        <w:t>Hybrid connectivity: complete ExpressRoute decommissioning on schedule and confirm the AVS exit timeline.</w:t>
      </w:r>
    </w:p>
    <w:p w14:paraId="3ABEC461" w14:textId="77777777" w:rsidR="0026123B" w:rsidRDefault="00000000">
      <w:pPr>
        <w:pStyle w:val="Heading2"/>
      </w:pPr>
      <w:bookmarkStart w:id="19" w:name="_Toc235173318"/>
      <w:r>
        <w:t>6.4 External Exposure</w:t>
      </w:r>
      <w:bookmarkEnd w:id="19"/>
    </w:p>
    <w:p w14:paraId="4380932E" w14:textId="77777777" w:rsidR="0026123B" w:rsidRDefault="00000000">
      <w:pPr>
        <w:spacing w:before="60" w:after="60"/>
      </w:pPr>
      <w:r>
        <w:rPr>
          <w:b/>
        </w:rPr>
        <w:t>Current maturity: Developing (2) → Managed</w:t>
      </w:r>
    </w:p>
    <w:p w14:paraId="369B32AA" w14:textId="77777777" w:rsidR="0026123B" w:rsidRDefault="00000000">
      <w:pPr>
        <w:spacing w:before="60" w:after="60"/>
      </w:pPr>
      <w:r>
        <w:t>CQC's internet-facing surface is broad but lightly defended at the perimeter: 40 Public IPs, 4 Azure Firewall instances and 16 Application Gateway front-ends are exposed, yet 0 of 40 Public IPs sit behind a managed DDoS Standard plan, all 4 firewalls run Standard tier with no Premium instance, and legacy Basic-SKU addresses remain on a retiring SKU. Firewall posture is rated "Fair" with a configuration score of 50%, held back by missing advanced security features (no TLS inspection, no IDPS, no zone redundancy). The WAF layer is a stronger baseline: 7 policies, all Enabled with Azure Managed Rule Sets, though 0 of 7 carry custom rules and 1 production workload runs in detection-only mode.</w:t>
      </w:r>
    </w:p>
    <w:p w14:paraId="7AF36D42" w14:textId="77777777" w:rsidR="0026123B" w:rsidRDefault="00000000">
      <w:pPr>
        <w:spacing w:before="60" w:after="60"/>
      </w:pPr>
      <w:r>
        <w:rPr>
          <w:b/>
        </w:rPr>
        <w:t>Key findings</w:t>
      </w:r>
    </w:p>
    <w:p w14:paraId="67B38472" w14:textId="77777777" w:rsidR="0026123B" w:rsidRDefault="00000000">
      <w:pPr>
        <w:pStyle w:val="ListParagraph"/>
        <w:numPr>
          <w:ilvl w:val="0"/>
          <w:numId w:val="2"/>
        </w:numPr>
        <w:spacing w:before="40" w:after="40"/>
      </w:pPr>
      <w:r>
        <w:t>No managed DDoS: 0 of 40 Public IP addresses are protected by an Azure DDoS Protection Standard/Network plan; protection relies entirely on Azure's platform-level basic tier, which provides no per-resource alerting, no attack telemetry and no post-incident reporting.</w:t>
      </w:r>
    </w:p>
    <w:p w14:paraId="6CECF2D6" w14:textId="77777777" w:rsidR="0026123B" w:rsidRDefault="00000000">
      <w:pPr>
        <w:pStyle w:val="ListParagraph"/>
        <w:numPr>
          <w:ilvl w:val="0"/>
          <w:numId w:val="2"/>
        </w:numPr>
        <w:spacing w:before="40" w:after="40"/>
      </w:pPr>
      <w:r>
        <w:t>Public IP SKU posture: 38 of 40 Public IPs are on the modern Standard SKU (correct posture for Availability Zones); 1 Public IP is unassociated with any resource and accruing idle cost. Basic-SKU Public IP count differs across the source chapters (the health-check detail records 2 legacy Basic SKU addresses pending Microsoft's retirement; the HCAF scorecard records 5) and should be reconciled before remediation scoping.</w:t>
      </w:r>
    </w:p>
    <w:p w14:paraId="592CEB62" w14:textId="77777777" w:rsidR="0026123B" w:rsidRDefault="00000000">
      <w:pPr>
        <w:pStyle w:val="ListParagraph"/>
        <w:numPr>
          <w:ilvl w:val="0"/>
          <w:numId w:val="2"/>
        </w:numPr>
        <w:spacing w:before="40" w:after="40"/>
      </w:pPr>
      <w:r>
        <w:t>Direct VM exposure: 6 Public IPs are attached directly to virtual machine network interfaces (NICs), exposing those machines to the internet with no Layer 7 inspection (flagged High risk, Priority 1 - Critical).</w:t>
      </w:r>
    </w:p>
    <w:p w14:paraId="2B4F0152" w14:textId="77777777" w:rsidR="0026123B" w:rsidRDefault="00000000">
      <w:pPr>
        <w:pStyle w:val="ListParagraph"/>
        <w:numPr>
          <w:ilvl w:val="0"/>
          <w:numId w:val="2"/>
        </w:numPr>
        <w:spacing w:before="40" w:after="40"/>
      </w:pPr>
      <w:r>
        <w:t>Public IP distribution (by associated resource, reconciles to 40): Application Gateways 16 (Priority 1 - Critical), VM/NICs 6, VPN/VNet Gateways 6, Azure Firewalls 6, NAT Gateways 3, Load Balancers 2, orphan 1; 38 static and 2 dynamic allocation.</w:t>
      </w:r>
    </w:p>
    <w:p w14:paraId="10F25DCA" w14:textId="77777777" w:rsidR="0026123B" w:rsidRDefault="00000000">
      <w:pPr>
        <w:pStyle w:val="ListParagraph"/>
        <w:numPr>
          <w:ilvl w:val="0"/>
          <w:numId w:val="2"/>
        </w:numPr>
        <w:spacing w:before="40" w:after="40"/>
      </w:pPr>
      <w:r>
        <w:lastRenderedPageBreak/>
        <w:t>Azure Firewall estate: 4 firewall instances across 3 resource groups, all within the CQC PRD VDC0 UKS subscription; all 4 on Standard tier (0 Premium, 0 Basic), 0 zone-redundant, 0 with TLS inspection, 0 with IDS/IDPS enabled.</w:t>
      </w:r>
    </w:p>
    <w:p w14:paraId="3D04CE4C" w14:textId="77777777" w:rsidR="0026123B" w:rsidRDefault="00000000">
      <w:pPr>
        <w:pStyle w:val="ListParagraph"/>
        <w:numPr>
          <w:ilvl w:val="0"/>
          <w:numId w:val="2"/>
        </w:numPr>
        <w:spacing w:before="40" w:after="40"/>
      </w:pPr>
      <w:r>
        <w:t>Firewall configuration detail: Firewall Policy in use on 4/4, Threat Intelligence compliance 2/4, DNS Proxy compliance 1/4; 72 total rules configured (1 NAT, 44 Network, 27 Application; avg 18 per firewall). Note: the source chapters differ on the firewall rule model (the Health Check records Firewall Policy in use on 4/4).</w:t>
      </w:r>
    </w:p>
    <w:p w14:paraId="7C6B111F" w14:textId="77777777" w:rsidR="0026123B" w:rsidRDefault="00000000">
      <w:pPr>
        <w:pStyle w:val="ListParagraph"/>
        <w:numPr>
          <w:ilvl w:val="0"/>
          <w:numId w:val="2"/>
        </w:numPr>
        <w:spacing w:before="40" w:after="40"/>
      </w:pPr>
      <w:r>
        <w:t>Web Application Firewall: 7 WAF policies, all attached to Application Gateways and all Enabled with Azure Managed Rule Sets; 5 of 7 in Prevention mode (2 of those non-production) and 2 of 7 in Detection-only mode (1 of which is a production workload); 0 of 7 have custom rules; request body inspection enabled on 7/7.</w:t>
      </w:r>
    </w:p>
    <w:p w14:paraId="327CD876" w14:textId="77777777" w:rsidR="0026123B" w:rsidRDefault="00000000">
      <w:pPr>
        <w:pStyle w:val="ListParagraph"/>
        <w:numPr>
          <w:ilvl w:val="0"/>
          <w:numId w:val="2"/>
        </w:numPr>
        <w:spacing w:before="40" w:after="40"/>
      </w:pPr>
      <w:r>
        <w:t>Public IPs concentrated in Legacy/Decom subscriptions: CQC PRD VDC0 UKS holds 18 of 40; the single orphaned address sits in CQC-QA-RP-UKS; no subscription has any DDoS-protected Public IPs.</w:t>
      </w:r>
    </w:p>
    <w:p w14:paraId="7A88E6A1" w14:textId="77777777" w:rsidR="0026123B" w:rsidRDefault="00000000">
      <w:pPr>
        <w:spacing w:before="60" w:after="60"/>
      </w:pPr>
      <w:r>
        <w:rPr>
          <w:b/>
        </w:rPr>
        <w:t>Key risks</w:t>
      </w:r>
    </w:p>
    <w:p w14:paraId="71049E6E" w14:textId="77777777" w:rsidR="0026123B" w:rsidRDefault="00000000">
      <w:pPr>
        <w:pStyle w:val="ListParagraph"/>
        <w:numPr>
          <w:ilvl w:val="0"/>
          <w:numId w:val="2"/>
        </w:numPr>
        <w:spacing w:before="40" w:after="40"/>
      </w:pPr>
      <w:r>
        <w:t>A volumetric or protocol-level DDoS attack against a CQC service could not be detected, scoped or evidenced, as 0 of 40 Public IPs have managed protection - a significant resilience gap for a public-facing regulator.</w:t>
      </w:r>
    </w:p>
    <w:p w14:paraId="593ECA2F" w14:textId="77777777" w:rsidR="0026123B" w:rsidRDefault="00000000">
      <w:pPr>
        <w:pStyle w:val="ListParagraph"/>
        <w:numPr>
          <w:ilvl w:val="0"/>
          <w:numId w:val="2"/>
        </w:numPr>
        <w:spacing w:before="40" w:after="40"/>
      </w:pPr>
      <w:r>
        <w:t>6 virtual machines are directly exposed to the internet via NIC Public IPs with no Layer 7 inspection, presenting a Priority 1 - Critical attack surface.</w:t>
      </w:r>
    </w:p>
    <w:p w14:paraId="58DF6063" w14:textId="77777777" w:rsidR="0026123B" w:rsidRDefault="00000000">
      <w:pPr>
        <w:pStyle w:val="ListParagraph"/>
        <w:numPr>
          <w:ilvl w:val="0"/>
          <w:numId w:val="2"/>
        </w:numPr>
        <w:spacing w:before="40" w:after="40"/>
      </w:pPr>
      <w:r>
        <w:t>All 4 firewalls lack TLS inspection and IDPS, so internet-bound egress and encrypted traffic leave the estate uninspected.</w:t>
      </w:r>
    </w:p>
    <w:p w14:paraId="0C81A4B6" w14:textId="77777777" w:rsidR="0026123B" w:rsidRDefault="00000000">
      <w:pPr>
        <w:pStyle w:val="ListParagraph"/>
        <w:numPr>
          <w:ilvl w:val="0"/>
          <w:numId w:val="2"/>
        </w:numPr>
        <w:spacing w:before="40" w:after="40"/>
      </w:pPr>
      <w:r>
        <w:t>Basic-SKU Public IPs face Microsoft's announced retirement deadline and will become unsupported if not migrated to Standard SKU in time; the count needs reconciling (health check: 2; HCAF scorecard: 5) before remediation scoping.</w:t>
      </w:r>
    </w:p>
    <w:p w14:paraId="64989F6D" w14:textId="77777777" w:rsidR="0026123B" w:rsidRDefault="00000000">
      <w:pPr>
        <w:pStyle w:val="ListParagraph"/>
        <w:numPr>
          <w:ilvl w:val="0"/>
          <w:numId w:val="2"/>
        </w:numPr>
        <w:spacing w:before="40" w:after="40"/>
      </w:pPr>
      <w:r>
        <w:t>No firewall is zone-redundant (0/4, rated High), leaving the egress path without resilience; 1 production WAF policy runs in detection-only mode (logging but not blocking attacks) and 0/7 policies have custom rules.</w:t>
      </w:r>
    </w:p>
    <w:p w14:paraId="4E28F31C" w14:textId="77777777" w:rsidR="0026123B" w:rsidRDefault="00000000">
      <w:pPr>
        <w:spacing w:before="60" w:after="60"/>
      </w:pPr>
      <w:r>
        <w:rPr>
          <w:b/>
        </w:rPr>
        <w:t>Priority recommendations</w:t>
      </w:r>
    </w:p>
    <w:p w14:paraId="14036333" w14:textId="77777777" w:rsidR="0026123B" w:rsidRDefault="00000000">
      <w:pPr>
        <w:pStyle w:val="ListParagraph"/>
        <w:numPr>
          <w:ilvl w:val="0"/>
          <w:numId w:val="2"/>
        </w:numPr>
        <w:spacing w:before="40" w:after="40"/>
      </w:pPr>
      <w:r>
        <w:t>Enable DDoS Network Protection: apply an Azure DDoS Network Protection plan to the virtual networks hosting internet-facing services, prioritising those fronting CQC's public Application Gateways and Public IPs; configure per-resource alerting and attack telemetry so attacks can be detected, scoped and evidenced.</w:t>
      </w:r>
    </w:p>
    <w:p w14:paraId="61014FD3" w14:textId="77777777" w:rsidR="0026123B" w:rsidRDefault="00000000">
      <w:pPr>
        <w:pStyle w:val="ListParagraph"/>
        <w:numPr>
          <w:ilvl w:val="0"/>
          <w:numId w:val="2"/>
        </w:numPr>
        <w:spacing w:before="40" w:after="40"/>
      </w:pPr>
      <w:r>
        <w:t>Rationalise the Public IP estate: migrate the remaining Basic SKU addresses to Standard ahead of Microsoft's retirement deadline (confirm the exact count - health check records 2, scorecard records 5), release the 1 unassociated address to remove idle cost, and enforce Standard SKU on new Public IPs through Azure Policy.</w:t>
      </w:r>
    </w:p>
    <w:p w14:paraId="0A60499E" w14:textId="77777777" w:rsidR="0026123B" w:rsidRDefault="00000000">
      <w:pPr>
        <w:pStyle w:val="ListParagraph"/>
        <w:numPr>
          <w:ilvl w:val="0"/>
          <w:numId w:val="2"/>
        </w:numPr>
        <w:spacing w:before="40" w:after="40"/>
      </w:pPr>
      <w:r>
        <w:t>Upgrade the hub firewall to Premium: move the egress-path hub firewall to Premium tier to enable IDPS and TLS inspection, adopting zone redundancy at the same time; evaluate the remaining Standard-tier instances against measured egress traffic before further Premium upgrades; and, if the inline-rules finding is confirmed, migrate to modern Firewall Policy rules.</w:t>
      </w:r>
    </w:p>
    <w:p w14:paraId="2AF4DE75" w14:textId="77777777" w:rsidR="0026123B" w:rsidRDefault="00000000">
      <w:pPr>
        <w:pStyle w:val="ListParagraph"/>
        <w:numPr>
          <w:ilvl w:val="0"/>
          <w:numId w:val="2"/>
        </w:numPr>
        <w:spacing w:before="40" w:after="40"/>
      </w:pPr>
      <w:r>
        <w:t>Remove direct VM Public IP exposure: remove the 6 Public IPs attached directly to VM network interfaces and route inbound traffic through the Application Gateway and firewall so all internet-facing access passes through Layer 7 inspection.</w:t>
      </w:r>
    </w:p>
    <w:p w14:paraId="0F0700DA" w14:textId="77777777" w:rsidR="0026123B" w:rsidRDefault="00000000">
      <w:pPr>
        <w:pStyle w:val="ListParagraph"/>
        <w:numPr>
          <w:ilvl w:val="0"/>
          <w:numId w:val="2"/>
        </w:numPr>
        <w:spacing w:before="40" w:after="40"/>
      </w:pPr>
      <w:r>
        <w:t>Strengthen the WAF layer: move the 1 production workload out of Detection-only mode into Prevention, and add custom rules (currently 0 of 7 policies) to supplement the default Azure Managed Rule Sets.</w:t>
      </w:r>
    </w:p>
    <w:p w14:paraId="1AB87693" w14:textId="77777777" w:rsidR="0026123B" w:rsidRDefault="00000000">
      <w:pPr>
        <w:pStyle w:val="Heading2"/>
      </w:pPr>
      <w:bookmarkStart w:id="20" w:name="_Toc235173319"/>
      <w:r>
        <w:t>6.5 Secret &amp; Key Management</w:t>
      </w:r>
      <w:bookmarkEnd w:id="20"/>
    </w:p>
    <w:p w14:paraId="31A9B4E7" w14:textId="77777777" w:rsidR="0026123B" w:rsidRDefault="00000000">
      <w:pPr>
        <w:spacing w:before="60" w:after="60"/>
      </w:pPr>
      <w:r>
        <w:rPr>
          <w:b/>
        </w:rPr>
        <w:t>Current maturity: Initial (1) → Managed</w:t>
      </w:r>
    </w:p>
    <w:p w14:paraId="568DD10B" w14:textId="77777777" w:rsidR="0026123B" w:rsidRDefault="00000000">
      <w:pPr>
        <w:spacing w:before="60" w:after="60"/>
      </w:pPr>
      <w:r>
        <w:t xml:space="preserve">CQC operates a large Key Vault estate of 118 vaults concentrated in the legacy VDC subscriptions and pre-platform workloads. The estate is recoverable but exposed: Soft Delete is enabled on all 118 vaults, </w:t>
      </w:r>
      <w:r>
        <w:lastRenderedPageBreak/>
        <w:t>yet 107 allow public network access, 86 still use the legacy Access Policy model, and diagnostic logging is configured on 0 vaults. Secret management behaves as "internet-reachable by default", while the new-world platform vaults are already configured correctly, so the target pattern exists and the work is to extend it across the legacy footprint.</w:t>
      </w:r>
    </w:p>
    <w:p w14:paraId="199965A5" w14:textId="77777777" w:rsidR="0026123B" w:rsidRDefault="00000000">
      <w:pPr>
        <w:spacing w:before="60" w:after="60"/>
      </w:pPr>
      <w:r>
        <w:rPr>
          <w:b/>
        </w:rPr>
        <w:t>Key findings</w:t>
      </w:r>
    </w:p>
    <w:p w14:paraId="2CDD2BD5" w14:textId="77777777" w:rsidR="0026123B" w:rsidRDefault="00000000">
      <w:pPr>
        <w:pStyle w:val="ListParagraph"/>
        <w:numPr>
          <w:ilvl w:val="0"/>
          <w:numId w:val="2"/>
        </w:numPr>
        <w:spacing w:before="40" w:after="40"/>
      </w:pPr>
      <w:r>
        <w:t>Public exposure is high: 107 of 118 Key Vaults allow public network access, and only 29 have Private Endpoint coverage, giving a large attack surface even where RBAC and firewall rules limit who can authenticate.</w:t>
      </w:r>
    </w:p>
    <w:p w14:paraId="3BE74965" w14:textId="77777777" w:rsidR="0026123B" w:rsidRDefault="00000000">
      <w:pPr>
        <w:pStyle w:val="ListParagraph"/>
        <w:numPr>
          <w:ilvl w:val="0"/>
          <w:numId w:val="2"/>
        </w:numPr>
        <w:spacing w:before="40" w:after="40"/>
      </w:pPr>
      <w:r>
        <w:t>Legacy Access Policies persist: 86 of 118 vaults still use the legacy Access Policy authorisation model rather than RBAC; only 32 vaults have RBAC Authorisation enabled.</w:t>
      </w:r>
    </w:p>
    <w:p w14:paraId="32F77851" w14:textId="77777777" w:rsidR="0026123B" w:rsidRDefault="00000000">
      <w:pPr>
        <w:pStyle w:val="ListParagraph"/>
        <w:numPr>
          <w:ilvl w:val="0"/>
          <w:numId w:val="2"/>
        </w:numPr>
        <w:spacing w:before="40" w:after="40"/>
      </w:pPr>
      <w:r>
        <w:t>Purge Protection gap: 66 vaults do not have Purge Protection enabled (52 of 118 enabled), so soft-deleted secrets can be permanently purged before the recovery window expires, undermining Soft Delete.</w:t>
      </w:r>
    </w:p>
    <w:p w14:paraId="5ACF7FFC" w14:textId="77777777" w:rsidR="0026123B" w:rsidRDefault="00000000">
      <w:pPr>
        <w:pStyle w:val="ListParagraph"/>
        <w:numPr>
          <w:ilvl w:val="0"/>
          <w:numId w:val="2"/>
        </w:numPr>
        <w:spacing w:before="40" w:after="40"/>
      </w:pPr>
      <w:r>
        <w:t>Diagnostic Settings Configured is 0 of 118 vaults (rated High), leaving limited forensic capability if a secret is leaked or misused.</w:t>
      </w:r>
    </w:p>
    <w:p w14:paraId="656DC81A" w14:textId="77777777" w:rsidR="0026123B" w:rsidRDefault="00000000">
      <w:pPr>
        <w:pStyle w:val="ListParagraph"/>
        <w:numPr>
          <w:ilvl w:val="0"/>
          <w:numId w:val="2"/>
        </w:numPr>
        <w:spacing w:before="40" w:after="40"/>
      </w:pPr>
      <w:r>
        <w:t>Soft Delete is enabled on all 118 vaults - the one control consistent across the estate, giving a recoverable position even where everything else is misconfigured.</w:t>
      </w:r>
    </w:p>
    <w:p w14:paraId="3FA27A51" w14:textId="77777777" w:rsidR="0026123B" w:rsidRDefault="00000000">
      <w:pPr>
        <w:pStyle w:val="ListParagraph"/>
        <w:numPr>
          <w:ilvl w:val="0"/>
          <w:numId w:val="2"/>
        </w:numPr>
        <w:spacing w:before="40" w:after="40"/>
      </w:pPr>
      <w:r>
        <w:t>ARM Deployment (enabledForDeployment) is enabled on 49 vaults and Template Deployment (enabledForTemplateDeployment) on 49 vaults, both rated Medium risk.</w:t>
      </w:r>
    </w:p>
    <w:p w14:paraId="573B4C57" w14:textId="77777777" w:rsidR="0026123B" w:rsidRDefault="00000000">
      <w:pPr>
        <w:pStyle w:val="ListParagraph"/>
        <w:numPr>
          <w:ilvl w:val="0"/>
          <w:numId w:val="2"/>
        </w:numPr>
        <w:spacing w:before="40" w:after="40"/>
      </w:pPr>
      <w:r>
        <w:t>The largest concentration is CQC PRD VDC0 UKS (Production) with 16 vaults: 12 public, all 16 with no Private Endpoint, and only 3 with Purge Protection enabled.</w:t>
      </w:r>
    </w:p>
    <w:p w14:paraId="18EC9A6C" w14:textId="77777777" w:rsidR="0026123B" w:rsidRDefault="00000000">
      <w:pPr>
        <w:pStyle w:val="ListParagraph"/>
        <w:numPr>
          <w:ilvl w:val="0"/>
          <w:numId w:val="2"/>
        </w:numPr>
        <w:spacing w:before="40" w:after="40"/>
      </w:pPr>
      <w:r>
        <w:t>Where RBAC is in use, scope is frequently set at subscription or management-group level rather than the individual vault, over-granting access beyond the vault that needs it.</w:t>
      </w:r>
    </w:p>
    <w:p w14:paraId="47ECDB87" w14:textId="77777777" w:rsidR="0026123B" w:rsidRDefault="00000000">
      <w:pPr>
        <w:pStyle w:val="ListParagraph"/>
        <w:numPr>
          <w:ilvl w:val="0"/>
          <w:numId w:val="2"/>
        </w:numPr>
        <w:spacing w:before="40" w:after="40"/>
      </w:pPr>
      <w:r>
        <w:t>A Production Key Vault was observed with virtual-network links to both development and production environments, breaking the environment boundary that policy is trying to enforce.</w:t>
      </w:r>
    </w:p>
    <w:p w14:paraId="64AEB005" w14:textId="77777777" w:rsidR="0026123B" w:rsidRDefault="00000000">
      <w:pPr>
        <w:spacing w:before="60" w:after="60"/>
      </w:pPr>
      <w:r>
        <w:rPr>
          <w:b/>
        </w:rPr>
        <w:t>Key risks</w:t>
      </w:r>
    </w:p>
    <w:p w14:paraId="1CA391D3" w14:textId="77777777" w:rsidR="0026123B" w:rsidRDefault="00000000">
      <w:pPr>
        <w:pStyle w:val="ListParagraph"/>
        <w:numPr>
          <w:ilvl w:val="0"/>
          <w:numId w:val="2"/>
        </w:numPr>
        <w:spacing w:before="40" w:after="40"/>
      </w:pPr>
      <w:r>
        <w:t>107 of 118 vaults being internet-reachable by default (only 29 with Private Endpoints) exposes production and pre-production secrets with the same exposure as development vaults and no consistent network boundary.</w:t>
      </w:r>
    </w:p>
    <w:p w14:paraId="4A1E159B" w14:textId="77777777" w:rsidR="0026123B" w:rsidRDefault="00000000">
      <w:pPr>
        <w:pStyle w:val="ListParagraph"/>
        <w:numPr>
          <w:ilvl w:val="0"/>
          <w:numId w:val="2"/>
        </w:numPr>
        <w:spacing w:before="40" w:after="40"/>
      </w:pPr>
      <w:r>
        <w:t>66 vaults without Purge Protection allow a soft-deleted secret to be permanently purged before the recovery window expires, creating a credible insider-threat or compromised-identity attack vector.</w:t>
      </w:r>
    </w:p>
    <w:p w14:paraId="7F2FBFDC" w14:textId="77777777" w:rsidR="0026123B" w:rsidRDefault="00000000">
      <w:pPr>
        <w:pStyle w:val="ListParagraph"/>
        <w:numPr>
          <w:ilvl w:val="0"/>
          <w:numId w:val="2"/>
        </w:numPr>
        <w:spacing w:before="40" w:after="40"/>
      </w:pPr>
      <w:r>
        <w:t>0 vaults with diagnostic settings configured means there is no audit trail or forensic capability to detect or investigate a leaked or misused secret.</w:t>
      </w:r>
    </w:p>
    <w:p w14:paraId="65E051FB" w14:textId="77777777" w:rsidR="0026123B" w:rsidRDefault="00000000">
      <w:pPr>
        <w:pStyle w:val="ListParagraph"/>
        <w:numPr>
          <w:ilvl w:val="0"/>
          <w:numId w:val="2"/>
        </w:numPr>
        <w:spacing w:before="40" w:after="40"/>
      </w:pPr>
      <w:r>
        <w:t>86 of 118 vaults on legacy Access Policies sit outside central identity governance and cannot enforce Conditional Access, integrate with PIM, or provide centralised auditing.</w:t>
      </w:r>
    </w:p>
    <w:p w14:paraId="69B5FC26" w14:textId="77777777" w:rsidR="0026123B" w:rsidRDefault="00000000">
      <w:pPr>
        <w:pStyle w:val="ListParagraph"/>
        <w:numPr>
          <w:ilvl w:val="0"/>
          <w:numId w:val="2"/>
        </w:numPr>
        <w:spacing w:before="40" w:after="40"/>
      </w:pPr>
      <w:r>
        <w:t>The cross-environment Production Key Vault with links to both dev and production breaks the environment boundary, allowing a lower-trust environment a path to production secrets.</w:t>
      </w:r>
    </w:p>
    <w:p w14:paraId="05972236" w14:textId="77777777" w:rsidR="0026123B" w:rsidRDefault="00000000">
      <w:pPr>
        <w:spacing w:before="60" w:after="60"/>
      </w:pPr>
      <w:r>
        <w:rPr>
          <w:b/>
        </w:rPr>
        <w:t>Priority recommendations</w:t>
      </w:r>
    </w:p>
    <w:p w14:paraId="12083462" w14:textId="77777777" w:rsidR="0026123B" w:rsidRDefault="00000000">
      <w:pPr>
        <w:pStyle w:val="ListParagraph"/>
        <w:numPr>
          <w:ilvl w:val="0"/>
          <w:numId w:val="2"/>
        </w:numPr>
        <w:spacing w:before="40" w:after="40"/>
      </w:pPr>
      <w:r>
        <w:t>Disable Public Network Access: set public network access to disabled on all production and pre-production vaults and front them with either Private Endpoints or isolated Vnets, enforcing the control through Azure Policy so new vaults are created closed by default.</w:t>
      </w:r>
    </w:p>
    <w:p w14:paraId="5FCE4102" w14:textId="77777777" w:rsidR="0026123B" w:rsidRDefault="00000000">
      <w:pPr>
        <w:pStyle w:val="ListParagraph"/>
        <w:numPr>
          <w:ilvl w:val="0"/>
          <w:numId w:val="2"/>
        </w:numPr>
        <w:spacing w:before="40" w:after="40"/>
      </w:pPr>
      <w:r>
        <w:t>Migrate to RBAC Authorisation: move the vaults on legacy Access Policies to RBAC, scoped at the individual vault rather than the subscription or management group, bringing vault access under Conditional Access and PIM.</w:t>
      </w:r>
    </w:p>
    <w:p w14:paraId="06A0C66B" w14:textId="77777777" w:rsidR="0026123B" w:rsidRDefault="00000000">
      <w:pPr>
        <w:pStyle w:val="ListParagraph"/>
        <w:numPr>
          <w:ilvl w:val="0"/>
          <w:numId w:val="2"/>
        </w:numPr>
        <w:spacing w:before="40" w:after="40"/>
      </w:pPr>
      <w:r>
        <w:t>Close the Resilience Gap: enable Purge Protection on higher environments and configure diagnostic settings on all vaults so secret access is logged and auditable.</w:t>
      </w:r>
    </w:p>
    <w:p w14:paraId="60E89E6E" w14:textId="77777777" w:rsidR="0026123B" w:rsidRDefault="00000000">
      <w:pPr>
        <w:pStyle w:val="ListParagraph"/>
        <w:numPr>
          <w:ilvl w:val="0"/>
          <w:numId w:val="2"/>
        </w:numPr>
        <w:spacing w:before="40" w:after="40"/>
      </w:pPr>
      <w:r>
        <w:t>Resolve the Shared Vault: remove or isolate the cross-environment vault so the development and production boundary is restored, retaining a dedicated shared certificate vault only where there is a documented need.</w:t>
      </w:r>
    </w:p>
    <w:p w14:paraId="5712DE91" w14:textId="77777777" w:rsidR="0026123B" w:rsidRDefault="00000000">
      <w:pPr>
        <w:pStyle w:val="Heading2"/>
      </w:pPr>
      <w:bookmarkStart w:id="21" w:name="_Toc235173320"/>
      <w:r>
        <w:lastRenderedPageBreak/>
        <w:t>6.6 Platform Operations &amp; Observability</w:t>
      </w:r>
      <w:bookmarkEnd w:id="21"/>
    </w:p>
    <w:p w14:paraId="09F13D24" w14:textId="77777777" w:rsidR="0026123B" w:rsidRDefault="00000000">
      <w:pPr>
        <w:spacing w:before="60" w:after="60"/>
      </w:pPr>
      <w:r>
        <w:rPr>
          <w:b/>
        </w:rPr>
        <w:t>Current maturity: Initial (1) → Defined</w:t>
      </w:r>
    </w:p>
    <w:p w14:paraId="06C3471A" w14:textId="77777777" w:rsidR="0026123B" w:rsidRDefault="00000000">
      <w:pPr>
        <w:spacing w:before="60" w:after="60"/>
      </w:pPr>
      <w:r>
        <w:t>The platform has the components of an observability fabric in place — 296 monitoring resources, 547 alert rules, 110 action groups, 20 Recovery Services Vaults and 53 shared dashboards — but the fabric is fragmented, telemetry volume is high while operational usability is low, and the notification path stops short of ITSM. There is no single Log Analytics workspace and no single dashboard; the data plane is fragmented across 48 workspaces (85 counted in the footprint table) and 41% of registered backup items are not being actively protected. Alerts and action groups are duplicated, disabled or routed inconsistently, and Defender/Sentinel inherit the blind spots of this fragmented foundation.</w:t>
      </w:r>
    </w:p>
    <w:p w14:paraId="0C8B6CB1" w14:textId="77777777" w:rsidR="0026123B" w:rsidRDefault="00000000">
      <w:pPr>
        <w:spacing w:before="60" w:after="60"/>
      </w:pPr>
      <w:r>
        <w:rPr>
          <w:b/>
        </w:rPr>
        <w:t>Key findings</w:t>
      </w:r>
    </w:p>
    <w:p w14:paraId="5BD57746" w14:textId="77777777" w:rsidR="0026123B" w:rsidRDefault="00000000">
      <w:pPr>
        <w:pStyle w:val="ListParagraph"/>
        <w:numPr>
          <w:ilvl w:val="0"/>
          <w:numId w:val="2"/>
        </w:numPr>
        <w:spacing w:before="40" w:after="40"/>
      </w:pPr>
      <w:r>
        <w:t>Fragmented data plane: monitoring data plane spread across 48 workspaces (85 Log Analytics Workspaces in the footprint table, rated Medium risk), largest workspace anl-vdc0-hubuks holds 63 resources, and no workspace retains data beyond 90 days — below the typical 12-month audit standard; a significant proportion of the 211 Application Insights components are not linked to any workspace, creating data islands invisible to the SOC.</w:t>
      </w:r>
    </w:p>
    <w:p w14:paraId="274DA261" w14:textId="77777777" w:rsidR="0026123B" w:rsidRDefault="00000000">
      <w:pPr>
        <w:pStyle w:val="ListParagraph"/>
        <w:numPr>
          <w:ilvl w:val="0"/>
          <w:numId w:val="2"/>
        </w:numPr>
        <w:spacing w:before="40" w:after="40"/>
      </w:pPr>
      <w:r>
        <w:t>Retention below policy: default retention is 30 days on most production workspaces (below the organisation's own 90-day policy); of resources, 221 are at 90-day, 68 at 30-day (Medium), 1 at 7-day (High), and only 6 at &gt;=90-day retention (5 at 1 year, 1 at 2 years); ingestion cost outweighs retention by roughly 10x.</w:t>
      </w:r>
    </w:p>
    <w:p w14:paraId="685B36EE" w14:textId="77777777" w:rsidR="0026123B" w:rsidRDefault="00000000">
      <w:pPr>
        <w:pStyle w:val="ListParagraph"/>
        <w:numPr>
          <w:ilvl w:val="0"/>
          <w:numId w:val="2"/>
        </w:numPr>
        <w:spacing w:before="40" w:after="40"/>
      </w:pPr>
      <w:r>
        <w:t>Alerting gaps: 56 of 397 metric rules are disabled with no record of why, 11 metric rules have no action group attached (they log but never notify), and only 27 of 150 activity log alerts cover Service Health; high-severity alerts dominate with no graduated escalation model, producing alert fatigue.</w:t>
      </w:r>
    </w:p>
    <w:p w14:paraId="0E57448C" w14:textId="77777777" w:rsidR="0026123B" w:rsidRDefault="00000000">
      <w:pPr>
        <w:pStyle w:val="ListParagraph"/>
        <w:numPr>
          <w:ilvl w:val="0"/>
          <w:numId w:val="2"/>
        </w:numPr>
        <w:spacing w:before="40" w:after="40"/>
      </w:pPr>
      <w:r>
        <w:t>Notification stops short of ITSM: ServiceNow is reached via raw/generic webhooks rather than the native Azure ITSM connector (weakening schema mapping and removing round-trip acknowledgement), 8 action groups have no receivers, and 10 of 33 email targets are external or personal mailboxes; some action groups point to single individuals with no holiday/sickness cover.</w:t>
      </w:r>
    </w:p>
    <w:p w14:paraId="44ED5A8B" w14:textId="77777777" w:rsidR="0026123B" w:rsidRDefault="00000000">
      <w:pPr>
        <w:pStyle w:val="ListParagraph"/>
        <w:numPr>
          <w:ilvl w:val="0"/>
          <w:numId w:val="2"/>
        </w:numPr>
        <w:spacing w:before="40" w:after="40"/>
      </w:pPr>
      <w:r>
        <w:t>Backup exposure: across 20 Recovery Services Vaults, 41% of registered backup items are not being actively protected.</w:t>
      </w:r>
    </w:p>
    <w:p w14:paraId="60B75C5D" w14:textId="77777777" w:rsidR="0026123B" w:rsidRDefault="00000000">
      <w:pPr>
        <w:pStyle w:val="ListParagraph"/>
        <w:numPr>
          <w:ilvl w:val="0"/>
          <w:numId w:val="2"/>
        </w:numPr>
        <w:spacing w:before="40" w:after="40"/>
      </w:pPr>
      <w:r>
        <w:t>Availability tests exist but most probe from too few locations to distinguish a real outage from a single-region probe failure, and cadence is too slow — giving worst-case detection latency of nearly half an hour; of 30 Web Tests, 26 are on production.</w:t>
      </w:r>
    </w:p>
    <w:p w14:paraId="755F3BC4" w14:textId="77777777" w:rsidR="0026123B" w:rsidRDefault="00000000">
      <w:pPr>
        <w:pStyle w:val="ListParagraph"/>
        <w:numPr>
          <w:ilvl w:val="0"/>
          <w:numId w:val="2"/>
        </w:numPr>
        <w:spacing w:before="40" w:after="40"/>
      </w:pPr>
      <w:r>
        <w:t>Dashboards: 53 shared dashboards exist but over half carry only auto-generated names with no human-readable title, all are resource-centric rather than service-centric, appear not to be deployed via IaC, and there is no published 'front door' dashboard set per landing zone.</w:t>
      </w:r>
    </w:p>
    <w:p w14:paraId="6184C231" w14:textId="77777777" w:rsidR="0026123B" w:rsidRDefault="00000000">
      <w:pPr>
        <w:pStyle w:val="ListParagraph"/>
        <w:numPr>
          <w:ilvl w:val="0"/>
          <w:numId w:val="2"/>
        </w:numPr>
        <w:spacing w:before="40" w:after="40"/>
      </w:pPr>
      <w:r>
        <w:t>Security monitoring: Defender for Cloud is active on most subscriptions but a small number are entirely disabled and produce no signal; the majority of subscriptions score below 60% Secure Score, with outstanding high-severity recommendations led by permanent privileged roles, internet-exposed applications, and service principals with admin roles.</w:t>
      </w:r>
    </w:p>
    <w:p w14:paraId="3D1AB289" w14:textId="77777777" w:rsidR="0026123B" w:rsidRDefault="00000000">
      <w:pPr>
        <w:pStyle w:val="ListParagraph"/>
        <w:numPr>
          <w:ilvl w:val="0"/>
          <w:numId w:val="2"/>
        </w:numPr>
        <w:spacing w:before="40" w:after="40"/>
      </w:pPr>
      <w:r>
        <w:t>Operational integration: alerting is production-only (355 of 429 actioned alerts are on Prod, e.g. 107 of 110 App Services/Web+Function) with no non-prod test path; monitoring is infra-only with no business flows; MTTD and MTTR are not measured; the majority of resources have no diagnostic settings configured.</w:t>
      </w:r>
    </w:p>
    <w:p w14:paraId="443FF85A" w14:textId="77777777" w:rsidR="0026123B" w:rsidRDefault="00000000">
      <w:pPr>
        <w:spacing w:before="60" w:after="60"/>
      </w:pPr>
      <w:r>
        <w:rPr>
          <w:b/>
        </w:rPr>
        <w:t>Key risks</w:t>
      </w:r>
    </w:p>
    <w:p w14:paraId="65277294" w14:textId="77777777" w:rsidR="0026123B" w:rsidRDefault="00000000">
      <w:pPr>
        <w:pStyle w:val="ListParagraph"/>
        <w:numPr>
          <w:ilvl w:val="0"/>
          <w:numId w:val="2"/>
        </w:numPr>
        <w:spacing w:before="40" w:after="40"/>
      </w:pPr>
      <w:r>
        <w:t>Fragmented workspaces and unlinked Application Insights create SOC blind spots — Defender alerts cannot correlate against logs and forensic investigation is severely degraded where resources have no diagnostic settings.</w:t>
      </w:r>
    </w:p>
    <w:p w14:paraId="35638875" w14:textId="77777777" w:rsidR="0026123B" w:rsidRDefault="00000000">
      <w:pPr>
        <w:pStyle w:val="ListParagraph"/>
        <w:numPr>
          <w:ilvl w:val="0"/>
          <w:numId w:val="2"/>
        </w:numPr>
        <w:spacing w:before="40" w:after="40"/>
      </w:pPr>
      <w:r>
        <w:t>Retention below the 90-day policy (and below the 12-month audit standard), including 1 resource at 7-day retention, risks audit non-compliance and loss of forensic history; cutting retention without an ingestion contract is a false economy given ingestion costs ~10x retention.</w:t>
      </w:r>
    </w:p>
    <w:p w14:paraId="4676D189" w14:textId="77777777" w:rsidR="0026123B" w:rsidRDefault="00000000">
      <w:pPr>
        <w:pStyle w:val="ListParagraph"/>
        <w:numPr>
          <w:ilvl w:val="0"/>
          <w:numId w:val="2"/>
        </w:numPr>
        <w:spacing w:before="40" w:after="40"/>
      </w:pPr>
      <w:r>
        <w:lastRenderedPageBreak/>
        <w:t>41% of registered backup items being unprotected across 20 Recovery Services Vaults means data of high criticality may be unrecoverable in a DR event.</w:t>
      </w:r>
    </w:p>
    <w:p w14:paraId="57515739" w14:textId="77777777" w:rsidR="0026123B" w:rsidRDefault="00000000">
      <w:pPr>
        <w:pStyle w:val="ListParagraph"/>
        <w:numPr>
          <w:ilvl w:val="0"/>
          <w:numId w:val="2"/>
        </w:numPr>
        <w:spacing w:before="40" w:after="40"/>
      </w:pPr>
      <w:r>
        <w:t>Webhook-based ServiceNow integration, 8 receiverless action groups, 11 metric rules with no action group, and 10 of 33 external/personal email targets mean alerts fire into nothing or to individuals with no cover — signals do not reach an owner who can act.</w:t>
      </w:r>
    </w:p>
    <w:p w14:paraId="668C1978" w14:textId="77777777" w:rsidR="0026123B" w:rsidRDefault="00000000">
      <w:pPr>
        <w:pStyle w:val="ListParagraph"/>
        <w:numPr>
          <w:ilvl w:val="0"/>
          <w:numId w:val="2"/>
        </w:numPr>
        <w:spacing w:before="40" w:after="40"/>
      </w:pPr>
      <w:r>
        <w:t>Production-only, infra-only alerting with unmeasured MTTD/MTTR and no run/service teams overloads the central platform team with first-line triage and leaves most teams blind to Microsoft-declared (Service Health) incidents.</w:t>
      </w:r>
    </w:p>
    <w:p w14:paraId="27BA02C9" w14:textId="77777777" w:rsidR="0026123B" w:rsidRDefault="00000000">
      <w:pPr>
        <w:spacing w:before="60" w:after="60"/>
      </w:pPr>
      <w:r>
        <w:rPr>
          <w:b/>
        </w:rPr>
        <w:t>Priority recommendations</w:t>
      </w:r>
    </w:p>
    <w:p w14:paraId="2609ABF8" w14:textId="77777777" w:rsidR="0026123B" w:rsidRDefault="00000000">
      <w:pPr>
        <w:pStyle w:val="ListParagraph"/>
        <w:numPr>
          <w:ilvl w:val="0"/>
          <w:numId w:val="2"/>
        </w:numPr>
        <w:spacing w:before="40" w:after="40"/>
      </w:pPr>
      <w:r>
        <w:t>Consolidate the workspace estate: consolidate to a single PLZ-aligned hub workspace plus a Sentinel SOC workspace, deploy AMPLS, and retire legacy workspaces by attrition.</w:t>
      </w:r>
    </w:p>
    <w:p w14:paraId="5C16FF7E" w14:textId="77777777" w:rsidR="0026123B" w:rsidRDefault="00000000">
      <w:pPr>
        <w:pStyle w:val="ListParagraph"/>
        <w:numPr>
          <w:ilvl w:val="0"/>
          <w:numId w:val="2"/>
        </w:numPr>
        <w:spacing w:before="40" w:after="40"/>
      </w:pPr>
      <w:r>
        <w:t>Set unified ingestion and retention standards: define an ingestion contract per workload tier and a single consistent retention model across all workspaces, using archive tiers where workload or compliance needs justify longer retention.</w:t>
      </w:r>
    </w:p>
    <w:p w14:paraId="795459AA" w14:textId="77777777" w:rsidR="0026123B" w:rsidRDefault="00000000">
      <w:pPr>
        <w:pStyle w:val="ListParagraph"/>
        <w:numPr>
          <w:ilvl w:val="0"/>
          <w:numId w:val="2"/>
        </w:numPr>
        <w:spacing w:before="40" w:after="40"/>
      </w:pPr>
      <w:r>
        <w:t>Adopt AMBA (Azure Monitor Baseline Alerts)-aligned alert baselines per tier, enforce them via Azure Policy, and separate platform from application alerts.</w:t>
      </w:r>
    </w:p>
    <w:p w14:paraId="3400C73E" w14:textId="77777777" w:rsidR="0026123B" w:rsidRDefault="00000000">
      <w:pPr>
        <w:pStyle w:val="ListParagraph"/>
        <w:numPr>
          <w:ilvl w:val="0"/>
          <w:numId w:val="2"/>
        </w:numPr>
        <w:spacing w:before="40" w:after="40"/>
      </w:pPr>
      <w:r>
        <w:t>Fix alert routing: remove external and personal-mailbox recipients and route all production alerts to monitored CQC distribution lists.</w:t>
      </w:r>
    </w:p>
    <w:p w14:paraId="1CE8725D" w14:textId="77777777" w:rsidR="0026123B" w:rsidRDefault="00000000">
      <w:pPr>
        <w:pStyle w:val="ListParagraph"/>
        <w:numPr>
          <w:ilvl w:val="0"/>
          <w:numId w:val="2"/>
        </w:numPr>
        <w:spacing w:before="40" w:after="40"/>
      </w:pPr>
      <w:r>
        <w:t>Deploy a baseline Service Health alert per subscription via policy, since current coverage (27 of 150 activity log alerts) leaves most teams blind to Microsoft-declared incidents.</w:t>
      </w:r>
    </w:p>
    <w:p w14:paraId="1C780F49" w14:textId="77777777" w:rsidR="0026123B" w:rsidRDefault="00000000">
      <w:pPr>
        <w:pStyle w:val="ListParagraph"/>
        <w:numPr>
          <w:ilvl w:val="0"/>
          <w:numId w:val="2"/>
        </w:numPr>
        <w:spacing w:before="40" w:after="40"/>
      </w:pPr>
      <w:r>
        <w:t>Strengthen availability testing: implement Tier-1 multi-region availability testing chained to an action group and a ServiceNow incident; rationalise dashboards into IaC-deployed Workbooks.</w:t>
      </w:r>
    </w:p>
    <w:p w14:paraId="44EF3185" w14:textId="77777777" w:rsidR="0026123B" w:rsidRDefault="00000000">
      <w:pPr>
        <w:pStyle w:val="ListParagraph"/>
        <w:numPr>
          <w:ilvl w:val="0"/>
          <w:numId w:val="2"/>
        </w:numPr>
        <w:spacing w:before="40" w:after="40"/>
      </w:pPr>
      <w:r>
        <w:t>Publish a logging and monitoring standard owned by the security operations team.</w:t>
      </w:r>
    </w:p>
    <w:p w14:paraId="274B9887" w14:textId="77777777" w:rsidR="0026123B" w:rsidRDefault="00000000">
      <w:pPr>
        <w:pStyle w:val="ListParagraph"/>
        <w:numPr>
          <w:ilvl w:val="0"/>
          <w:numId w:val="2"/>
        </w:numPr>
        <w:spacing w:before="40" w:after="40"/>
      </w:pPr>
      <w:r>
        <w:t>Establish Run and Service teams per domain with ownership tags and escalation SLAs, close the detection-to-resolution loop, and standardise ITSM integration by migrating from webhooks to the native ServiceNow Azure connector for bi-directional incident sync and reliable acknowledgement/resolution timestamps.</w:t>
      </w:r>
    </w:p>
    <w:p w14:paraId="1A274B63" w14:textId="77777777" w:rsidR="0026123B" w:rsidRDefault="00000000">
      <w:pPr>
        <w:pStyle w:val="Heading2"/>
      </w:pPr>
      <w:bookmarkStart w:id="22" w:name="_Toc235173321"/>
      <w:r>
        <w:t>6.7 Workloads — Application Services, Storage &amp; Compute</w:t>
      </w:r>
      <w:bookmarkEnd w:id="22"/>
    </w:p>
    <w:p w14:paraId="7083CE5B" w14:textId="77777777" w:rsidR="0026123B" w:rsidRDefault="00000000">
      <w:pPr>
        <w:spacing w:before="60" w:after="60"/>
      </w:pPr>
      <w:r>
        <w:rPr>
          <w:b/>
        </w:rPr>
        <w:t>Current maturity: App Services: Initial (1) → Defined · Storage: Developing (2) → Managed · Compute: Defined (3) → Managed</w:t>
      </w:r>
    </w:p>
    <w:p w14:paraId="0B907E82" w14:textId="77777777" w:rsidR="0026123B" w:rsidRDefault="00000000">
      <w:pPr>
        <w:spacing w:before="60" w:after="60"/>
      </w:pPr>
      <w:r>
        <w:t>The application-services estate is large, publicly exposed, and carries no platform authentication: 206 App Service Plans hosting 332 apps, 161 Function Apps, ~400 Logic Apps and 12 API Management instances, all sitting on the mg-cqc-legacy and mg-cqc-root management-group branches scheduled for retirement with 0 built under the live CQC target. Storage is the single largest source of security non-compliance, with 609 of 665 accounts (91.6%) failing at least one of four control checks. The compute estate (194 VMs) is strongly protected at the disk level (100% encryption) but weak on operational governance, tagging and backup posture. Transport-layer controls (HTTPS-only, TLS 1.2) are strong across the estate; identity and network-access controls are weak.</w:t>
      </w:r>
    </w:p>
    <w:p w14:paraId="41520809" w14:textId="77777777" w:rsidR="0026123B" w:rsidRDefault="00000000">
      <w:pPr>
        <w:spacing w:before="60" w:after="60"/>
      </w:pPr>
      <w:r>
        <w:rPr>
          <w:b/>
        </w:rPr>
        <w:t>Key findings</w:t>
      </w:r>
    </w:p>
    <w:p w14:paraId="030B0DB3" w14:textId="77777777" w:rsidR="0026123B" w:rsidRDefault="00000000">
      <w:pPr>
        <w:pStyle w:val="ListParagraph"/>
        <w:numPr>
          <w:ilvl w:val="0"/>
          <w:numId w:val="2"/>
        </w:numPr>
        <w:spacing w:before="40" w:after="40"/>
      </w:pPr>
      <w:r>
        <w:t>API Management: all 12 instances are publicly reachable with 0 authentication configured (4 Premium, 2 Basic, 6 Developer); 11 on mg-cqc-legacy, 1 on mg-cqc-root, 0 on the live CQC target; 5 of 12 have no VNet integration; the production Developer-SKU instance cqc-apim in CQC-INTEGRATIONSERVICES-PROD-UKS has no SLA and a single-unit cap - rated High.</w:t>
      </w:r>
    </w:p>
    <w:p w14:paraId="5A1949FE" w14:textId="77777777" w:rsidR="0026123B" w:rsidRDefault="00000000">
      <w:pPr>
        <w:pStyle w:val="ListParagraph"/>
        <w:numPr>
          <w:ilvl w:val="0"/>
          <w:numId w:val="2"/>
        </w:numPr>
        <w:spacing w:before="40" w:after="40"/>
      </w:pPr>
      <w:r>
        <w:t>Function Apps: 161 total with Easy Auth disabled on 161/161 (100%) and public access enabled on 158/161 (98.1%); only 3 apps restrict inbound (func-cost-export-otahyk7f, fa-prd-uksd365-fno, fa-prd-uks-leaverautomation-001); Private Endpoints on just 2/161 (1.2%), VNet integration 54/161 (33.5%), health check paths 0/161; HTTPS-only 161/161.</w:t>
      </w:r>
    </w:p>
    <w:p w14:paraId="1738776F" w14:textId="77777777" w:rsidR="0026123B" w:rsidRDefault="00000000">
      <w:pPr>
        <w:pStyle w:val="ListParagraph"/>
        <w:numPr>
          <w:ilvl w:val="0"/>
          <w:numId w:val="2"/>
        </w:numPr>
        <w:spacing w:before="40" w:after="40"/>
      </w:pPr>
      <w:r>
        <w:t xml:space="preserve">Logic Apps: 398 apps across two models (244 multi-tenant Consumption, 154 single-tenant Standard); Standard rated High - public network access enabled on 148/154, public inbound not restricted on 102/154, private endpoints only 2/154, managed identity 154/154; Consumption </w:t>
      </w:r>
      <w:r>
        <w:lastRenderedPageBreak/>
        <w:t>rated Medium - no managed identity on 201/244, 67/244 disabled. (Scope/deployment table lists 406 Consumption Logic Apps, 26 with a public HTTP trigger.)</w:t>
      </w:r>
    </w:p>
    <w:p w14:paraId="6C4AA5DA" w14:textId="77777777" w:rsidR="0026123B" w:rsidRDefault="00000000">
      <w:pPr>
        <w:pStyle w:val="ListParagraph"/>
        <w:numPr>
          <w:ilvl w:val="0"/>
          <w:numId w:val="2"/>
        </w:numPr>
        <w:spacing w:before="40" w:after="40"/>
      </w:pPr>
      <w:r>
        <w:t>App Service Plans: 206 plans (unusually high) - 197/206 (95.6%) on mg-cqc-legacy, 9 on mg-cqc-root, 0 on the live CQC target; Dynamic + WorkflowStandard shared/serverless tiers dominate at 132/206 (64.1%); all 38 Premium plans on legacy; 3 plans host no applications; 5 Basic plans have no VNet/autoscale/SLA.</w:t>
      </w:r>
    </w:p>
    <w:p w14:paraId="06C995CF" w14:textId="77777777" w:rsidR="0026123B" w:rsidRDefault="00000000">
      <w:pPr>
        <w:pStyle w:val="ListParagraph"/>
        <w:numPr>
          <w:ilvl w:val="0"/>
          <w:numId w:val="2"/>
        </w:numPr>
        <w:spacing w:before="40" w:after="40"/>
      </w:pPr>
      <w:r>
        <w:t>Storage: 665 accounts, 609/665 (91.6%) fail at least one of four controls; shared-key auth enabled on 468/665 (70.4%, only 197/29.6% restricted to Entra ID) - accounting for 394 of 609 non-compliant classifications; public network access = Allow on 386 (58.0%); anonymous blob access on 114/665 (17.1%); 54 accounts breach all three controls at once - rated Very High.</w:t>
      </w:r>
    </w:p>
    <w:p w14:paraId="7E84D22E" w14:textId="77777777" w:rsidR="0026123B" w:rsidRDefault="00000000">
      <w:pPr>
        <w:pStyle w:val="ListParagraph"/>
        <w:numPr>
          <w:ilvl w:val="0"/>
          <w:numId w:val="2"/>
        </w:numPr>
        <w:spacing w:before="40" w:after="40"/>
      </w:pPr>
      <w:r>
        <w:t>Storage transport/estate: HTTPS-only on 664/665 and TLS 1.2 floor on 661/665, but 4 accounts still permit TLS 1.0; 58 ADLS Gen2 (hierarchical-namespace) accounts, several holding analytical/adult-social-care data; 618 accounts (92.9%) on Hot tier, 0 on Archive; 98% in UK South; storage spend £21.8K/month; 5 subscriptions hold 285/665 accounts (42.9%).</w:t>
      </w:r>
    </w:p>
    <w:p w14:paraId="48802074" w14:textId="77777777" w:rsidR="0026123B" w:rsidRDefault="00000000">
      <w:pPr>
        <w:pStyle w:val="ListParagraph"/>
        <w:numPr>
          <w:ilvl w:val="0"/>
          <w:numId w:val="2"/>
        </w:numPr>
        <w:spacing w:before="40" w:after="40"/>
      </w:pPr>
      <w:r>
        <w:t>Compute security: 194 VMs with OS disk encryption on 194/194 (100%, the estate's strongest signal); only 5/194 (2.6%) publicly accessible; 162 VMs have no NIC-level NSG; 46/194 lack Boot Diagnostics.</w:t>
      </w:r>
    </w:p>
    <w:p w14:paraId="7669D1C9" w14:textId="77777777" w:rsidR="0026123B" w:rsidRDefault="00000000">
      <w:pPr>
        <w:pStyle w:val="ListParagraph"/>
        <w:numPr>
          <w:ilvl w:val="0"/>
          <w:numId w:val="2"/>
        </w:numPr>
        <w:spacing w:before="40" w:after="40"/>
      </w:pPr>
      <w:r>
        <w:t>Compute cost/modernisation: 55 legacy VMs (24 v2, 30 v3, 1 v4) ripe for modernisation to v5 (v5 offers 15-30% better price-performance); 104/194 are Burstable B-series; 3 VMs flagged oversized; 184/194 VMs concentrated in the four VDC subscriptions.</w:t>
      </w:r>
    </w:p>
    <w:p w14:paraId="54A20F71" w14:textId="77777777" w:rsidR="0026123B" w:rsidRDefault="00000000">
      <w:pPr>
        <w:pStyle w:val="ListParagraph"/>
        <w:numPr>
          <w:ilvl w:val="0"/>
          <w:numId w:val="2"/>
        </w:numPr>
        <w:spacing w:before="40" w:after="40"/>
      </w:pPr>
      <w:r>
        <w:t>Compute governance: VMTier = 'Unknown' on 154/194 VMs (only 2 tagged Production); backups show 158 Suspended, 32 Protection Stopped, 45 Unhealthy last-backup and 4 Failed; all 20 Recovery Services Vaults have Cross-Region Restore = Disabled; only 124/194 VMs run supported operating systems.</w:t>
      </w:r>
    </w:p>
    <w:p w14:paraId="683752F7" w14:textId="77777777" w:rsidR="0026123B" w:rsidRDefault="00000000">
      <w:pPr>
        <w:spacing w:before="60" w:after="60"/>
      </w:pPr>
      <w:r>
        <w:rPr>
          <w:b/>
        </w:rPr>
        <w:t>Key risks</w:t>
      </w:r>
    </w:p>
    <w:p w14:paraId="2D76C3AB" w14:textId="77777777" w:rsidR="0026123B" w:rsidRDefault="00000000">
      <w:pPr>
        <w:pStyle w:val="ListParagraph"/>
        <w:numPr>
          <w:ilvl w:val="0"/>
          <w:numId w:val="2"/>
        </w:numPr>
        <w:spacing w:before="40" w:after="40"/>
      </w:pPr>
      <w:r>
        <w:t>Unauthenticated, publicly reachable API Management gateway (12/12 public, 0 auth) is the estate's highest-priority application security gap and the most direct path to data exfiltration through CQC's primary external integration surface.</w:t>
      </w:r>
    </w:p>
    <w:p w14:paraId="403D4D37" w14:textId="77777777" w:rsidR="0026123B" w:rsidRDefault="00000000">
      <w:pPr>
        <w:pStyle w:val="ListParagraph"/>
        <w:numPr>
          <w:ilvl w:val="0"/>
          <w:numId w:val="2"/>
        </w:numPr>
        <w:spacing w:before="40" w:after="40"/>
      </w:pPr>
      <w:r>
        <w:t>Function App estate is an open door: 158/161 public with 0 platform authentication, access depending entirely on long-lived function keys with no conditional access and no audit trail; 0/161 have health-check paths for liveness detection.</w:t>
      </w:r>
    </w:p>
    <w:p w14:paraId="0AC80582" w14:textId="77777777" w:rsidR="0026123B" w:rsidRDefault="00000000">
      <w:pPr>
        <w:pStyle w:val="ListParagraph"/>
        <w:numPr>
          <w:ilvl w:val="0"/>
          <w:numId w:val="2"/>
        </w:numPr>
        <w:spacing w:before="40" w:after="40"/>
      </w:pPr>
      <w:r>
        <w:t>54 storage accounts breach all three controls (public network + shared-key + anonymous blob) simultaneously - the most critical exposure in the assessment - and include ADLS Gen2 accounts (e.g. datalakevdc2dev, dlsprdasctempdata) holding adult-social-care and sensitive data.</w:t>
      </w:r>
    </w:p>
    <w:p w14:paraId="36880D7D" w14:textId="77777777" w:rsidR="0026123B" w:rsidRDefault="00000000">
      <w:pPr>
        <w:pStyle w:val="ListParagraph"/>
        <w:numPr>
          <w:ilvl w:val="0"/>
          <w:numId w:val="2"/>
        </w:numPr>
        <w:spacing w:before="40" w:after="40"/>
      </w:pPr>
      <w:r>
        <w:t>The entire Application Services, Logic Apps, APIM and App Service Plan footprint sits on retiring mg-cqc-legacy / mg-cqc-root branches with 0 built under the live CQC target - every workload must be migrated or rebuilt before those branches are decommissioned.</w:t>
      </w:r>
    </w:p>
    <w:p w14:paraId="1C7A5645" w14:textId="77777777" w:rsidR="0026123B" w:rsidRDefault="00000000">
      <w:pPr>
        <w:pStyle w:val="ListParagraph"/>
        <w:numPr>
          <w:ilvl w:val="0"/>
          <w:numId w:val="2"/>
        </w:numPr>
        <w:spacing w:before="40" w:after="40"/>
      </w:pPr>
      <w:r>
        <w:t>Backup/DR compliance risk: production VMs without successful recent backups (45 Unhealthy, 4 Failed, 158 Suspended, 32 Protection Stopped) plus Cross-Region Restore disabled on all 20 vaults limit DR to in-region restore, a compliance risk for a regulator-supervised workload.</w:t>
      </w:r>
    </w:p>
    <w:p w14:paraId="1C4C5116" w14:textId="77777777" w:rsidR="0026123B" w:rsidRDefault="00000000">
      <w:pPr>
        <w:spacing w:before="60" w:after="60"/>
      </w:pPr>
      <w:r>
        <w:rPr>
          <w:b/>
        </w:rPr>
        <w:t>Priority recommendations</w:t>
      </w:r>
    </w:p>
    <w:p w14:paraId="36CF7F6D" w14:textId="77777777" w:rsidR="0026123B" w:rsidRDefault="00000000">
      <w:pPr>
        <w:pStyle w:val="ListParagraph"/>
        <w:numPr>
          <w:ilvl w:val="0"/>
          <w:numId w:val="2"/>
        </w:numPr>
        <w:spacing w:before="40" w:after="40"/>
      </w:pPr>
      <w:r>
        <w:t>Authenticate the APIM Gateway: enable authentication on all APIM products, closing the most direct path to data exfiltration through the integration gateway (Security and Access Controls, highest priority).</w:t>
      </w:r>
    </w:p>
    <w:p w14:paraId="5158488C" w14:textId="77777777" w:rsidR="0026123B" w:rsidRDefault="00000000">
      <w:pPr>
        <w:pStyle w:val="ListParagraph"/>
        <w:numPr>
          <w:ilvl w:val="0"/>
          <w:numId w:val="2"/>
        </w:numPr>
        <w:spacing w:before="40" w:after="40"/>
      </w:pPr>
      <w:r>
        <w:t>Enable Easy Auth (Entra ID) on all Function Apps not triggered exclusively by internal services, since unauthenticated Function Apps across the estate represent an open door.</w:t>
      </w:r>
    </w:p>
    <w:p w14:paraId="42E3F56E" w14:textId="77777777" w:rsidR="0026123B" w:rsidRDefault="00000000">
      <w:pPr>
        <w:pStyle w:val="ListParagraph"/>
        <w:numPr>
          <w:ilvl w:val="0"/>
          <w:numId w:val="2"/>
        </w:numPr>
        <w:spacing w:before="40" w:after="40"/>
      </w:pPr>
      <w:r>
        <w:t>Restrict Function App Exposure using Access Restrictions or Private Endpoints, applying IP allow-lists scoped to known callers at minimum (Network Isolation).</w:t>
      </w:r>
    </w:p>
    <w:p w14:paraId="3E4B5D3F" w14:textId="77777777" w:rsidR="0026123B" w:rsidRDefault="00000000">
      <w:pPr>
        <w:pStyle w:val="ListParagraph"/>
        <w:numPr>
          <w:ilvl w:val="0"/>
          <w:numId w:val="2"/>
        </w:numPr>
        <w:spacing w:before="40" w:after="40"/>
      </w:pPr>
      <w:r>
        <w:t>Remediate Critically Exposed Storage Accounts immediately: disable public network access, anonymous blob access and shared-key auth on the 54 accounts breaching all three controls, prioritising the ADLS Gen2 accounts holding adult social care data, and raise the four accounts still on TLS 1.0 to a minimum of TLS 1.2 - run ahead of the estate-wide baseline policy.</w:t>
      </w:r>
    </w:p>
    <w:p w14:paraId="6C44FD05" w14:textId="77777777" w:rsidR="0026123B" w:rsidRDefault="00000000">
      <w:pPr>
        <w:pStyle w:val="ListParagraph"/>
        <w:numPr>
          <w:ilvl w:val="0"/>
          <w:numId w:val="2"/>
        </w:numPr>
        <w:spacing w:before="40" w:after="40"/>
      </w:pPr>
      <w:r>
        <w:lastRenderedPageBreak/>
        <w:t>Enforce a Storage Account Baseline policy initiative at management-group root covering shared-key access, anonymous blob access, TLS minimum, HTTPS-only, and public network access.</w:t>
      </w:r>
    </w:p>
    <w:p w14:paraId="2DAB9F6E" w14:textId="77777777" w:rsidR="0026123B" w:rsidRDefault="00000000">
      <w:pPr>
        <w:pStyle w:val="ListParagraph"/>
        <w:numPr>
          <w:ilvl w:val="0"/>
          <w:numId w:val="2"/>
        </w:numPr>
        <w:spacing w:before="40" w:after="40"/>
      </w:pPr>
      <w:r>
        <w:t>Compute and hosting: right-size the 3 oversized VMs via monthly Azure Advisor review; move production-critical apps off shared Consumption plans onto dedicated hosting (PremiumV3, ElasticPremium, or ASEv3); consolidate and rationalise the 3 unused App Service Plans; and configure health check paths on all production Function Apps.</w:t>
      </w:r>
    </w:p>
    <w:p w14:paraId="2C10071E" w14:textId="77777777" w:rsidR="0026123B" w:rsidRDefault="00000000">
      <w:pPr>
        <w:pStyle w:val="ListParagraph"/>
        <w:numPr>
          <w:ilvl w:val="0"/>
          <w:numId w:val="2"/>
        </w:numPr>
        <w:spacing w:before="40" w:after="40"/>
      </w:pPr>
      <w:r>
        <w:t>Governance and policy: mandate CAF-aligned deployment for all new App Service Plans with no new workloads under legacy or root management groups, and define standard hosting patterns (when ASEv3 is mandated over Premium, SKU selection per environment, scaling/resilience expectations).</w:t>
      </w:r>
    </w:p>
    <w:p w14:paraId="7DEDE0A9" w14:textId="77777777" w:rsidR="0026123B" w:rsidRDefault="00000000">
      <w:pPr>
        <w:pStyle w:val="ListParagraph"/>
        <w:numPr>
          <w:ilvl w:val="0"/>
          <w:numId w:val="2"/>
        </w:numPr>
        <w:spacing w:before="40" w:after="40"/>
      </w:pPr>
      <w:r>
        <w:t>Restore VM tagging discipline by bulk-applying the VMTier tag to the 154 untagged VMs and enforcing via policy on creation, and consolidate the auto-generated Dynamics 365 storage accounts so the footprint does not regrow after remediation.</w:t>
      </w:r>
    </w:p>
    <w:p w14:paraId="29D0C0A3" w14:textId="77777777" w:rsidR="0026123B" w:rsidRDefault="00000000">
      <w:pPr>
        <w:pStyle w:val="Heading2"/>
      </w:pPr>
      <w:bookmarkStart w:id="23" w:name="_Toc235173322"/>
      <w:r>
        <w:t>6.8 FinOps &amp; Cost Management</w:t>
      </w:r>
      <w:bookmarkEnd w:id="23"/>
    </w:p>
    <w:p w14:paraId="487AEFD3" w14:textId="77777777" w:rsidR="0026123B" w:rsidRDefault="00000000">
      <w:pPr>
        <w:spacing w:before="60" w:after="60"/>
      </w:pPr>
      <w:r>
        <w:rPr>
          <w:b/>
        </w:rPr>
        <w:t>Current maturity: Developing (2) → Defined</w:t>
      </w:r>
    </w:p>
    <w:p w14:paraId="2F4F5DDA" w14:textId="77777777" w:rsidR="0026123B" w:rsidRDefault="00000000">
      <w:pPr>
        <w:spacing w:before="60" w:after="60"/>
      </w:pPr>
      <w:r>
        <w:t>Total Azure spend across the eleven complete months April 2025 to February 2026 was £2.00M (£2,002,781), an average run rate of £182K per month (£182,071) and an annualised position of approximately £2.185M. Spend is stable month on month, ranging £170,847 (Feb 2026) to £194,969 (Jul 2025), off a baseline April 2025 month of £179,553. The estate cannot attribute spend to the services that drive it, nonproduction cost is not under control, and all spend is booked as a single line under one cost centre. Spend is concentrated in the legacy VDC subscriptions, with the VDC-to-CAF migration described as the single largest cost optimisation lever the platform has.</w:t>
      </w:r>
    </w:p>
    <w:p w14:paraId="12D032C3" w14:textId="77777777" w:rsidR="0026123B" w:rsidRDefault="00000000">
      <w:pPr>
        <w:spacing w:before="60" w:after="60"/>
      </w:pPr>
      <w:r>
        <w:rPr>
          <w:b/>
        </w:rPr>
        <w:t>Key findings</w:t>
      </w:r>
    </w:p>
    <w:p w14:paraId="58383004" w14:textId="77777777" w:rsidR="0026123B" w:rsidRDefault="00000000">
      <w:pPr>
        <w:pStyle w:val="ListParagraph"/>
        <w:numPr>
          <w:ilvl w:val="0"/>
          <w:numId w:val="2"/>
        </w:numPr>
        <w:spacing w:before="40" w:after="40"/>
      </w:pPr>
      <w:r>
        <w:t>Data and Analytics is the largest spend category at £534K (26.6%, £48.5K/month), driven by SQL Database (£171K), Microsoft Fabric (£121K), Azure Databricks (£101K) and Azure Data Factory v2 (£80K); leverage sits in Fabric capacity SKU sizing and SQL service tier sizing.</w:t>
      </w:r>
    </w:p>
    <w:p w14:paraId="7E96E6BC" w14:textId="77777777" w:rsidR="0026123B" w:rsidRDefault="00000000">
      <w:pPr>
        <w:pStyle w:val="ListParagraph"/>
        <w:numPr>
          <w:ilvl w:val="0"/>
          <w:numId w:val="2"/>
        </w:numPr>
        <w:spacing w:before="40" w:after="40"/>
      </w:pPr>
      <w:r>
        <w:t>Compute is second at £435K (21.7%, £39.5K/month): Virtual Machines £189K (the VDC0/VDC1 production estate, candidates for v5-family right-sizing and Azure Hybrid Benefit), App Service £110K and Logic Apps £106K.</w:t>
      </w:r>
    </w:p>
    <w:p w14:paraId="7E1EBFF7" w14:textId="77777777" w:rsidR="0026123B" w:rsidRDefault="00000000">
      <w:pPr>
        <w:pStyle w:val="ListParagraph"/>
        <w:numPr>
          <w:ilvl w:val="0"/>
          <w:numId w:val="2"/>
        </w:numPr>
        <w:spacing w:before="40" w:after="40"/>
      </w:pPr>
      <w:r>
        <w:t>Networking is £361K (18.0%, £32.8K/month): VPN Gateway alone is £123K (6.1% of total Azure spend), with API Management £112K and Application Gateway £42K behind it.</w:t>
      </w:r>
    </w:p>
    <w:p w14:paraId="7CB768BA" w14:textId="77777777" w:rsidR="0026123B" w:rsidRDefault="00000000">
      <w:pPr>
        <w:pStyle w:val="ListParagraph"/>
        <w:numPr>
          <w:ilvl w:val="0"/>
          <w:numId w:val="2"/>
        </w:numPr>
        <w:spacing w:before="40" w:after="40"/>
      </w:pPr>
      <w:r>
        <w:t>Storage and Backup is £329K (16.5%, £30.0K/month), split storage £240K / backup £89K; backups are still held against 190 suspended or stopped protected items, and almost all storage data sits in the hot tier with no lifecycle management or tiering.</w:t>
      </w:r>
    </w:p>
    <w:p w14:paraId="2339AD78" w14:textId="77777777" w:rsidR="0026123B" w:rsidRDefault="00000000">
      <w:pPr>
        <w:pStyle w:val="ListParagraph"/>
        <w:numPr>
          <w:ilvl w:val="0"/>
          <w:numId w:val="2"/>
        </w:numPr>
        <w:spacing w:before="40" w:after="40"/>
      </w:pPr>
      <w:r>
        <w:t>Microsoft Defender for Cloud is the entire security spend at £133K (8.0% of total); because none of the inspected resources have diagnostic settings configured, most of this spend produces signal the SOC cannot act on.</w:t>
      </w:r>
    </w:p>
    <w:p w14:paraId="76C09ED8" w14:textId="77777777" w:rsidR="0026123B" w:rsidRDefault="00000000">
      <w:pPr>
        <w:pStyle w:val="ListParagraph"/>
        <w:numPr>
          <w:ilvl w:val="0"/>
          <w:numId w:val="2"/>
        </w:numPr>
        <w:spacing w:before="40" w:after="40"/>
      </w:pPr>
      <w:r>
        <w:t>Top service cost drivers (11-month total): Storage £240,254 (12.0%), Virtual Machines £189,379 (9.5%), SQL Database £170,828 (8.5%), Defender for Cloud £133,407 (6.7%), VPN Gateway £122,713 (6.1%), Microsoft Fabric £121,492 (6.1%), API Management £111,701 (5.6%), App Service £109,974 (5.5%), Logic Apps £105,695 (5.3%).</w:t>
      </w:r>
    </w:p>
    <w:p w14:paraId="569AC4E5" w14:textId="77777777" w:rsidR="0026123B" w:rsidRDefault="00000000">
      <w:pPr>
        <w:pStyle w:val="ListParagraph"/>
        <w:numPr>
          <w:ilvl w:val="0"/>
          <w:numId w:val="2"/>
        </w:numPr>
        <w:spacing w:before="40" w:after="40"/>
      </w:pPr>
      <w:r>
        <w:t>Spend is concentrated in legacy VDC subscriptions: PRD VDC0 £38,239, PRD VDC1 £29,519, DEVTST VDC2 £23,211 and UAT VDC3 £12,584; the top four account for £104K of the £152K current-period snapshot (68%), the top 5 subscriptions combined are £116,430 (76.7%), and all 65 subscriptions total £151,832.</w:t>
      </w:r>
    </w:p>
    <w:p w14:paraId="0A806BEC" w14:textId="77777777" w:rsidR="0026123B" w:rsidRDefault="00000000">
      <w:pPr>
        <w:pStyle w:val="ListParagraph"/>
        <w:numPr>
          <w:ilvl w:val="0"/>
          <w:numId w:val="2"/>
        </w:numPr>
        <w:spacing w:before="40" w:after="40"/>
      </w:pPr>
      <w:r>
        <w:t>Workload-level cost transparency is missing: with no CostCenter or BusinessOwner tag, spend cannot be charged or shown back to a workload owner, and every cost review depends on manual subscription reconciliation (the highest-leverage FinOps governance change).</w:t>
      </w:r>
    </w:p>
    <w:p w14:paraId="7BB8F155" w14:textId="77777777" w:rsidR="0026123B" w:rsidRDefault="00000000">
      <w:pPr>
        <w:pStyle w:val="ListParagraph"/>
        <w:numPr>
          <w:ilvl w:val="0"/>
          <w:numId w:val="2"/>
        </w:numPr>
        <w:spacing w:before="40" w:after="40"/>
      </w:pPr>
      <w:r>
        <w:t xml:space="preserve">Reservations cover only Microsoft Fabric and selected VM families; there is no reservation or savings-plan coverage for Cosmos DB, SQL PaaS or App Service, where Azure Advisor flags </w:t>
      </w:r>
      <w:r>
        <w:lastRenderedPageBreak/>
        <w:t>~£25k headline savings, and AIS runs a KPMG-era premium-everywhere pattern (premium App Service Plan per app, Premium API Management, Premium Redis in every environment).</w:t>
      </w:r>
    </w:p>
    <w:p w14:paraId="010F375A" w14:textId="77777777" w:rsidR="0026123B" w:rsidRDefault="00000000">
      <w:pPr>
        <w:spacing w:before="60" w:after="60"/>
      </w:pPr>
      <w:r>
        <w:rPr>
          <w:b/>
        </w:rPr>
        <w:t>Key risks</w:t>
      </w:r>
    </w:p>
    <w:p w14:paraId="3FCB39B5" w14:textId="77777777" w:rsidR="0026123B" w:rsidRDefault="00000000">
      <w:pPr>
        <w:pStyle w:val="ListParagraph"/>
        <w:numPr>
          <w:ilvl w:val="0"/>
          <w:numId w:val="2"/>
        </w:numPr>
        <w:spacing w:before="40" w:after="40"/>
      </w:pPr>
      <w:r>
        <w:t>No showback or chargeback: CQC cannot say what AIS, EDP or the Regulatory Platform each cost without manual extraction, and shared platform costs cannot be apportioned, leaving nonproduction cost uncontrolled.</w:t>
      </w:r>
    </w:p>
    <w:p w14:paraId="7271AF91" w14:textId="77777777" w:rsidR="0026123B" w:rsidRDefault="00000000">
      <w:pPr>
        <w:pStyle w:val="ListParagraph"/>
        <w:numPr>
          <w:ilvl w:val="0"/>
          <w:numId w:val="2"/>
        </w:numPr>
        <w:spacing w:before="40" w:after="40"/>
      </w:pPr>
      <w:r>
        <w:t>Advisor-flagged savings of ~£25k headline (Cosmos DB / SQL PaaS / App Service Savings Plan) are left on the table because the team is reluctant to commit to three-year reservations against workloads that may be re-architected during the rebuild.</w:t>
      </w:r>
    </w:p>
    <w:p w14:paraId="0E6938AD" w14:textId="77777777" w:rsidR="0026123B" w:rsidRDefault="00000000">
      <w:pPr>
        <w:pStyle w:val="ListParagraph"/>
        <w:numPr>
          <w:ilvl w:val="0"/>
          <w:numId w:val="2"/>
        </w:numPr>
        <w:spacing w:before="40" w:after="40"/>
      </w:pPr>
      <w:r>
        <w:t>The Defender for API reactive SKU upgrade (taken after the API Management scraping incident) has hardened into a fixed cost while the root cause, the absence of rate-limiting on the Application Gateway and API Management, remains unaddressed.</w:t>
      </w:r>
    </w:p>
    <w:p w14:paraId="75B00702" w14:textId="77777777" w:rsidR="0026123B" w:rsidRDefault="00000000">
      <w:pPr>
        <w:pStyle w:val="ListParagraph"/>
        <w:numPr>
          <w:ilvl w:val="0"/>
          <w:numId w:val="2"/>
        </w:numPr>
        <w:spacing w:before="40" w:after="40"/>
      </w:pPr>
      <w:r>
        <w:t>Cost is an after-the-fact reporting function, not a decision input: there is no Technology Approval Board or FinOps forum, no cost-focused service reviews and no automated budget alerts, and finance's prevailing view that nothing is urgent reduces pressure to optimise.</w:t>
      </w:r>
    </w:p>
    <w:p w14:paraId="7D09C079" w14:textId="77777777" w:rsidR="0026123B" w:rsidRDefault="00000000">
      <w:pPr>
        <w:pStyle w:val="ListParagraph"/>
        <w:numPr>
          <w:ilvl w:val="0"/>
          <w:numId w:val="2"/>
        </w:numPr>
        <w:spacing w:before="40" w:after="40"/>
      </w:pPr>
      <w:r>
        <w:t>The storage estate (£25k/month, all hot tier) carries no lifecycle management or tiering, and backups are still retained against 190 suspended or stopped protected items, sustaining avoidable ongoing cost.</w:t>
      </w:r>
    </w:p>
    <w:p w14:paraId="7A29DFC2" w14:textId="77777777" w:rsidR="0026123B" w:rsidRDefault="00000000">
      <w:pPr>
        <w:spacing w:before="60" w:after="60"/>
      </w:pPr>
      <w:r>
        <w:rPr>
          <w:b/>
        </w:rPr>
        <w:t>Priority recommendations</w:t>
      </w:r>
    </w:p>
    <w:p w14:paraId="337A14C8" w14:textId="77777777" w:rsidR="0026123B" w:rsidRDefault="00000000">
      <w:pPr>
        <w:pStyle w:val="ListParagraph"/>
        <w:numPr>
          <w:ilvl w:val="0"/>
          <w:numId w:val="2"/>
        </w:numPr>
        <w:spacing w:before="40" w:after="40"/>
      </w:pPr>
      <w:r>
        <w:t>Tagging and Chargeback (first priority, the highest-leverage FinOps governance change): enforce the CAF tagging taxonomy as Azure Policy, mandating Owner and CostCenter tags at vending intake with a deny on subscription creation where a CostCenter tag is missing; stand up a Power BI showback model fed by Cost Management data with named budget owners per service line.</w:t>
      </w:r>
    </w:p>
    <w:p w14:paraId="6D7C0782" w14:textId="77777777" w:rsidR="0026123B" w:rsidRDefault="00000000">
      <w:pPr>
        <w:pStyle w:val="ListParagraph"/>
        <w:numPr>
          <w:ilvl w:val="0"/>
          <w:numId w:val="2"/>
        </w:numPr>
        <w:spacing w:before="40" w:after="40"/>
      </w:pPr>
      <w:r>
        <w:t>Reservations and Commitment: commit compute via an Azure Savings Plan and defer reservations on rebuild-affected services until target sizing is known.</w:t>
      </w:r>
    </w:p>
    <w:p w14:paraId="4A38F1AC" w14:textId="77777777" w:rsidR="0026123B" w:rsidRDefault="00000000">
      <w:pPr>
        <w:pStyle w:val="ListParagraph"/>
        <w:numPr>
          <w:ilvl w:val="0"/>
          <w:numId w:val="2"/>
        </w:numPr>
        <w:spacing w:before="40" w:after="40"/>
      </w:pPr>
      <w:r>
        <w:t>Right-Sizing: consolidate AIS App Service Plans and API Management, tune the Defender for API plan after the rate-limiting fix, and convert the legacy storage account backlog; first establish the storage-account vs VM-attached managed-disk split, then tier the hot-only estate to cool and archive.</w:t>
      </w:r>
    </w:p>
    <w:p w14:paraId="059C3F9C" w14:textId="77777777" w:rsidR="0026123B" w:rsidRDefault="00000000">
      <w:pPr>
        <w:pStyle w:val="ListParagraph"/>
        <w:numPr>
          <w:ilvl w:val="0"/>
          <w:numId w:val="2"/>
        </w:numPr>
        <w:spacing w:before="40" w:after="40"/>
      </w:pPr>
      <w:r>
        <w:t>Right-Size Fabric and SQL: validate Fabric capacity against actual peak utilisation and pause non-production capacities out of hours, and review SQL service tiers against measured utilisation rather than headline assumptions.</w:t>
      </w:r>
    </w:p>
    <w:p w14:paraId="5640FB45" w14:textId="77777777" w:rsidR="0026123B" w:rsidRDefault="00000000">
      <w:pPr>
        <w:pStyle w:val="ListParagraph"/>
        <w:numPr>
          <w:ilvl w:val="0"/>
          <w:numId w:val="2"/>
        </w:numPr>
        <w:spacing w:before="40" w:after="40"/>
      </w:pPr>
      <w:r>
        <w:t>Modernise VMs to the current generation and apply Azure Hybrid Benefit on eligible Windows Server and SQL Server licences; vend non-production workloads into Azure Dev/Test subscription types (currently everything vends as standard EA subscriptions) to pick up automatic rate reductions.</w:t>
      </w:r>
    </w:p>
    <w:p w14:paraId="15F4575E" w14:textId="77777777" w:rsidR="0026123B" w:rsidRDefault="00000000">
      <w:pPr>
        <w:pStyle w:val="ListParagraph"/>
        <w:numPr>
          <w:ilvl w:val="0"/>
          <w:numId w:val="2"/>
        </w:numPr>
        <w:spacing w:before="40" w:after="40"/>
      </w:pPr>
      <w:r>
        <w:t>Networking: audit gateway SKUs against active throughput, consolidate regional gateways into Azure Virtual WAN where HSCN connectivity allows, and review the API Management tier against actual throughput rather than defaulting to Premium.</w:t>
      </w:r>
    </w:p>
    <w:p w14:paraId="59C867B2" w14:textId="77777777" w:rsidR="0026123B" w:rsidRDefault="00000000">
      <w:pPr>
        <w:pStyle w:val="ListParagraph"/>
        <w:numPr>
          <w:ilvl w:val="0"/>
          <w:numId w:val="2"/>
        </w:numPr>
        <w:spacing w:before="40" w:after="40"/>
      </w:pPr>
      <w:r>
        <w:t>FinOps Cadence: run a monthly FinOps review paired with the existing service-management cadence (agenda: actual vs budget by management group, largest month-on-month movements, one optimisation commitment per workload owner) and make cost a design input via a cost gate in the Architecture Steering Group.</w:t>
      </w:r>
    </w:p>
    <w:p w14:paraId="783EFA7E" w14:textId="77777777" w:rsidR="0026123B" w:rsidRDefault="00000000">
      <w:pPr>
        <w:pStyle w:val="ListParagraph"/>
        <w:numPr>
          <w:ilvl w:val="0"/>
          <w:numId w:val="2"/>
        </w:numPr>
        <w:spacing w:before="40" w:after="40"/>
      </w:pPr>
      <w:r>
        <w:t>Automate Budgets and Anomaly Detection: configure budgets and alerts at management-group and subscription level, and enable Cost Management anomaly detection on the top cost-driving services to catch unintended consumption.</w:t>
      </w:r>
    </w:p>
    <w:p w14:paraId="231CA405" w14:textId="77777777" w:rsidR="0026123B" w:rsidRDefault="00000000">
      <w:pPr>
        <w:pStyle w:val="Heading2"/>
      </w:pPr>
      <w:bookmarkStart w:id="24" w:name="_Toc235173323"/>
      <w:r>
        <w:t>6.9 Application Integration Services (AIS)</w:t>
      </w:r>
      <w:bookmarkEnd w:id="24"/>
    </w:p>
    <w:p w14:paraId="1CCD0B31" w14:textId="77777777" w:rsidR="0026123B" w:rsidRDefault="00000000">
      <w:pPr>
        <w:spacing w:before="60" w:after="60"/>
      </w:pPr>
      <w:r>
        <w:rPr>
          <w:b/>
        </w:rPr>
        <w:t>Current maturity: Focus area — the estate's largest cost line and most operationally fragile workload</w:t>
      </w:r>
    </w:p>
    <w:p w14:paraId="01331332" w14:textId="77777777" w:rsidR="0026123B" w:rsidRDefault="00000000">
      <w:pPr>
        <w:spacing w:before="60" w:after="60"/>
      </w:pPr>
      <w:r>
        <w:t xml:space="preserve">AIS is CQC's central Azure-based integration platform, brokering traffic between the public-facing Registration Provider portal, the Syndication API, downstream regulatory systems and Siebel CRM, and </w:t>
      </w:r>
      <w:r>
        <w:lastRenderedPageBreak/>
        <w:t>handling asynchronous processing of NHS ESR records (synchronous layer fronted by APIM over EDP and MuleSoft; asynchronous layer built on Azure Service Bus). The source states AIS "is the single largest cost line in the tenant and the most operationally fragile workload, and it is the area most directly tied to DevSecOps maturity at CQC." The estate inherits a "premium-everywhere" sizing model, a divergent V1/V2 code line between Production and PreProd, hardcoded JWT tokens in APIM policies, and a "ClickOps" operating model on supposedly Terraformed infrastructure, compounded by reactive security spend, lingering legacy partner access in Production, and no reusable integration patterns.</w:t>
      </w:r>
    </w:p>
    <w:p w14:paraId="1F742814" w14:textId="77777777" w:rsidR="0026123B" w:rsidRDefault="00000000">
      <w:pPr>
        <w:spacing w:before="60" w:after="60"/>
      </w:pPr>
      <w:r>
        <w:rPr>
          <w:b/>
        </w:rPr>
        <w:t>Key findings</w:t>
      </w:r>
    </w:p>
    <w:p w14:paraId="4632429C" w14:textId="77777777" w:rsidR="0026123B" w:rsidRDefault="00000000">
      <w:pPr>
        <w:pStyle w:val="ListParagraph"/>
        <w:numPr>
          <w:ilvl w:val="0"/>
          <w:numId w:val="2"/>
        </w:numPr>
        <w:spacing w:before="40" w:after="40"/>
      </w:pPr>
      <w:r>
        <w:t>Two code bases, one application: Production runs the V1 code line while PreProd runs V2, so PreProd cannot act as a true staging gate and every Production release is all-or-nothing, forcing CAB to act as the last line of defence.</w:t>
      </w:r>
    </w:p>
    <w:p w14:paraId="11323A9F" w14:textId="77777777" w:rsidR="0026123B" w:rsidRDefault="00000000">
      <w:pPr>
        <w:pStyle w:val="ListParagraph"/>
        <w:numPr>
          <w:ilvl w:val="0"/>
          <w:numId w:val="2"/>
        </w:numPr>
        <w:spacing w:before="40" w:after="40"/>
      </w:pPr>
      <w:r>
        <w:t>Estate is concentrated into a single resource group with boundaries that do not align to operational responsibilities; infrastructure is deployed via 'ClickOps' rather than consistently through IaC, so environment state is not reliably reproducible.</w:t>
      </w:r>
    </w:p>
    <w:p w14:paraId="4EFF9CC2" w14:textId="77777777" w:rsidR="0026123B" w:rsidRDefault="00000000">
      <w:pPr>
        <w:pStyle w:val="ListParagraph"/>
        <w:numPr>
          <w:ilvl w:val="0"/>
          <w:numId w:val="2"/>
        </w:numPr>
        <w:spacing w:before="40" w:after="40"/>
      </w:pPr>
      <w:r>
        <w:t>Developers and third parties hold permanent Contributor on Production; manual changes routinely override Terraform and the IaC baseline drifts within days of deployment (drift described as structural, not incidental).</w:t>
      </w:r>
    </w:p>
    <w:p w14:paraId="3F2DA4C1" w14:textId="77777777" w:rsidR="0026123B" w:rsidRDefault="00000000">
      <w:pPr>
        <w:pStyle w:val="ListParagraph"/>
        <w:numPr>
          <w:ilvl w:val="0"/>
          <w:numId w:val="2"/>
        </w:numPr>
        <w:spacing w:before="40" w:after="40"/>
      </w:pPr>
      <w:r>
        <w:t>Premium-everywhere sizing: Premium API Management runs in every environment, Premium Redis Cache runs in every AIS environment, and a SQL Managed Instance has a virtual machine attached purely for file storage; non-production (PreProd) carries near-production cost despite being underused.</w:t>
      </w:r>
    </w:p>
    <w:p w14:paraId="551657A1" w14:textId="77777777" w:rsidR="0026123B" w:rsidRDefault="00000000">
      <w:pPr>
        <w:pStyle w:val="ListParagraph"/>
        <w:numPr>
          <w:ilvl w:val="0"/>
          <w:numId w:val="2"/>
        </w:numPr>
        <w:spacing w:before="40" w:after="40"/>
      </w:pPr>
      <w:r>
        <w:t>Defender for Cloud is the largest single item inside the AIS subscription; the cost was driven by a Defender for API SKU upgrade taken in response to an APIM scraping incident, while the root cause (absence of rate-limiting on the Application Gateway and API Management) remains unaddressed.</w:t>
      </w:r>
    </w:p>
    <w:p w14:paraId="552C9B52" w14:textId="77777777" w:rsidR="0026123B" w:rsidRDefault="00000000">
      <w:pPr>
        <w:pStyle w:val="ListParagraph"/>
        <w:numPr>
          <w:ilvl w:val="0"/>
          <w:numId w:val="2"/>
        </w:numPr>
        <w:spacing w:before="40" w:after="40"/>
      </w:pPr>
      <w:r>
        <w:t>APIM policies contain hardcoded JWT tokens in plaintext alongside embedded business logic — an exfiltration and rotation risk and a fragile, hard-to-test change surface.</w:t>
      </w:r>
    </w:p>
    <w:p w14:paraId="2B4F7ED8" w14:textId="77777777" w:rsidR="0026123B" w:rsidRDefault="00000000">
      <w:pPr>
        <w:pStyle w:val="ListParagraph"/>
        <w:numPr>
          <w:ilvl w:val="0"/>
          <w:numId w:val="2"/>
        </w:numPr>
        <w:spacing w:before="40" w:after="40"/>
      </w:pPr>
      <w:r>
        <w:t>Legacy KPMG access: several Entra ID groups hold Contributor on AIS Production in addition to the deployment service principal, one believed to belong to KPMG and still active; KPMG networking-level exceptions also persist on a core function-app NSG rule set supporting the Syndication API caching layer.</w:t>
      </w:r>
    </w:p>
    <w:p w14:paraId="23C1E715" w14:textId="77777777" w:rsidR="0026123B" w:rsidRDefault="00000000">
      <w:pPr>
        <w:pStyle w:val="ListParagraph"/>
        <w:numPr>
          <w:ilvl w:val="0"/>
          <w:numId w:val="2"/>
        </w:numPr>
        <w:spacing w:before="40" w:after="40"/>
      </w:pPr>
      <w:r>
        <w:t>Syndication API runs at up to 5 million calls per day, protected by a layered caching strategy (Cache Engine Function App backed by Redis); data is drawn from EDP and MuleSoft with no single source of truth defined.</w:t>
      </w:r>
    </w:p>
    <w:p w14:paraId="60CAD676" w14:textId="77777777" w:rsidR="0026123B" w:rsidRDefault="00000000">
      <w:pPr>
        <w:pStyle w:val="ListParagraph"/>
        <w:numPr>
          <w:ilvl w:val="0"/>
          <w:numId w:val="2"/>
        </w:numPr>
        <w:spacing w:before="40" w:after="40"/>
      </w:pPr>
      <w:r>
        <w:t>NHS ESR pipeline ingests employee data via SFTP over VPN (daily incremental, weekly full refresh), debatches into individual employee change events, and fans out to four downstream systems — Cygnum and Cornerstone (upserts/deletions via HTTP sync APIs), EntraID and Dynamics FinOps (staged CSV files); an interim Storage Account retains a full copy of all GDPR-sensitive employee data with no retention policy defined.</w:t>
      </w:r>
    </w:p>
    <w:p w14:paraId="609251CB" w14:textId="77777777" w:rsidR="0026123B" w:rsidRDefault="00000000">
      <w:pPr>
        <w:pStyle w:val="ListParagraph"/>
        <w:numPr>
          <w:ilvl w:val="0"/>
          <w:numId w:val="2"/>
        </w:numPr>
        <w:spacing w:before="40" w:after="40"/>
      </w:pPr>
      <w:r>
        <w:t>No reusable integration patterns and no defined onboarding process for AIS integrations, so every new design starts from scratch; CAB is overloaded with what should be standard integration changes and pace is throttled by review overhead rather than engineering capacity.</w:t>
      </w:r>
    </w:p>
    <w:p w14:paraId="6858CC49" w14:textId="77777777" w:rsidR="0026123B" w:rsidRDefault="00000000">
      <w:pPr>
        <w:spacing w:before="60" w:after="60"/>
      </w:pPr>
      <w:r>
        <w:rPr>
          <w:b/>
        </w:rPr>
        <w:t>Key risks</w:t>
      </w:r>
    </w:p>
    <w:p w14:paraId="31A1E9CE" w14:textId="77777777" w:rsidR="0026123B" w:rsidRDefault="00000000">
      <w:pPr>
        <w:pStyle w:val="ListParagraph"/>
        <w:numPr>
          <w:ilvl w:val="0"/>
          <w:numId w:val="2"/>
        </w:numPr>
        <w:spacing w:before="40" w:after="40"/>
      </w:pPr>
      <w:r>
        <w:t>No representative preproduction gate (V1 Prod vs V2 PreProd) means Production releases are all-or-nothing with no environment to validate changes against what is actually live.</w:t>
      </w:r>
    </w:p>
    <w:p w14:paraId="2B936325" w14:textId="77777777" w:rsidR="0026123B" w:rsidRDefault="00000000">
      <w:pPr>
        <w:pStyle w:val="ListParagraph"/>
        <w:numPr>
          <w:ilvl w:val="0"/>
          <w:numId w:val="2"/>
        </w:numPr>
        <w:spacing w:before="40" w:after="40"/>
      </w:pPr>
      <w:r>
        <w:t>Standing Contributor privilege for developers and third parties on Production, combined with active manual override of Terraform, makes code-driven change unreachable and drift structural.</w:t>
      </w:r>
    </w:p>
    <w:p w14:paraId="504F5E14" w14:textId="77777777" w:rsidR="0026123B" w:rsidRDefault="00000000">
      <w:pPr>
        <w:pStyle w:val="ListParagraph"/>
        <w:numPr>
          <w:ilvl w:val="0"/>
          <w:numId w:val="2"/>
        </w:numPr>
        <w:spacing w:before="40" w:after="40"/>
      </w:pPr>
      <w:r>
        <w:t>Hardcoded plaintext JWTs in APIM policies create exfiltration and token-rotation exposure; removing the legacy KPMG partner group without dependency mapping is a cleanup risk, and a KPMG firewall exception exists that no current engineer can attribute.</w:t>
      </w:r>
    </w:p>
    <w:p w14:paraId="0FD904BA" w14:textId="77777777" w:rsidR="0026123B" w:rsidRDefault="00000000">
      <w:pPr>
        <w:pStyle w:val="ListParagraph"/>
        <w:numPr>
          <w:ilvl w:val="0"/>
          <w:numId w:val="2"/>
        </w:numPr>
        <w:spacing w:before="40" w:after="40"/>
      </w:pPr>
      <w:r>
        <w:t>GDPR-sensitive NHS ESR employee data is fully retained in an interim Storage Account with no retention policy; Provider portal cached data can drift from EDP (the intended single source of truth), so presented data may not reflect current state.</w:t>
      </w:r>
    </w:p>
    <w:p w14:paraId="139716C9" w14:textId="77777777" w:rsidR="0026123B" w:rsidRDefault="00000000">
      <w:pPr>
        <w:pStyle w:val="ListParagraph"/>
        <w:numPr>
          <w:ilvl w:val="0"/>
          <w:numId w:val="2"/>
        </w:numPr>
        <w:spacing w:before="40" w:after="40"/>
      </w:pPr>
      <w:r>
        <w:lastRenderedPageBreak/>
        <w:t>Inconsistent monitoring across Prod and Non-Prod plus a lack of business-data auditing means failed integrations involving sensitive data may pass undetected with no audit trail.</w:t>
      </w:r>
    </w:p>
    <w:p w14:paraId="2651CDE0" w14:textId="77777777" w:rsidR="0026123B" w:rsidRDefault="00000000">
      <w:pPr>
        <w:spacing w:before="60" w:after="60"/>
      </w:pPr>
      <w:r>
        <w:rPr>
          <w:b/>
        </w:rPr>
        <w:t>Priority recommendations</w:t>
      </w:r>
    </w:p>
    <w:p w14:paraId="2B53CE56" w14:textId="77777777" w:rsidR="0026123B" w:rsidRDefault="00000000">
      <w:pPr>
        <w:pStyle w:val="ListParagraph"/>
        <w:numPr>
          <w:ilvl w:val="0"/>
          <w:numId w:val="2"/>
        </w:numPr>
        <w:spacing w:before="40" w:after="40"/>
      </w:pPr>
      <w:r>
        <w:t>Engineer Environment Parity: close the V1/V2 code-base divergence as part of the AIS rebuild so PreProd matches Production and can act as a true staging gate, rather than relying on CAB as the last line of defence.</w:t>
      </w:r>
    </w:p>
    <w:p w14:paraId="491F896A" w14:textId="77777777" w:rsidR="0026123B" w:rsidRDefault="00000000">
      <w:pPr>
        <w:pStyle w:val="ListParagraph"/>
        <w:numPr>
          <w:ilvl w:val="0"/>
          <w:numId w:val="2"/>
        </w:numPr>
        <w:spacing w:before="40" w:after="40"/>
      </w:pPr>
      <w:r>
        <w:t>Split the Monolithic Resource Group into function-aligned resource groups (connectivity, hosting, solutions, troubleshooting) so cost, RBAC, lifecycle and monitoring can be attributed and governed at operationally meaningful boundaries.</w:t>
      </w:r>
    </w:p>
    <w:p w14:paraId="59E78EFC" w14:textId="77777777" w:rsidR="0026123B" w:rsidRDefault="00000000">
      <w:pPr>
        <w:pStyle w:val="ListParagraph"/>
        <w:numPr>
          <w:ilvl w:val="0"/>
          <w:numId w:val="2"/>
        </w:numPr>
        <w:spacing w:before="40" w:after="40"/>
      </w:pPr>
      <w:r>
        <w:t>Publish the AIS Five Patterns Design Authority: publish the approved integration patterns and differentiate standard from non-standard changes so CAB handles only genuine exceptions while pattern-conformant changes flow without manual gatekeeping.</w:t>
      </w:r>
    </w:p>
    <w:p w14:paraId="23652D78" w14:textId="77777777" w:rsidR="0026123B" w:rsidRDefault="00000000">
      <w:pPr>
        <w:pStyle w:val="ListParagraph"/>
        <w:numPr>
          <w:ilvl w:val="0"/>
          <w:numId w:val="2"/>
        </w:numPr>
        <w:spacing w:before="40" w:after="40"/>
      </w:pPr>
      <w:r>
        <w:t>Right-Size the AIS Estate: move off 'premium-everywhere' — downgrade non-production APIM to Developer, drop Premium Redis Cache in non-production, and retire the SQL Managed Instance VM file-storage workaround, retaining production-aligned tiers only where they support representative testing.</w:t>
      </w:r>
    </w:p>
    <w:p w14:paraId="7B8E18DA" w14:textId="77777777" w:rsidR="0026123B" w:rsidRDefault="00000000">
      <w:pPr>
        <w:pStyle w:val="ListParagraph"/>
        <w:numPr>
          <w:ilvl w:val="0"/>
          <w:numId w:val="2"/>
        </w:numPr>
        <w:spacing w:before="40" w:after="40"/>
      </w:pPr>
      <w:r>
        <w:t>Consolidate App Service Hosting onto a single unified App Service Environment v3 (ASEv3) spanning Prod, PreProd and Test, right-sizing worker pools per environment for predictability, representative testing and single-tenant network isolation.</w:t>
      </w:r>
    </w:p>
    <w:p w14:paraId="155C4F3F" w14:textId="77777777" w:rsidR="0026123B" w:rsidRDefault="00000000">
      <w:pPr>
        <w:pStyle w:val="ListParagraph"/>
        <w:numPr>
          <w:ilvl w:val="0"/>
          <w:numId w:val="2"/>
        </w:numPr>
        <w:spacing w:before="40" w:after="40"/>
      </w:pPr>
      <w:r>
        <w:t>Close Out Legacy Partner Access: map dependencies on the legacy partner group, remove the legacy firewall exception, and convert standing AIS Contributor access to PIM-eligible, eliminating permanent privilege held by developers and third parties on Production.</w:t>
      </w:r>
    </w:p>
    <w:p w14:paraId="1158D4AB" w14:textId="77777777" w:rsidR="0026123B" w:rsidRDefault="00000000">
      <w:pPr>
        <w:pStyle w:val="ListParagraph"/>
        <w:numPr>
          <w:ilvl w:val="0"/>
          <w:numId w:val="2"/>
        </w:numPr>
        <w:spacing w:before="40" w:after="40"/>
      </w:pPr>
      <w:r>
        <w:t>Bring AIS Under Code Control: remove standing Contributor access (convert to PIM-eligible, time-bound elevation), route all changes through pipeline-driven Terraform deployments, and reconcile drift by importing manually-created resources back into Terraform state.</w:t>
      </w:r>
    </w:p>
    <w:p w14:paraId="17E3611E" w14:textId="77777777" w:rsidR="0026123B" w:rsidRDefault="00000000">
      <w:pPr>
        <w:pStyle w:val="Heading2"/>
      </w:pPr>
      <w:bookmarkStart w:id="25" w:name="_Toc235173324"/>
      <w:r>
        <w:t>6.10 Data &amp; AI Platforms</w:t>
      </w:r>
      <w:bookmarkEnd w:id="25"/>
    </w:p>
    <w:p w14:paraId="091169D5" w14:textId="77777777" w:rsidR="0026123B" w:rsidRDefault="00000000">
      <w:pPr>
        <w:spacing w:before="60" w:after="60"/>
      </w:pPr>
      <w:r>
        <w:rPr>
          <w:b/>
        </w:rPr>
        <w:t>Current maturity: Data Services: Developing (2) → Defined</w:t>
      </w:r>
    </w:p>
    <w:p w14:paraId="7C15D11D" w14:textId="77777777" w:rsidR="0026123B" w:rsidRDefault="00000000">
      <w:pPr>
        <w:spacing w:before="60" w:after="60"/>
      </w:pPr>
      <w:r>
        <w:t>CQC's Data and AI platform landscape is in a transitional, fragmented state: a large, diverse Azure estate with inconsistent configuration and significant undecommissioned legacy resources. Legacy and target-state platforms run in parallel with no clear convergence, most evident across EDP, data integration, governance and AI workloads. The Enterprise Data Platform (EDP) is split between a legacy Avanade-delivered "ARA" framework and an emerging Microsoft Fabric-led target architecture, and Data Science/AI delivery remains largely experimental with limited productionisation. Priority focus areas are governance, security, and operating-model definition.</w:t>
      </w:r>
    </w:p>
    <w:p w14:paraId="6C044356" w14:textId="77777777" w:rsidR="0026123B" w:rsidRDefault="00000000">
      <w:pPr>
        <w:spacing w:before="60" w:after="60"/>
      </w:pPr>
      <w:r>
        <w:rPr>
          <w:b/>
        </w:rPr>
        <w:t>Key findings</w:t>
      </w:r>
    </w:p>
    <w:p w14:paraId="7A98398B" w14:textId="77777777" w:rsidR="0026123B" w:rsidRDefault="00000000">
      <w:pPr>
        <w:pStyle w:val="ListParagraph"/>
        <w:numPr>
          <w:ilvl w:val="0"/>
          <w:numId w:val="2"/>
        </w:numPr>
        <w:spacing w:before="40" w:after="40"/>
      </w:pPr>
      <w:r>
        <w:t>EDP is split between the legacy Avanade 'ARA' framework (YAML-driven ADF pipeline generation, reliance on a Node 4 support contract, third-party engagement for core changes) and an emerging Microsoft Fabric-led target, causing duplication and supplier lock-in.</w:t>
      </w:r>
    </w:p>
    <w:p w14:paraId="3CE47AB7" w14:textId="77777777" w:rsidR="0026123B" w:rsidRDefault="00000000">
      <w:pPr>
        <w:pStyle w:val="ListParagraph"/>
        <w:numPr>
          <w:ilvl w:val="0"/>
          <w:numId w:val="2"/>
        </w:numPr>
        <w:spacing w:before="40" w:after="40"/>
      </w:pPr>
      <w:r>
        <w:t>21 Azure Data Factory instances exist, most without source control or CI/CD; Data Factory v2 spend is ~GBP 80K/month, with recovery dependent on manual recreation (binary operational risk).</w:t>
      </w:r>
    </w:p>
    <w:p w14:paraId="244483A4" w14:textId="77777777" w:rsidR="0026123B" w:rsidRDefault="00000000">
      <w:pPr>
        <w:pStyle w:val="ListParagraph"/>
        <w:numPr>
          <w:ilvl w:val="0"/>
          <w:numId w:val="2"/>
        </w:numPr>
        <w:spacing w:before="40" w:after="40"/>
      </w:pPr>
      <w:r>
        <w:t>24 Databricks instances (23 flagged), under multiple management group hierarchies, with public network access enabled, Enhanced Security and Compliance enabled on 0/24, Microsoft-managed keys (no CMK), missing diagnostics and no private endpoints; Databricks cost is ~GBP 101K/month.</w:t>
      </w:r>
    </w:p>
    <w:p w14:paraId="737AF727" w14:textId="77777777" w:rsidR="0026123B" w:rsidRDefault="00000000">
      <w:pPr>
        <w:pStyle w:val="ListParagraph"/>
        <w:numPr>
          <w:ilvl w:val="0"/>
          <w:numId w:val="2"/>
        </w:numPr>
        <w:spacing w:before="40" w:after="40"/>
      </w:pPr>
      <w:r>
        <w:t>3 Synapse Analytics workspaces have public network access, no Data Exfiltration Protection (DEP not enabled 3/3) and no SQL Auditing (3/3), primarily used by Finance via Synapse Link - a candidate for Fabric rationalisation.</w:t>
      </w:r>
    </w:p>
    <w:p w14:paraId="4F68856F" w14:textId="77777777" w:rsidR="0026123B" w:rsidRDefault="00000000">
      <w:pPr>
        <w:pStyle w:val="ListParagraph"/>
        <w:numPr>
          <w:ilvl w:val="0"/>
          <w:numId w:val="2"/>
        </w:numPr>
        <w:spacing w:before="40" w:after="40"/>
      </w:pPr>
      <w:r>
        <w:t>Fabric adoption is limited with 4 capacities and monolithic SKUs (F64, F128), no non-prod capacities and no pause/resume or scaling automation, creating cost inefficiency and workload-contention risk; significant reliance also exists on legacy Dataflow Gen1 approaching deprecation.</w:t>
      </w:r>
    </w:p>
    <w:p w14:paraId="77D3CD4F" w14:textId="77777777" w:rsidR="0026123B" w:rsidRDefault="00000000">
      <w:pPr>
        <w:pStyle w:val="ListParagraph"/>
        <w:numPr>
          <w:ilvl w:val="0"/>
          <w:numId w:val="2"/>
        </w:numPr>
        <w:spacing w:before="40" w:after="40"/>
      </w:pPr>
      <w:r>
        <w:lastRenderedPageBreak/>
        <w:t>Microsoft Purview runs as 2 instances (two-portal split), production on the legacy portal, needing consolidation to one; sensitivity labelling is not operationalised and GDPR-sensitive NHS ESR data is held indefinitely in interim storage with no retention policy (live compliance exposure).</w:t>
      </w:r>
    </w:p>
    <w:p w14:paraId="137855AD" w14:textId="77777777" w:rsidR="0026123B" w:rsidRDefault="00000000">
      <w:pPr>
        <w:pStyle w:val="ListParagraph"/>
        <w:numPr>
          <w:ilvl w:val="0"/>
          <w:numId w:val="2"/>
        </w:numPr>
        <w:spacing w:before="40" w:after="40"/>
      </w:pPr>
      <w:r>
        <w:t>13 Machine Learning Studio instances (all 13 flagged, only 1 with public network access disabled) and 5 Microsoft Foundry instances (4 flagged) remain active with none decommissioned; Threat protection for AI Services is Not Enabled 4/4 and there is no formal MLOps capability (manual deploy/monitor/retrain).</w:t>
      </w:r>
    </w:p>
    <w:p w14:paraId="0A7B78A3" w14:textId="77777777" w:rsidR="0026123B" w:rsidRDefault="00000000">
      <w:pPr>
        <w:pStyle w:val="ListParagraph"/>
        <w:numPr>
          <w:ilvl w:val="0"/>
          <w:numId w:val="2"/>
        </w:numPr>
        <w:spacing w:before="40" w:after="40"/>
      </w:pPr>
      <w:r>
        <w:t>Inconsistent encryption posture: Synapse uses Customer Managed Keys while Databricks, Azure OpenAI and AI Foundry use Microsoft-managed keys, giving weaker controls on sensitive AI training/prompt data; data-science workloads pull public packages/images validated only post-build via Defender for Cloud, with no pipeline gates.</w:t>
      </w:r>
    </w:p>
    <w:p w14:paraId="3DCFADD4" w14:textId="77777777" w:rsidR="0026123B" w:rsidRDefault="00000000">
      <w:pPr>
        <w:pStyle w:val="ListParagraph"/>
        <w:numPr>
          <w:ilvl w:val="0"/>
          <w:numId w:val="2"/>
        </w:numPr>
        <w:spacing w:before="40" w:after="40"/>
      </w:pPr>
      <w:r>
        <w:t>AI model endpoints are directly exposed (e.g. via Azure ML or Functions) without a managed API gateway fronting them (AI services are not placed behind a managed API layer such as APIM), removing throttling, versioning, authentication abstraction and policy enforcement; there is no defined AI exposure strategy and no Copilot/embedded AI experience layer.</w:t>
      </w:r>
    </w:p>
    <w:p w14:paraId="634C62B9" w14:textId="77777777" w:rsidR="0026123B" w:rsidRDefault="00000000">
      <w:pPr>
        <w:pStyle w:val="ListParagraph"/>
        <w:numPr>
          <w:ilvl w:val="0"/>
          <w:numId w:val="2"/>
        </w:numPr>
        <w:spacing w:before="40" w:after="40"/>
      </w:pPr>
      <w:r>
        <w:t>Database tier (health check): 77-80 data resources - 40 SQL Databases, 29 SQL Servers (all 29 flagged for public network access), 7 SQL Virtual Machines (IaaS), 1 SQL Managed Instance; Azure AD-only authentication on just 3/80, Private Endpoints enabled 0/80, TLS 1.2 universal, 32 data services with public network access; across the Data &amp; AI platform Private Endpoints are Not Enabled on 47/66 and Risk Level Medium applies to 40/72 resources.</w:t>
      </w:r>
    </w:p>
    <w:p w14:paraId="047442B4" w14:textId="77777777" w:rsidR="0026123B" w:rsidRDefault="00000000">
      <w:pPr>
        <w:spacing w:before="60" w:after="60"/>
      </w:pPr>
      <w:r>
        <w:rPr>
          <w:b/>
        </w:rPr>
        <w:t>Key risks</w:t>
      </w:r>
    </w:p>
    <w:p w14:paraId="7B2FB1A7" w14:textId="77777777" w:rsidR="0026123B" w:rsidRDefault="00000000">
      <w:pPr>
        <w:pStyle w:val="ListParagraph"/>
        <w:numPr>
          <w:ilvl w:val="0"/>
          <w:numId w:val="2"/>
        </w:numPr>
        <w:spacing w:before="40" w:after="40"/>
      </w:pPr>
      <w:r>
        <w:t>Supplier lock-in on a critical EDP component (ARA under Node 4) plus fragmented parallel architectures (legacy EDP vs Fabric, 13 ML Studio + 5 Foundry environments) limit CQC's control over modernisation and create duplication and inconsistent standards.</w:t>
      </w:r>
    </w:p>
    <w:p w14:paraId="6FBF51B2" w14:textId="77777777" w:rsidR="0026123B" w:rsidRDefault="00000000">
      <w:pPr>
        <w:pStyle w:val="ListParagraph"/>
        <w:numPr>
          <w:ilvl w:val="0"/>
          <w:numId w:val="2"/>
        </w:numPr>
        <w:spacing w:before="40" w:after="40"/>
      </w:pPr>
      <w:r>
        <w:t>Uncontrolled deployment across 21 Data Factory instances (no source control/CI-CD) introduces binary production risk with recovery reliant on manual reconstruction.</w:t>
      </w:r>
    </w:p>
    <w:p w14:paraId="19AE0796" w14:textId="77777777" w:rsidR="0026123B" w:rsidRDefault="00000000">
      <w:pPr>
        <w:pStyle w:val="ListParagraph"/>
        <w:numPr>
          <w:ilvl w:val="0"/>
          <w:numId w:val="2"/>
        </w:numPr>
        <w:spacing w:before="40" w:after="40"/>
      </w:pPr>
      <w:r>
        <w:t>Material data-exfiltration exposure from public network access, no SQL auditing and no DEP across Synapse (3/3) and the broader estate (32 services public, only 3/80 Azure AD-only, 0/80 private endpoints on the DB tier).</w:t>
      </w:r>
    </w:p>
    <w:p w14:paraId="4465CAF3" w14:textId="77777777" w:rsidR="0026123B" w:rsidRDefault="00000000">
      <w:pPr>
        <w:pStyle w:val="ListParagraph"/>
        <w:numPr>
          <w:ilvl w:val="0"/>
          <w:numId w:val="2"/>
        </w:numPr>
        <w:spacing w:before="40" w:after="40"/>
      </w:pPr>
      <w:r>
        <w:t>Active GDPR compliance exposure - NHS ESR data retained indefinitely in interim storage with no enforceable retention or sensitivity-labelling controls, compounded by a two-instance Purview governance split.</w:t>
      </w:r>
    </w:p>
    <w:p w14:paraId="1027B4BB" w14:textId="77777777" w:rsidR="0026123B" w:rsidRDefault="00000000">
      <w:pPr>
        <w:pStyle w:val="ListParagraph"/>
        <w:numPr>
          <w:ilvl w:val="0"/>
          <w:numId w:val="2"/>
        </w:numPr>
        <w:spacing w:before="40" w:after="40"/>
      </w:pPr>
      <w:r>
        <w:t>No formal MLOps and direct, ungoverned model-endpoint exposure with no managed API layer fronting AI services, plus public-package supply-chain risk validated only post-build, undermining auditability, security and scalability of production/regulator-facing AI.</w:t>
      </w:r>
    </w:p>
    <w:p w14:paraId="5E4D255A" w14:textId="77777777" w:rsidR="0026123B" w:rsidRDefault="00000000">
      <w:pPr>
        <w:spacing w:before="60" w:after="60"/>
      </w:pPr>
      <w:r>
        <w:rPr>
          <w:b/>
        </w:rPr>
        <w:t>Priority recommendations</w:t>
      </w:r>
    </w:p>
    <w:p w14:paraId="509EC91B" w14:textId="77777777" w:rsidR="0026123B" w:rsidRDefault="00000000">
      <w:pPr>
        <w:pStyle w:val="ListParagraph"/>
        <w:numPr>
          <w:ilvl w:val="0"/>
          <w:numId w:val="2"/>
        </w:numPr>
        <w:spacing w:before="40" w:after="40"/>
      </w:pPr>
      <w:r>
        <w:t>Platform architecture: define and enforce a target-state, converging on a simplified Fabric-led platform; rationalise legacy Synapse, duplicated ML environments and Databricks where not required; reduce ARA dependency via a Fabric-native orchestration pilot; establish environment parity; and decommission legacy resources.</w:t>
      </w:r>
    </w:p>
    <w:p w14:paraId="769601B9" w14:textId="77777777" w:rsidR="0026123B" w:rsidRDefault="00000000">
      <w:pPr>
        <w:pStyle w:val="ListParagraph"/>
        <w:numPr>
          <w:ilvl w:val="0"/>
          <w:numId w:val="2"/>
        </w:numPr>
        <w:spacing w:before="40" w:after="40"/>
      </w:pPr>
      <w:r>
        <w:t>Data engineering: connect all Azure Data Factory instances to Git-based source control and standard CI/CD; standardise pipeline patterns; rationalise duplicated datasets/linked services/logging; audit Integration Runtimes (pause unused SSIS-IR, auto-resolve); consolidate ADF instances; and retire Dataflow Gen1 ahead of deprecation.</w:t>
      </w:r>
    </w:p>
    <w:p w14:paraId="73CD0C24" w14:textId="77777777" w:rsidR="0026123B" w:rsidRDefault="00000000">
      <w:pPr>
        <w:pStyle w:val="ListParagraph"/>
        <w:numPr>
          <w:ilvl w:val="0"/>
          <w:numId w:val="2"/>
        </w:numPr>
        <w:spacing w:before="40" w:after="40"/>
      </w:pPr>
      <w:r>
        <w:t>Security and encryption: implement Customer Managed Keys across Databricks, Azure OpenAI and AI Foundry; close Synapse gaps (enable DEP and SQL auditing, remove public network access); adopt private networking via Private Endpoints and DNS; and enforce pipeline dependency controls so only approved artefacts are used.</w:t>
      </w:r>
    </w:p>
    <w:p w14:paraId="1C57BDB0" w14:textId="77777777" w:rsidR="0026123B" w:rsidRDefault="00000000">
      <w:pPr>
        <w:pStyle w:val="ListParagraph"/>
        <w:numPr>
          <w:ilvl w:val="0"/>
          <w:numId w:val="2"/>
        </w:numPr>
        <w:spacing w:before="40" w:after="40"/>
      </w:pPr>
      <w:r>
        <w:t>AI/ML Operations: establish a formal MLOps framework (CI/CD for models, centralised model registry with controlled promotion, monitoring with drift detection and automated retraining); modernise ML Studio and Foundry to production-ready MLOps designs; and mandate MLOps as a precondition for production and regulator-facing AI.</w:t>
      </w:r>
    </w:p>
    <w:p w14:paraId="6D14BF1C" w14:textId="77777777" w:rsidR="0026123B" w:rsidRDefault="00000000">
      <w:pPr>
        <w:pStyle w:val="ListParagraph"/>
        <w:numPr>
          <w:ilvl w:val="0"/>
          <w:numId w:val="2"/>
        </w:numPr>
        <w:spacing w:before="40" w:after="40"/>
      </w:pPr>
      <w:r>
        <w:lastRenderedPageBreak/>
        <w:t>AI exposure and productisation: introduce an API-led architecture fronting AI services with a managed API layer (such as APIM) for access, versioning, throttling and policy enforcement; define an AI exposure strategy for internal/external consumers; and implement an AI embedding strategy via Copilot-style integrations in operational workflows.</w:t>
      </w:r>
    </w:p>
    <w:p w14:paraId="4FF47B86" w14:textId="77777777" w:rsidR="0026123B" w:rsidRDefault="00000000">
      <w:pPr>
        <w:pStyle w:val="ListParagraph"/>
        <w:numPr>
          <w:ilvl w:val="0"/>
          <w:numId w:val="2"/>
        </w:numPr>
        <w:spacing w:before="40" w:after="40"/>
      </w:pPr>
      <w:r>
        <w:t>Platform-specific optimisation: implement automated scaling and pause/resume on large Fabric capacities (F64, F128); review and consolidate Databricks workspaces (retain only for high-volume processing, advanced data science or geospatial, apply CMK/diagnostics/private networking, else migrate to Fabric and decommission); modernise Synapse alongside the Fabric migration; and enforce private networking (Private Endpoints and DNS) on ML Studio and Foundry, decommissioning redundant environments.</w:t>
      </w:r>
    </w:p>
    <w:p w14:paraId="7133A250" w14:textId="77777777" w:rsidR="0026123B" w:rsidRDefault="00000000">
      <w:pPr>
        <w:pStyle w:val="Heading2"/>
      </w:pPr>
      <w:bookmarkStart w:id="26" w:name="_Toc235173325"/>
      <w:r>
        <w:t>6.11 Cross-Cutting Themes &amp; Systemic Patterns</w:t>
      </w:r>
      <w:bookmarkEnd w:id="26"/>
    </w:p>
    <w:p w14:paraId="64E6C0B6" w14:textId="77777777" w:rsidR="0026123B" w:rsidRDefault="00000000">
      <w:pPr>
        <w:spacing w:before="60" w:after="60"/>
      </w:pPr>
      <w:r>
        <w:t>Several patterns recur across the domains above. They matter more than any single finding because one intervention addresses many symptoms at once, and because they shape the order in which the work packages should run.</w:t>
      </w:r>
    </w:p>
    <w:p w14:paraId="037BE475" w14:textId="77777777" w:rsidR="0026123B" w:rsidRDefault="00000000">
      <w:pPr>
        <w:pStyle w:val="ListParagraph"/>
        <w:numPr>
          <w:ilvl w:val="0"/>
          <w:numId w:val="2"/>
        </w:numPr>
        <w:spacing w:before="40" w:after="40"/>
      </w:pPr>
      <w:r>
        <w:t>Telemetry and the diagnostic-settings gap. The same root cause appears in at least four domains — 0 of 118 Key Vaults with diagnostic settings, 100% of 1,461 inspected resources with none configured, most Log Analytics workspaces below the 90-day retention policy, and no auditing on the database tier. Enforcing diagnostic settings by Azure Policy is the single highest-leverage fix: it restores the audit trail and gives the SOC a usable data plane, unblocking the value of Defender for Cloud and Sentinel (WP04, WP10).</w:t>
      </w:r>
    </w:p>
    <w:p w14:paraId="42F803EB" w14:textId="77777777" w:rsidR="0026123B" w:rsidRDefault="00000000">
      <w:pPr>
        <w:pStyle w:val="ListParagraph"/>
        <w:numPr>
          <w:ilvl w:val="0"/>
          <w:numId w:val="2"/>
        </w:numPr>
        <w:spacing w:before="40" w:after="40"/>
      </w:pPr>
      <w:r>
        <w:t>Public-by-default network exposure. 107 of 118 Key Vaults, all 12 API Management instances, 158 of 161 Function Apps, 386 of 665 storage accounts and 32 data services are reachable from the public internet. The estate's default posture is open; the target pattern (private endpoints, disabled public access, policy-enforced) already exists in the new-world platform and must be extended across the legacy footprint (WP08, WP09, WP11).</w:t>
      </w:r>
    </w:p>
    <w:p w14:paraId="3FBB16AD" w14:textId="77777777" w:rsidR="0026123B" w:rsidRDefault="00000000">
      <w:pPr>
        <w:pStyle w:val="ListParagraph"/>
        <w:numPr>
          <w:ilvl w:val="0"/>
          <w:numId w:val="2"/>
        </w:numPr>
        <w:spacing w:before="40" w:after="40"/>
      </w:pPr>
      <w:r>
        <w:t>Standing privilege and ClickOps. 100% of role assignments are permanent with no PIM, four Global Administrators are always-on, 163 Classic Administrators persist, and manual changes routinely override Terraform — described as structural drift in AIS and Identity. Preventive identity controls and pipeline-only deployment are the counter-measures (WP05, WP13).</w:t>
      </w:r>
    </w:p>
    <w:p w14:paraId="0761CF8E" w14:textId="77777777" w:rsidR="0026123B" w:rsidRDefault="00000000">
      <w:pPr>
        <w:pStyle w:val="ListParagraph"/>
        <w:numPr>
          <w:ilvl w:val="0"/>
          <w:numId w:val="2"/>
        </w:numPr>
        <w:spacing w:before="40" w:after="40"/>
      </w:pPr>
      <w:r>
        <w:t>Legacy vs new-world split — the remediate-vs-migrate decision. Almost every workload sits on the retiring mg-cqc-legacy and mg-cqc-root branches, with nothing yet built on the live CQC CAF target. The core sequencing question is therefore not only what to fix but where: fix in place only where the asset will survive migration or the exposure is acute (WP02); otherwise remediate as part of the CAF rebuild (WP16), to avoid spending effort on assets that are being decommissioned. WP03 (CAF consolidation) and WP16 (migration) are the critical path that gate most other packages.</w:t>
      </w:r>
    </w:p>
    <w:p w14:paraId="4E6432DB" w14:textId="77777777" w:rsidR="0026123B" w:rsidRDefault="00000000">
      <w:pPr>
        <w:pStyle w:val="ListParagraph"/>
        <w:numPr>
          <w:ilvl w:val="0"/>
          <w:numId w:val="2"/>
        </w:numPr>
        <w:spacing w:before="40" w:after="40"/>
      </w:pPr>
      <w:r>
        <w:t>Multi-supplier operating model with ownership gaps. Delivery spans Littlefish (tenant administration), Avanade and Node 4 (ARA/EDP lock-in), KPMG (residual Production Contributor and an unattributable firewall rule), Infosys (Siebel), Hitachi, Vodafone (public DNS) and NHS CSOC — plus a third-party-managed firewall ruleset with no owner-of-record. Clear service ownership, supplier exit plans and a single point of technical arbitration (WP01) are prerequisites for the rest of the programme.</w:t>
      </w:r>
    </w:p>
    <w:p w14:paraId="74FFE534" w14:textId="77777777" w:rsidR="0026123B" w:rsidRDefault="00000000">
      <w:pPr>
        <w:pStyle w:val="ListParagraph"/>
        <w:numPr>
          <w:ilvl w:val="0"/>
          <w:numId w:val="2"/>
        </w:numPr>
        <w:spacing w:before="40" w:after="40"/>
      </w:pPr>
      <w:r>
        <w:t>Single-region concentration and unproven DR. 86% of resources sit in a capacity-constrained UK South, UK West offers only a single availability zone, Cross-Region Restore is disabled on all 20 Recovery Services Vaults, and 41% of backup items are not actively protected. Resilience and a tested disaster-recovery posture are currently spread across WP07, WP10 and WP16 and need an explicit named owner.</w:t>
      </w:r>
    </w:p>
    <w:p w14:paraId="18090071" w14:textId="77777777" w:rsidR="0026123B" w:rsidRDefault="00000000">
      <w:pPr>
        <w:pStyle w:val="ListParagraph"/>
        <w:numPr>
          <w:ilvl w:val="0"/>
          <w:numId w:val="2"/>
        </w:numPr>
        <w:spacing w:before="40" w:after="40"/>
      </w:pPr>
      <w:r>
        <w:t>GDPR and NHS-data compliance exposure. NHS Employee Service Record (ESR) data is retained indefinitely in an interim storage account with no retention policy, Microsoft Purview runs as a split two-portal deployment, and CQC holds no ISO 27001 or Cyber Essentials certification while a DSPT failure would cut access to patient data. Data governance and a compliance/certification roadmap (DSPT, Secure by Design) run through WP14.</w:t>
      </w:r>
    </w:p>
    <w:p w14:paraId="2C62AEF7" w14:textId="77777777" w:rsidR="0026123B" w:rsidRDefault="00000000">
      <w:pPr>
        <w:pStyle w:val="Heading1"/>
      </w:pPr>
      <w:bookmarkStart w:id="27" w:name="_Toc235173326"/>
      <w:r>
        <w:lastRenderedPageBreak/>
        <w:t>7. Priority Risks &amp; Urgent Security Remediation</w:t>
      </w:r>
      <w:bookmarkEnd w:id="27"/>
    </w:p>
    <w:p w14:paraId="60DF113F" w14:textId="77777777" w:rsidR="0026123B" w:rsidRDefault="00000000">
      <w:pPr>
        <w:spacing w:before="60" w:after="60"/>
      </w:pPr>
      <w:r>
        <w:t>Eight findings represent the highest-priority exposure and are recommended for immediate remediation in Phase 1, ahead of the wider programme. These are consolidated in work package WP02.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872"/>
        <w:gridCol w:w="4176"/>
        <w:gridCol w:w="1368"/>
      </w:tblGrid>
      <w:tr w:rsidR="0026123B" w14:paraId="791A3111" w14:textId="77777777">
        <w:tc>
          <w:tcPr>
            <w:tcW w:w="1944"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8A57DB8" w14:textId="77777777" w:rsidR="0026123B" w:rsidRDefault="00000000">
            <w:pPr>
              <w:jc w:val="center"/>
            </w:pPr>
            <w:r>
              <w:rPr>
                <w:b/>
                <w:bCs/>
                <w:color w:val="FFFFFF"/>
              </w:rPr>
              <w:t>Area</w:t>
            </w:r>
          </w:p>
        </w:tc>
        <w:tc>
          <w:tcPr>
            <w:tcW w:w="1872"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FD4E1E6" w14:textId="77777777" w:rsidR="0026123B" w:rsidRDefault="00000000">
            <w:pPr>
              <w:jc w:val="center"/>
            </w:pPr>
            <w:r>
              <w:rPr>
                <w:b/>
                <w:bCs/>
                <w:color w:val="FFFFFF"/>
              </w:rPr>
              <w:t>Sub-Area</w:t>
            </w:r>
          </w:p>
        </w:tc>
        <w:tc>
          <w:tcPr>
            <w:tcW w:w="4176"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4EAF72B" w14:textId="77777777" w:rsidR="0026123B" w:rsidRDefault="00000000">
            <w:pPr>
              <w:jc w:val="center"/>
            </w:pPr>
            <w:r>
              <w:rPr>
                <w:b/>
                <w:bCs/>
                <w:color w:val="FFFFFF"/>
              </w:rPr>
              <w:t>Recommendation</w:t>
            </w:r>
          </w:p>
        </w:tc>
        <w:tc>
          <w:tcPr>
            <w:tcW w:w="1368"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518F275" w14:textId="77777777" w:rsidR="0026123B" w:rsidRDefault="00000000">
            <w:pPr>
              <w:jc w:val="center"/>
            </w:pPr>
            <w:r>
              <w:rPr>
                <w:b/>
                <w:bCs/>
                <w:color w:val="FFFFFF"/>
              </w:rPr>
              <w:t>Owner</w:t>
            </w:r>
          </w:p>
        </w:tc>
      </w:tr>
      <w:tr w:rsidR="0026123B" w14:paraId="0A0D2AD4" w14:textId="77777777">
        <w:tc>
          <w:tcPr>
            <w:tcW w:w="19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D94CB6" w14:textId="77777777" w:rsidR="0026123B" w:rsidRDefault="00000000">
            <w:r>
              <w:t>Networking &amp; Security</w:t>
            </w:r>
          </w:p>
        </w:tc>
        <w:tc>
          <w:tcPr>
            <w:tcW w:w="187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60E5EB" w14:textId="77777777" w:rsidR="0026123B" w:rsidRDefault="00000000">
            <w:r>
              <w:t>NSG &amp; Segmentation</w:t>
            </w:r>
          </w:p>
        </w:tc>
        <w:tc>
          <w:tcPr>
            <w:tcW w:w="41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612F55" w14:textId="77777777" w:rsidR="0026123B" w:rsidRDefault="00000000">
            <w:r>
              <w:t>Lock down exposed management ports (RDP/SSH)</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6183E0" w14:textId="77777777" w:rsidR="0026123B" w:rsidRDefault="00000000">
            <w:r>
              <w:t>Platform</w:t>
            </w:r>
          </w:p>
        </w:tc>
      </w:tr>
      <w:tr w:rsidR="0026123B" w14:paraId="008BE496" w14:textId="77777777">
        <w:tc>
          <w:tcPr>
            <w:tcW w:w="19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30C3A2" w14:textId="77777777" w:rsidR="0026123B" w:rsidRDefault="00000000">
            <w:r>
              <w:t>External Exposure</w:t>
            </w:r>
          </w:p>
        </w:tc>
        <w:tc>
          <w:tcPr>
            <w:tcW w:w="187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CDF5AC" w14:textId="77777777" w:rsidR="0026123B" w:rsidRDefault="00000000">
            <w:r>
              <w:t>Public IP</w:t>
            </w:r>
          </w:p>
        </w:tc>
        <w:tc>
          <w:tcPr>
            <w:tcW w:w="41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567678" w14:textId="77777777" w:rsidR="0026123B" w:rsidRDefault="00000000">
            <w:r>
              <w:t>Remove direct VM public IP exposure</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0B88CD" w14:textId="77777777" w:rsidR="0026123B" w:rsidRDefault="00000000">
            <w:r>
              <w:t>Network</w:t>
            </w:r>
          </w:p>
        </w:tc>
      </w:tr>
      <w:tr w:rsidR="0026123B" w14:paraId="38862FEB" w14:textId="77777777">
        <w:tc>
          <w:tcPr>
            <w:tcW w:w="19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CD063E" w14:textId="77777777" w:rsidR="0026123B" w:rsidRDefault="00000000">
            <w:r>
              <w:t>Secret &amp; Key Mgmt</w:t>
            </w:r>
          </w:p>
        </w:tc>
        <w:tc>
          <w:tcPr>
            <w:tcW w:w="187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753166" w14:textId="77777777" w:rsidR="0026123B" w:rsidRDefault="00000000">
            <w:r>
              <w:t>Public Access</w:t>
            </w:r>
          </w:p>
        </w:tc>
        <w:tc>
          <w:tcPr>
            <w:tcW w:w="41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F4CFDE" w14:textId="77777777" w:rsidR="0026123B" w:rsidRDefault="00000000">
            <w:r>
              <w:t>Disable public network access on prod/pre-prod key vaults; front with Private Endpoints</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D71D26" w14:textId="77777777" w:rsidR="0026123B" w:rsidRDefault="00000000">
            <w:r>
              <w:t>Platform</w:t>
            </w:r>
          </w:p>
        </w:tc>
      </w:tr>
      <w:tr w:rsidR="0026123B" w14:paraId="07335FB5" w14:textId="77777777">
        <w:tc>
          <w:tcPr>
            <w:tcW w:w="19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E9208B" w14:textId="77777777" w:rsidR="0026123B" w:rsidRDefault="00000000">
            <w:r>
              <w:t>Identity Management</w:t>
            </w:r>
          </w:p>
        </w:tc>
        <w:tc>
          <w:tcPr>
            <w:tcW w:w="187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9223A1" w14:textId="77777777" w:rsidR="0026123B" w:rsidRDefault="00000000">
            <w:r>
              <w:t>Identity Infrastructure</w:t>
            </w:r>
          </w:p>
        </w:tc>
        <w:tc>
          <w:tcPr>
            <w:tcW w:w="41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16D94A2" w14:textId="77777777" w:rsidR="0026123B" w:rsidRDefault="00000000">
            <w:r>
              <w:t>Remove or re-validate former partner access in Production (e.g. KPMG / AIS)</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EBC6B9" w14:textId="77777777" w:rsidR="0026123B" w:rsidRDefault="00000000">
            <w:r>
              <w:t>Security</w:t>
            </w:r>
          </w:p>
        </w:tc>
      </w:tr>
      <w:tr w:rsidR="0026123B" w14:paraId="4334EFBF" w14:textId="77777777">
        <w:tc>
          <w:tcPr>
            <w:tcW w:w="19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EB5494" w14:textId="77777777" w:rsidR="0026123B" w:rsidRDefault="00000000">
            <w:r>
              <w:t>Identity Management</w:t>
            </w:r>
          </w:p>
        </w:tc>
        <w:tc>
          <w:tcPr>
            <w:tcW w:w="187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18A9F3" w14:textId="77777777" w:rsidR="0026123B" w:rsidRDefault="00000000">
            <w:r>
              <w:t>Privileged Access</w:t>
            </w:r>
          </w:p>
        </w:tc>
        <w:tc>
          <w:tcPr>
            <w:tcW w:w="41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3CB69A" w14:textId="77777777" w:rsidR="0026123B" w:rsidRDefault="00000000">
            <w:r>
              <w:t>Extend PIM to all Global Administrators</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361E4A" w14:textId="77777777" w:rsidR="0026123B" w:rsidRDefault="00000000">
            <w:r>
              <w:t>Security</w:t>
            </w:r>
          </w:p>
        </w:tc>
      </w:tr>
      <w:tr w:rsidR="0026123B" w14:paraId="49C0BC65" w14:textId="77777777">
        <w:tc>
          <w:tcPr>
            <w:tcW w:w="19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DE5DC2" w14:textId="77777777" w:rsidR="0026123B" w:rsidRDefault="00000000">
            <w:r>
              <w:t>Workloads</w:t>
            </w:r>
          </w:p>
        </w:tc>
        <w:tc>
          <w:tcPr>
            <w:tcW w:w="187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BFC07B" w14:textId="77777777" w:rsidR="0026123B" w:rsidRDefault="00000000">
            <w:r>
              <w:t>Network Isolation</w:t>
            </w:r>
          </w:p>
        </w:tc>
        <w:tc>
          <w:tcPr>
            <w:tcW w:w="41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4802D4" w14:textId="77777777" w:rsidR="0026123B" w:rsidRDefault="00000000">
            <w:r>
              <w:t>Privatise the data tier; disable public access on SQL</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A1582D" w14:textId="77777777" w:rsidR="0026123B" w:rsidRDefault="00000000">
            <w:r>
              <w:t>Data</w:t>
            </w:r>
          </w:p>
        </w:tc>
      </w:tr>
      <w:tr w:rsidR="0026123B" w14:paraId="24E633E9" w14:textId="77777777">
        <w:tc>
          <w:tcPr>
            <w:tcW w:w="19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0846E3" w14:textId="77777777" w:rsidR="0026123B" w:rsidRDefault="00000000">
            <w:r>
              <w:t>Workloads</w:t>
            </w:r>
          </w:p>
        </w:tc>
        <w:tc>
          <w:tcPr>
            <w:tcW w:w="187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941DED" w14:textId="77777777" w:rsidR="0026123B" w:rsidRDefault="00000000">
            <w:r>
              <w:t>Storage</w:t>
            </w:r>
          </w:p>
        </w:tc>
        <w:tc>
          <w:tcPr>
            <w:tcW w:w="41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4CCE10" w14:textId="77777777" w:rsidR="0026123B" w:rsidRDefault="00000000">
            <w:r>
              <w:t>Remediate critically exposed storage accounts</w:t>
            </w:r>
          </w:p>
        </w:tc>
        <w:tc>
          <w:tcPr>
            <w:tcW w:w="136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18CD" w14:textId="77777777" w:rsidR="0026123B" w:rsidRDefault="00000000">
            <w:r>
              <w:t>Platform</w:t>
            </w:r>
          </w:p>
        </w:tc>
      </w:tr>
      <w:tr w:rsidR="0026123B" w14:paraId="68115C0A" w14:textId="77777777">
        <w:tc>
          <w:tcPr>
            <w:tcW w:w="19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623767" w14:textId="77777777" w:rsidR="0026123B" w:rsidRDefault="00000000">
            <w:r>
              <w:t>Workloads</w:t>
            </w:r>
          </w:p>
        </w:tc>
        <w:tc>
          <w:tcPr>
            <w:tcW w:w="187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F44862" w14:textId="77777777" w:rsidR="0026123B" w:rsidRDefault="00000000">
            <w:r>
              <w:t>Storage</w:t>
            </w:r>
          </w:p>
        </w:tc>
        <w:tc>
          <w:tcPr>
            <w:tcW w:w="41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89828A" w14:textId="77777777" w:rsidR="0026123B" w:rsidRDefault="00000000">
            <w:r>
              <w:t>Enforce a Storage Account baseline policy initiative</w:t>
            </w:r>
          </w:p>
        </w:tc>
        <w:tc>
          <w:tcPr>
            <w:tcW w:w="136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619EAF" w14:textId="77777777" w:rsidR="0026123B" w:rsidRDefault="00000000">
            <w:r>
              <w:t>Platform</w:t>
            </w:r>
          </w:p>
        </w:tc>
      </w:tr>
    </w:tbl>
    <w:p w14:paraId="7D04DBDF" w14:textId="77777777" w:rsidR="0026123B" w:rsidRDefault="00000000">
      <w:pPr>
        <w:pStyle w:val="Heading1"/>
      </w:pPr>
      <w:bookmarkStart w:id="28" w:name="_Toc235173327"/>
      <w:r>
        <w:t>8. Target Operating Model</w:t>
      </w:r>
      <w:bookmarkEnd w:id="28"/>
    </w:p>
    <w:p w14:paraId="3E73FDF6" w14:textId="77777777" w:rsidR="0026123B" w:rsidRDefault="00000000">
      <w:pPr>
        <w:pStyle w:val="Heading2"/>
      </w:pPr>
      <w:bookmarkStart w:id="29" w:name="_Toc235173328"/>
      <w:r>
        <w:t>8.1 The Coordination Gap</w:t>
      </w:r>
      <w:bookmarkEnd w:id="29"/>
    </w:p>
    <w:p w14:paraId="02E29B44" w14:textId="77777777" w:rsidR="0026123B" w:rsidRDefault="00000000">
      <w:pPr>
        <w:spacing w:before="60" w:after="60"/>
      </w:pPr>
      <w:r>
        <w:t>The capability to deliver the rebuild already exists, spread across established teams. What is missing is not a delivery team but the layer that coordinates them: no single body sequences across the workstreams, arbitrates when they compete for the same people or change windows, or owns the cross-workstream dependencies. The result is parallel delivery without coordination.</w:t>
      </w:r>
    </w:p>
    <w:p w14:paraId="4A6B2B76" w14:textId="77777777" w:rsidR="0026123B" w:rsidRDefault="00000000">
      <w:pPr>
        <w:pStyle w:val="Heading2"/>
      </w:pPr>
      <w:bookmarkStart w:id="30" w:name="_Toc235173329"/>
      <w:r>
        <w:t>8.2 Technical Programme Leadership</w:t>
      </w:r>
      <w:bookmarkEnd w:id="30"/>
    </w:p>
    <w:p w14:paraId="0C6F2AB6" w14:textId="77777777" w:rsidR="0026123B" w:rsidRDefault="00000000">
      <w:pPr>
        <w:spacing w:before="60" w:after="60"/>
      </w:pPr>
      <w:r>
        <w:t>Prioritisation is the dominant blocker. Security remediation competes with platform migration; AIS cost reduction competes with the AIS rebuild; decommissioning is deferred because no one owns the decision to stop. A single point of authority is needed to sequence the work, hold the dependency map, and decide the order when workstreams compete. The Technical Programme Leadership group sits between the CCoE (which governs) and the delivery teams (which build).</w:t>
      </w:r>
    </w:p>
    <w:p w14:paraId="1FC62E42" w14:textId="77777777" w:rsidR="0026123B" w:rsidRDefault="00000000">
      <w:pPr>
        <w:spacing w:before="60" w:after="60"/>
      </w:pPr>
      <w:r>
        <w:rPr>
          <w:b/>
        </w:rPr>
        <w:t>What the group owns</w:t>
      </w:r>
    </w:p>
    <w:p w14:paraId="10E95EEA" w14:textId="77777777" w:rsidR="0026123B" w:rsidRDefault="00000000">
      <w:pPr>
        <w:pStyle w:val="ListParagraph"/>
        <w:numPr>
          <w:ilvl w:val="0"/>
          <w:numId w:val="2"/>
        </w:numPr>
        <w:spacing w:before="40" w:after="40"/>
      </w:pPr>
      <w:r>
        <w:t>Prioritisation across the digital rebuild — deciding the order of work, balancing urgency, dependency, risk and capacity.</w:t>
      </w:r>
    </w:p>
    <w:p w14:paraId="63EAEEAD" w14:textId="77777777" w:rsidR="0026123B" w:rsidRDefault="00000000">
      <w:pPr>
        <w:pStyle w:val="ListParagraph"/>
        <w:numPr>
          <w:ilvl w:val="0"/>
          <w:numId w:val="2"/>
        </w:numPr>
        <w:spacing w:before="40" w:after="40"/>
      </w:pPr>
      <w:r>
        <w:t>Technical direction — architecture decisions, migration sequencing and pattern standards across AIS, EDP, Reg Platform and the platform estate.</w:t>
      </w:r>
    </w:p>
    <w:p w14:paraId="46D3617A" w14:textId="77777777" w:rsidR="0026123B" w:rsidRDefault="00000000">
      <w:pPr>
        <w:pStyle w:val="ListParagraph"/>
        <w:numPr>
          <w:ilvl w:val="0"/>
          <w:numId w:val="2"/>
        </w:numPr>
        <w:spacing w:before="40" w:after="40"/>
      </w:pPr>
      <w:r>
        <w:t>Cross-cutting arbitration — recording the trade-off when security, FinOps, governance and workload teams compete.</w:t>
      </w:r>
    </w:p>
    <w:p w14:paraId="364F5E1C" w14:textId="77777777" w:rsidR="0026123B" w:rsidRDefault="00000000">
      <w:pPr>
        <w:pStyle w:val="ListParagraph"/>
        <w:numPr>
          <w:ilvl w:val="0"/>
          <w:numId w:val="2"/>
        </w:numPr>
        <w:spacing w:before="40" w:after="40"/>
      </w:pPr>
      <w:r>
        <w:t>Transition governance — accountable for retiring legacy hierarchies, migrating workloads into the CAF structure, and decommissioning orphaned resources.</w:t>
      </w:r>
    </w:p>
    <w:p w14:paraId="1DDA3B61" w14:textId="77777777" w:rsidR="0026123B" w:rsidRDefault="00000000">
      <w:pPr>
        <w:pStyle w:val="ListParagraph"/>
        <w:numPr>
          <w:ilvl w:val="0"/>
          <w:numId w:val="2"/>
        </w:numPr>
        <w:spacing w:before="40" w:after="40"/>
      </w:pPr>
      <w:r>
        <w:lastRenderedPageBreak/>
        <w:t>Dependency management — maintaining the cross-workstream dependency map and escalating blockers.</w:t>
      </w:r>
    </w:p>
    <w:p w14:paraId="5824BE98" w14:textId="77777777" w:rsidR="0026123B" w:rsidRDefault="00000000">
      <w:pPr>
        <w:pStyle w:val="ListParagraph"/>
        <w:numPr>
          <w:ilvl w:val="0"/>
          <w:numId w:val="2"/>
        </w:numPr>
        <w:spacing w:before="40" w:after="40"/>
      </w:pPr>
      <w:r>
        <w:t>CCoE alignment and single-view stakeholder reporting on progress, risk, priorities and blockers.</w:t>
      </w:r>
    </w:p>
    <w:p w14:paraId="14B0BC91" w14:textId="77777777" w:rsidR="0026123B" w:rsidRDefault="00000000">
      <w:pPr>
        <w:spacing w:before="60" w:after="60"/>
      </w:pPr>
      <w:r>
        <w:rPr>
          <w:b/>
        </w:rPr>
        <w:t>What the group does not own</w:t>
      </w:r>
    </w:p>
    <w:p w14:paraId="5B3EB701" w14:textId="77777777" w:rsidR="0026123B" w:rsidRDefault="00000000">
      <w:pPr>
        <w:pStyle w:val="ListParagraph"/>
        <w:numPr>
          <w:ilvl w:val="0"/>
          <w:numId w:val="2"/>
        </w:numPr>
        <w:spacing w:before="40" w:after="40"/>
      </w:pPr>
      <w:r>
        <w:t>Day-to-day platform operations — these remain with the Platform team.</w:t>
      </w:r>
    </w:p>
    <w:p w14:paraId="0FFF8146" w14:textId="77777777" w:rsidR="0026123B" w:rsidRDefault="00000000">
      <w:pPr>
        <w:pStyle w:val="ListParagraph"/>
        <w:numPr>
          <w:ilvl w:val="0"/>
          <w:numId w:val="2"/>
        </w:numPr>
        <w:spacing w:before="40" w:after="40"/>
      </w:pPr>
      <w:r>
        <w:t>Workload-level engineering — the AIS, EDP and Reg Platform teams retain delivery responsibility for their domains.</w:t>
      </w:r>
    </w:p>
    <w:p w14:paraId="580F2116" w14:textId="77777777" w:rsidR="0026123B" w:rsidRDefault="00000000">
      <w:pPr>
        <w:pStyle w:val="ListParagraph"/>
        <w:numPr>
          <w:ilvl w:val="0"/>
          <w:numId w:val="2"/>
        </w:numPr>
        <w:spacing w:before="40" w:after="40"/>
      </w:pPr>
      <w:r>
        <w:t>Policy definition — this remains with the cloud working group and the Technical Design Authority (TDA); the group enforces policy, it does not define it.</w:t>
      </w:r>
    </w:p>
    <w:p w14:paraId="57752DD8" w14:textId="77777777" w:rsidR="0026123B" w:rsidRDefault="00000000">
      <w:pPr>
        <w:pStyle w:val="Heading2"/>
      </w:pPr>
      <w:bookmarkStart w:id="31" w:name="_Toc235173330"/>
      <w:r>
        <w:t>8.3 Cloud Centre of Excellence</w:t>
      </w:r>
      <w:bookmarkEnd w:id="31"/>
    </w:p>
    <w:p w14:paraId="456CA40A" w14:textId="77777777" w:rsidR="0026123B" w:rsidRDefault="00000000">
      <w:pPr>
        <w:spacing w:before="60" w:after="60"/>
      </w:pPr>
      <w:r>
        <w:t>The Cloud Centre of Excellence (CCoE) sits inside the Platform team rather than as a standalone body. It sets standards, patterns and policy, and governs exceptions, keeping governance close to the team that operates the platform.</w:t>
      </w:r>
    </w:p>
    <w:p w14:paraId="73DDF509" w14:textId="77777777" w:rsidR="0026123B" w:rsidRDefault="00000000">
      <w:pPr>
        <w:pStyle w:val="Heading2"/>
      </w:pPr>
      <w:bookmarkStart w:id="32" w:name="_Toc235173331"/>
      <w:r>
        <w:t>8.4 Delivery Teams</w:t>
      </w:r>
      <w:bookmarkEnd w:id="32"/>
    </w:p>
    <w:p w14:paraId="250E5F92" w14:textId="77777777" w:rsidR="0026123B" w:rsidRDefault="00000000">
      <w:pPr>
        <w:pStyle w:val="ListParagraph"/>
        <w:numPr>
          <w:ilvl w:val="0"/>
          <w:numId w:val="2"/>
        </w:numPr>
        <w:spacing w:before="40" w:after="40"/>
      </w:pPr>
      <w:r>
        <w:t>Platform team — maintains the Azure tenant, landing zones, subscription vending, identity plumbing, networking and policy enforcement; hosts the emerging CCoE.</w:t>
      </w:r>
    </w:p>
    <w:p w14:paraId="33751CE9" w14:textId="77777777" w:rsidR="0026123B" w:rsidRDefault="00000000">
      <w:pPr>
        <w:pStyle w:val="ListParagraph"/>
        <w:numPr>
          <w:ilvl w:val="0"/>
          <w:numId w:val="2"/>
        </w:numPr>
        <w:spacing w:before="40" w:after="40"/>
      </w:pPr>
      <w:r>
        <w:t>Architecture team — owns target-state design, pattern standards and migration design across the estate.</w:t>
      </w:r>
    </w:p>
    <w:p w14:paraId="2EE2EB51" w14:textId="77777777" w:rsidR="0026123B" w:rsidRDefault="00000000">
      <w:pPr>
        <w:pStyle w:val="ListParagraph"/>
        <w:numPr>
          <w:ilvl w:val="0"/>
          <w:numId w:val="2"/>
        </w:numPr>
        <w:spacing w:before="40" w:after="40"/>
      </w:pPr>
      <w:r>
        <w:t>Security team — operates Sentinel, Defender for Cloud, PIM and incident response, jointly with NHS CSOC.</w:t>
      </w:r>
    </w:p>
    <w:p w14:paraId="526A3FA4" w14:textId="77777777" w:rsidR="0026123B" w:rsidRDefault="00000000">
      <w:pPr>
        <w:pStyle w:val="ListParagraph"/>
        <w:numPr>
          <w:ilvl w:val="0"/>
          <w:numId w:val="2"/>
        </w:numPr>
        <w:spacing w:before="40" w:after="40"/>
      </w:pPr>
      <w:r>
        <w:t>Project / workload teams — AIS, Data Platform &amp; EDP, and Regulatory Platform teams deliver and modernise their own domains.</w:t>
      </w:r>
    </w:p>
    <w:p w14:paraId="51185FC7" w14:textId="77777777" w:rsidR="0026123B" w:rsidRDefault="00000000">
      <w:pPr>
        <w:pStyle w:val="Heading1"/>
      </w:pPr>
      <w:bookmarkStart w:id="33" w:name="_Toc235173332"/>
      <w:r>
        <w:t>9. Prioritised Work Packages</w:t>
      </w:r>
      <w:bookmarkEnd w:id="33"/>
    </w:p>
    <w:p w14:paraId="2F1F3008" w14:textId="77777777" w:rsidR="0026123B" w:rsidRDefault="00000000">
      <w:pPr>
        <w:spacing w:before="60" w:after="60"/>
      </w:pPr>
      <w:r>
        <w:t>The Cloud Health Check produced 129 recommendations, organised by domain. On their own they are an inventory of what to fix, not a plan for how to deliver it. The work packages group those 129 recommendations into sixteen named initiatives, each with a single accountable owner, a delivery phase and a defined set of dependencies. Every recommendation rolls up to exactly one work package, and every work package can be opened up to the recommendations beneath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699"/>
        <w:gridCol w:w="1493"/>
        <w:gridCol w:w="830"/>
        <w:gridCol w:w="719"/>
        <w:gridCol w:w="2834"/>
      </w:tblGrid>
      <w:tr w:rsidR="0026123B" w14:paraId="5EC6A458" w14:textId="77777777">
        <w:tc>
          <w:tcPr>
            <w:tcW w:w="7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827B78" w14:textId="77777777" w:rsidR="0026123B" w:rsidRDefault="00000000">
            <w:pPr>
              <w:jc w:val="center"/>
            </w:pPr>
            <w:r>
              <w:rPr>
                <w:b/>
                <w:bCs/>
                <w:color w:val="FFFFFF"/>
              </w:rPr>
              <w:t>WP</w:t>
            </w:r>
          </w:p>
        </w:tc>
        <w:tc>
          <w:tcPr>
            <w:tcW w:w="2808"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C79F41" w14:textId="77777777" w:rsidR="0026123B" w:rsidRDefault="00000000">
            <w:pPr>
              <w:jc w:val="center"/>
            </w:pPr>
            <w:r>
              <w:rPr>
                <w:b/>
                <w:bCs/>
                <w:color w:val="FFFFFF"/>
              </w:rPr>
              <w:t>Work Package</w:t>
            </w:r>
          </w:p>
        </w:tc>
        <w:tc>
          <w:tcPr>
            <w:tcW w:w="1512"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73579B3" w14:textId="77777777" w:rsidR="0026123B" w:rsidRDefault="00000000">
            <w:pPr>
              <w:jc w:val="center"/>
            </w:pPr>
            <w:r>
              <w:rPr>
                <w:b/>
                <w:bCs/>
                <w:color w:val="FFFFFF"/>
              </w:rPr>
              <w:t>Owner</w:t>
            </w:r>
          </w:p>
        </w:tc>
        <w:tc>
          <w:tcPr>
            <w:tcW w:w="7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98A8FE3" w14:textId="77777777" w:rsidR="0026123B" w:rsidRDefault="00000000">
            <w:pPr>
              <w:jc w:val="center"/>
            </w:pPr>
            <w:r>
              <w:rPr>
                <w:b/>
                <w:bCs/>
                <w:color w:val="FFFFFF"/>
              </w:rPr>
              <w:t>Phase</w:t>
            </w:r>
          </w:p>
        </w:tc>
        <w:tc>
          <w:tcPr>
            <w:tcW w:w="648"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3BEB25B" w14:textId="77777777" w:rsidR="0026123B" w:rsidRDefault="00000000">
            <w:pPr>
              <w:jc w:val="center"/>
            </w:pPr>
            <w:r>
              <w:rPr>
                <w:b/>
                <w:bCs/>
                <w:color w:val="FFFFFF"/>
              </w:rPr>
              <w:t>Recs</w:t>
            </w:r>
          </w:p>
        </w:tc>
        <w:tc>
          <w:tcPr>
            <w:tcW w:w="2952"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5CD446B" w14:textId="77777777" w:rsidR="0026123B" w:rsidRDefault="00000000">
            <w:pPr>
              <w:jc w:val="center"/>
            </w:pPr>
            <w:r>
              <w:rPr>
                <w:b/>
                <w:bCs/>
                <w:color w:val="FFFFFF"/>
              </w:rPr>
              <w:t>Outcome / Description</w:t>
            </w:r>
          </w:p>
        </w:tc>
      </w:tr>
      <w:tr w:rsidR="0026123B" w14:paraId="41F6647F"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9BBE55" w14:textId="77777777" w:rsidR="0026123B" w:rsidRDefault="00000000">
            <w:r>
              <w:rPr>
                <w:b/>
                <w:bCs/>
                <w:color w:val="7030A0"/>
              </w:rPr>
              <w:t>WP01</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E167BE" w14:textId="77777777" w:rsidR="0026123B" w:rsidRDefault="00000000">
            <w:r>
              <w:t>Programme &amp; Operating Model Establishment</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5CBF3" w14:textId="77777777" w:rsidR="0026123B" w:rsidRDefault="00000000">
            <w:r>
              <w:t>Programme</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7E00A4" w14:textId="77777777" w:rsidR="0026123B" w:rsidRDefault="00000000">
            <w:r>
              <w:t>1</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EB8BD7" w14:textId="77777777" w:rsidR="0026123B" w:rsidRDefault="00000000">
            <w:r>
              <w:t>2</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607F09" w14:textId="77777777" w:rsidR="0026123B" w:rsidRDefault="00000000">
            <w:r>
              <w:t>Stand up the Technical Programme Leadership group and the Run/Service teams that sequence, arbitrate and own the rebuild.</w:t>
            </w:r>
          </w:p>
        </w:tc>
      </w:tr>
      <w:tr w:rsidR="0026123B" w14:paraId="1D799E68"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7A2904" w14:textId="77777777" w:rsidR="0026123B" w:rsidRDefault="00000000">
            <w:r>
              <w:rPr>
                <w:b/>
                <w:bCs/>
                <w:color w:val="7030A0"/>
              </w:rPr>
              <w:t>WP02</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843FDD" w14:textId="77777777" w:rsidR="0026123B" w:rsidRDefault="00000000">
            <w:r>
              <w:t>Urgent Security Remediation</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92F114" w14:textId="77777777" w:rsidR="0026123B" w:rsidRDefault="00000000">
            <w:r>
              <w:t>Security / Platform</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376669" w14:textId="77777777" w:rsidR="0026123B" w:rsidRDefault="00000000">
            <w:r>
              <w:t>1</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5606AF7" w14:textId="77777777" w:rsidR="0026123B" w:rsidRDefault="00000000">
            <w:r>
              <w:t>8</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F44EA4" w14:textId="77777777" w:rsidR="0026123B" w:rsidRDefault="00000000">
            <w:r>
              <w:t>Close the eight high-priority exposure findings immediately — management ports, public IPs, key vaults, former partner access, PIM, data tier and storage.</w:t>
            </w:r>
          </w:p>
        </w:tc>
      </w:tr>
      <w:tr w:rsidR="0026123B" w14:paraId="5F142A93"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BEB16E" w14:textId="77777777" w:rsidR="0026123B" w:rsidRDefault="00000000">
            <w:r>
              <w:rPr>
                <w:b/>
                <w:bCs/>
                <w:color w:val="7030A0"/>
              </w:rPr>
              <w:t>WP03</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A9A4E5" w14:textId="77777777" w:rsidR="0026123B" w:rsidRDefault="00000000">
            <w:r>
              <w:t>Landing Zone &amp; CAF Consolidation</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27E086" w14:textId="77777777" w:rsidR="0026123B" w:rsidRDefault="00000000">
            <w:r>
              <w:t>Platform</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DD4DEC" w14:textId="77777777" w:rsidR="0026123B" w:rsidRDefault="00000000">
            <w:r>
              <w:t>1</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031706" w14:textId="77777777" w:rsidR="0026123B" w:rsidRDefault="00000000">
            <w:r>
              <w:t>5</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97152D" w14:textId="77777777" w:rsidR="0026123B" w:rsidRDefault="00000000">
            <w:r>
              <w:t xml:space="preserve">Consolidate onto the new CAF hierarchy, freeze legacy placement, and standardise </w:t>
            </w:r>
            <w:r>
              <w:lastRenderedPageBreak/>
              <w:t>onboarding and subscription vending.</w:t>
            </w:r>
          </w:p>
        </w:tc>
      </w:tr>
      <w:tr w:rsidR="0026123B" w14:paraId="7F4DF656"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B23154" w14:textId="77777777" w:rsidR="0026123B" w:rsidRDefault="00000000">
            <w:r>
              <w:rPr>
                <w:b/>
                <w:bCs/>
                <w:color w:val="7030A0"/>
              </w:rPr>
              <w:lastRenderedPageBreak/>
              <w:t>WP04</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1B3AE3" w14:textId="77777777" w:rsidR="0026123B" w:rsidRDefault="00000000">
            <w:r>
              <w:t>Governance Guardrails &amp; Policy-as-Code</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AEC1FF" w14:textId="77777777" w:rsidR="0026123B" w:rsidRDefault="00000000">
            <w:r>
              <w:t>Platform</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5541EF" w14:textId="77777777" w:rsidR="0026123B" w:rsidRDefault="00000000">
            <w:r>
              <w:t>1–2</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CF2FB0" w14:textId="77777777" w:rsidR="0026123B" w:rsidRDefault="00000000">
            <w:r>
              <w:t>10</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653FD1" w14:textId="77777777" w:rsidR="0026123B" w:rsidRDefault="00000000">
            <w:r>
              <w:t>Move policy from documentary to enforced; publish the policy catalogue, NSG coverage and hosting standards.</w:t>
            </w:r>
          </w:p>
        </w:tc>
      </w:tr>
      <w:tr w:rsidR="0026123B" w14:paraId="751D55B3"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F03108" w14:textId="77777777" w:rsidR="0026123B" w:rsidRDefault="00000000">
            <w:r>
              <w:rPr>
                <w:b/>
                <w:bCs/>
                <w:color w:val="7030A0"/>
              </w:rPr>
              <w:t>WP05</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960068" w14:textId="77777777" w:rsidR="0026123B" w:rsidRDefault="00000000">
            <w:r>
              <w:t>Identity &amp; Privileged Access Hardening</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9A8366" w14:textId="77777777" w:rsidR="0026123B" w:rsidRDefault="00000000">
            <w:r>
              <w:t>Security</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AFD64B" w14:textId="77777777" w:rsidR="0026123B" w:rsidRDefault="00000000">
            <w:r>
              <w:t>2</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BCC700" w14:textId="77777777" w:rsidR="0026123B" w:rsidRDefault="00000000">
            <w:r>
              <w:t>9</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2B16FB" w14:textId="77777777" w:rsidR="0026123B" w:rsidRDefault="00000000">
            <w:r>
              <w:t>Eliminate standing privilege and click-ops, migrate flows to managed identities, and govern the guest lifecycle.</w:t>
            </w:r>
          </w:p>
        </w:tc>
      </w:tr>
      <w:tr w:rsidR="0026123B" w14:paraId="4B0AE9B7"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6DAEEA" w14:textId="77777777" w:rsidR="0026123B" w:rsidRDefault="00000000">
            <w:r>
              <w:rPr>
                <w:b/>
                <w:bCs/>
                <w:color w:val="7030A0"/>
              </w:rPr>
              <w:t>WP06</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DBF649" w14:textId="77777777" w:rsidR="0026123B" w:rsidRDefault="00000000">
            <w:r>
              <w:t>Threat Detection — Defender, Sentinel &amp; B2C</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843FF5" w14:textId="77777777" w:rsidR="0026123B" w:rsidRDefault="00000000">
            <w:r>
              <w:t>Security</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96A5D1" w14:textId="77777777" w:rsidR="0026123B" w:rsidRDefault="00000000">
            <w:r>
              <w:t>2</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644108" w14:textId="77777777" w:rsidR="0026123B" w:rsidRDefault="00000000">
            <w:r>
              <w:t>8</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1F9E5C" w14:textId="77777777" w:rsidR="0026123B" w:rsidRDefault="00000000">
            <w:r>
              <w:t>Right-size Defender coverage, rationalise Sentinel analytics, and own the B2C migration ahead of the 2030 deprecation.</w:t>
            </w:r>
          </w:p>
        </w:tc>
      </w:tr>
      <w:tr w:rsidR="0026123B" w14:paraId="556C47C7"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B4F774" w14:textId="77777777" w:rsidR="0026123B" w:rsidRDefault="00000000">
            <w:r>
              <w:rPr>
                <w:b/>
                <w:bCs/>
                <w:color w:val="7030A0"/>
              </w:rPr>
              <w:t>WP07</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862583" w14:textId="77777777" w:rsidR="0026123B" w:rsidRDefault="00000000">
            <w:r>
              <w:t>Network Topology &amp; Connectivity</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59DC8B" w14:textId="77777777" w:rsidR="0026123B" w:rsidRDefault="00000000">
            <w:r>
              <w:t>Network</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6EA50E" w14:textId="77777777" w:rsidR="0026123B" w:rsidRDefault="00000000">
            <w:r>
              <w:t>1–3</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BEB46C" w14:textId="77777777" w:rsidR="0026123B" w:rsidRDefault="00000000">
            <w:r>
              <w:t>10</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1C5EC3" w14:textId="77777777" w:rsidR="0026123B" w:rsidRDefault="00000000">
            <w:r>
              <w:t>Hub-and-spoke in code, per-region firewalls, DR strategy, private DNS, and retirement of legacy connectivity.</w:t>
            </w:r>
          </w:p>
        </w:tc>
      </w:tr>
      <w:tr w:rsidR="0026123B" w14:paraId="76F5EBA6"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0A72DD" w14:textId="77777777" w:rsidR="0026123B" w:rsidRDefault="00000000">
            <w:r>
              <w:rPr>
                <w:b/>
                <w:bCs/>
                <w:color w:val="7030A0"/>
              </w:rPr>
              <w:t>WP08</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E54C65" w14:textId="77777777" w:rsidR="0026123B" w:rsidRDefault="00000000">
            <w:r>
              <w:t>External Exposure Reduction</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B09CCC" w14:textId="77777777" w:rsidR="0026123B" w:rsidRDefault="00000000">
            <w:r>
              <w:t>Network</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7C43B5" w14:textId="77777777" w:rsidR="0026123B" w:rsidRDefault="00000000">
            <w:r>
              <w:t>2</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3E4B80" w14:textId="77777777" w:rsidR="0026123B" w:rsidRDefault="00000000">
            <w:r>
              <w:t>3</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E331B0" w14:textId="77777777" w:rsidR="0026123B" w:rsidRDefault="00000000">
            <w:r>
              <w:t>DDoS Network Protection, public-IP rationalisation, and premium firewall inspection.</w:t>
            </w:r>
          </w:p>
        </w:tc>
      </w:tr>
      <w:tr w:rsidR="0026123B" w14:paraId="268B9EA5"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5E40C8" w14:textId="77777777" w:rsidR="0026123B" w:rsidRDefault="00000000">
            <w:r>
              <w:rPr>
                <w:b/>
                <w:bCs/>
                <w:color w:val="7030A0"/>
              </w:rPr>
              <w:t>WP09</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E80DB3" w14:textId="77777777" w:rsidR="0026123B" w:rsidRDefault="00000000">
            <w:r>
              <w:t>Secret &amp; Key Management</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626C16" w14:textId="77777777" w:rsidR="0026123B" w:rsidRDefault="00000000">
            <w:r>
              <w:t>Platform</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D95C96" w14:textId="77777777" w:rsidR="0026123B" w:rsidRDefault="00000000">
            <w:r>
              <w:t>1–2</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C1C31A" w14:textId="77777777" w:rsidR="0026123B" w:rsidRDefault="00000000">
            <w:r>
              <w:t>3</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66A9C4" w14:textId="77777777" w:rsidR="0026123B" w:rsidRDefault="00000000">
            <w:r>
              <w:t>Vault-scoped RBAC, purge protection and diagnostics, and resolution of the shared cross-environment vault.</w:t>
            </w:r>
          </w:p>
        </w:tc>
      </w:tr>
      <w:tr w:rsidR="0026123B" w14:paraId="3A26F0B2"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51DCA2" w14:textId="77777777" w:rsidR="0026123B" w:rsidRDefault="00000000">
            <w:r>
              <w:rPr>
                <w:b/>
                <w:bCs/>
                <w:color w:val="7030A0"/>
              </w:rPr>
              <w:t>WP10</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8A11A3" w14:textId="77777777" w:rsidR="0026123B" w:rsidRDefault="00000000">
            <w:r>
              <w:t>Observability &amp; ITSM Uplift</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D36B71" w14:textId="77777777" w:rsidR="0026123B" w:rsidRDefault="00000000">
            <w:r>
              <w:t>Operations</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CD7DA1" w14:textId="77777777" w:rsidR="0026123B" w:rsidRDefault="00000000">
            <w:r>
              <w:t>2</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597071" w14:textId="77777777" w:rsidR="0026123B" w:rsidRDefault="00000000">
            <w:r>
              <w:t>10</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3B688F" w14:textId="77777777" w:rsidR="0026123B" w:rsidRDefault="00000000">
            <w:r>
              <w:t>Consolidate monitoring, fix alert routing, move dashboards to code, and stand up the native ServiceNow connector.</w:t>
            </w:r>
          </w:p>
        </w:tc>
      </w:tr>
      <w:tr w:rsidR="0026123B" w14:paraId="321EAA24"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EC9FBB" w14:textId="77777777" w:rsidR="0026123B" w:rsidRDefault="00000000">
            <w:r>
              <w:rPr>
                <w:b/>
                <w:bCs/>
                <w:color w:val="7030A0"/>
              </w:rPr>
              <w:t>WP11</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B86BDA" w14:textId="77777777" w:rsidR="0026123B" w:rsidRDefault="00000000">
            <w:r>
              <w:t>Workload Security &amp; Hosting Modernisation</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0E5667" w14:textId="77777777" w:rsidR="0026123B" w:rsidRDefault="00000000">
            <w:r>
              <w:t>Integration</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156D7B" w14:textId="77777777" w:rsidR="0026123B" w:rsidRDefault="00000000">
            <w:r>
              <w:t>2</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15ED24" w14:textId="77777777" w:rsidR="0026123B" w:rsidRDefault="00000000">
            <w:r>
              <w:t>12</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372F4E" w14:textId="77777777" w:rsidR="0026123B" w:rsidRDefault="00000000">
            <w:r>
              <w:t>Authenticate SQL / APIM / Functions, restrict exposure, and rationalise compute and App Service hosting.</w:t>
            </w:r>
          </w:p>
        </w:tc>
      </w:tr>
      <w:tr w:rsidR="0026123B" w14:paraId="71582112"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71E2A5" w14:textId="77777777" w:rsidR="0026123B" w:rsidRDefault="00000000">
            <w:r>
              <w:rPr>
                <w:b/>
                <w:bCs/>
                <w:color w:val="7030A0"/>
              </w:rPr>
              <w:t>WP12</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10BD4A" w14:textId="77777777" w:rsidR="0026123B" w:rsidRDefault="00000000">
            <w:r>
              <w:t>FinOps Operating Model &amp; Cost Optimisation</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3AA88F" w14:textId="77777777" w:rsidR="0026123B" w:rsidRDefault="00000000">
            <w:r>
              <w:t>FinOps</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614659" w14:textId="77777777" w:rsidR="0026123B" w:rsidRDefault="00000000">
            <w:r>
              <w:t>2</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D49A59" w14:textId="77777777" w:rsidR="0026123B" w:rsidRDefault="00000000">
            <w:r>
              <w:t>12</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323641" w14:textId="77777777" w:rsidR="0026123B" w:rsidRDefault="00000000">
            <w:r>
              <w:t>Tagging and chargeback, reservations, right-sizing, and a monthly FinOps cadence with cost as a design input.</w:t>
            </w:r>
          </w:p>
        </w:tc>
      </w:tr>
      <w:tr w:rsidR="0026123B" w14:paraId="71AF3118"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F997FD" w14:textId="77777777" w:rsidR="0026123B" w:rsidRDefault="00000000">
            <w:r>
              <w:rPr>
                <w:b/>
                <w:bCs/>
                <w:color w:val="7030A0"/>
              </w:rPr>
              <w:t>WP13</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48A6D7" w14:textId="77777777" w:rsidR="0026123B" w:rsidRDefault="00000000">
            <w:r>
              <w:t>AIS Modernisation</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356F74" w14:textId="77777777" w:rsidR="0026123B" w:rsidRDefault="00000000">
            <w:r>
              <w:t>Integration</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019DF7" w14:textId="77777777" w:rsidR="0026123B" w:rsidRDefault="00000000">
            <w:r>
              <w:t>2–3</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15EB10" w14:textId="77777777" w:rsidR="0026123B" w:rsidRDefault="00000000">
            <w:r>
              <w:t>6</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E7B8F4" w14:textId="77777777" w:rsidR="0026123B" w:rsidRDefault="00000000">
            <w:r>
              <w:t>Environment parity, the Five Patterns design authority, resource-group split, and AIS under code control.</w:t>
            </w:r>
          </w:p>
        </w:tc>
      </w:tr>
      <w:tr w:rsidR="0026123B" w14:paraId="3DEC6626"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8FB585B" w14:textId="77777777" w:rsidR="0026123B" w:rsidRDefault="00000000">
            <w:r>
              <w:rPr>
                <w:b/>
                <w:bCs/>
                <w:color w:val="7030A0"/>
              </w:rPr>
              <w:t>WP14</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7997F8" w14:textId="77777777" w:rsidR="0026123B" w:rsidRDefault="00000000">
            <w:r>
              <w:t>Data Governance &amp; Compliance</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CC7B0B5" w14:textId="77777777" w:rsidR="0026123B" w:rsidRDefault="00000000">
            <w:r>
              <w:t>Data</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D2B84A" w14:textId="77777777" w:rsidR="0026123B" w:rsidRDefault="00000000">
            <w:r>
              <w:t>1–2</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F4D2FD" w14:textId="77777777" w:rsidR="0026123B" w:rsidRDefault="00000000">
            <w:r>
              <w:t>10</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4F0129" w14:textId="77777777" w:rsidR="0026123B" w:rsidRDefault="00000000">
            <w:r>
              <w:t xml:space="preserve">Recover Purview, apply GDPR retention, embed </w:t>
            </w:r>
            <w:r>
              <w:lastRenderedPageBreak/>
              <w:t>classification, and standardise encryption across AI services.</w:t>
            </w:r>
          </w:p>
        </w:tc>
      </w:tr>
      <w:tr w:rsidR="0026123B" w14:paraId="1D71EC58" w14:textId="77777777">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179AFE" w14:textId="77777777" w:rsidR="0026123B" w:rsidRDefault="00000000">
            <w:r>
              <w:rPr>
                <w:b/>
                <w:bCs/>
                <w:color w:val="7030A0"/>
              </w:rPr>
              <w:lastRenderedPageBreak/>
              <w:t>WP15</w:t>
            </w:r>
          </w:p>
        </w:tc>
        <w:tc>
          <w:tcPr>
            <w:tcW w:w="280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A1DE48" w14:textId="77777777" w:rsidR="0026123B" w:rsidRDefault="00000000">
            <w:r>
              <w:t>Data &amp; AI Platform Modernisation</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D97274" w14:textId="77777777" w:rsidR="0026123B" w:rsidRDefault="00000000">
            <w:r>
              <w:t>Data</w:t>
            </w:r>
          </w:p>
        </w:tc>
        <w:tc>
          <w:tcPr>
            <w:tcW w:w="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08C78C" w14:textId="77777777" w:rsidR="0026123B" w:rsidRDefault="00000000">
            <w:r>
              <w:t>2–3</w:t>
            </w:r>
          </w:p>
        </w:tc>
        <w:tc>
          <w:tcPr>
            <w:tcW w:w="64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DC25EB" w14:textId="77777777" w:rsidR="0026123B" w:rsidRDefault="00000000">
            <w:r>
              <w:t>20</w:t>
            </w:r>
          </w:p>
        </w:tc>
        <w:tc>
          <w:tcPr>
            <w:tcW w:w="295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A77CF6" w14:textId="77777777" w:rsidR="0026123B" w:rsidRDefault="00000000">
            <w:r>
              <w:t>Target-state architecture, pipeline rationalisation, MLOps, AI exposure strategy, and legacy platform exit.</w:t>
            </w:r>
          </w:p>
        </w:tc>
      </w:tr>
      <w:tr w:rsidR="0026123B" w14:paraId="6FA06289" w14:textId="77777777">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84B2ED" w14:textId="77777777" w:rsidR="0026123B" w:rsidRDefault="00000000">
            <w:r>
              <w:rPr>
                <w:b/>
                <w:bCs/>
                <w:color w:val="7030A0"/>
              </w:rPr>
              <w:t>WP16</w:t>
            </w:r>
          </w:p>
        </w:tc>
        <w:tc>
          <w:tcPr>
            <w:tcW w:w="280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D10877" w14:textId="77777777" w:rsidR="0026123B" w:rsidRDefault="00000000">
            <w:r>
              <w:t>Legacy Workload Migration &amp; Estate Transition</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3E72F4" w14:textId="77777777" w:rsidR="0026123B" w:rsidRDefault="00000000">
            <w:r>
              <w:t>Platform / Workload</w:t>
            </w:r>
          </w:p>
        </w:tc>
        <w:tc>
          <w:tcPr>
            <w:tcW w:w="7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CCDD8C" w14:textId="77777777" w:rsidR="0026123B" w:rsidRDefault="00000000">
            <w:r>
              <w:t>3</w:t>
            </w:r>
          </w:p>
        </w:tc>
        <w:tc>
          <w:tcPr>
            <w:tcW w:w="648"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5C14B6" w14:textId="77777777" w:rsidR="0026123B" w:rsidRDefault="00000000">
            <w:r>
              <w:t>1</w:t>
            </w:r>
          </w:p>
        </w:tc>
        <w:tc>
          <w:tcPr>
            <w:tcW w:w="295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933D39" w14:textId="77777777" w:rsidR="0026123B" w:rsidRDefault="00000000">
            <w:r>
              <w:t>Migrate or recreate the legacy spokes and workloads onto the new CAF hub and retire the legacy hierarchies.</w:t>
            </w:r>
          </w:p>
        </w:tc>
      </w:tr>
    </w:tbl>
    <w:p w14:paraId="76F10FC3" w14:textId="77777777" w:rsidR="0026123B" w:rsidRDefault="00000000">
      <w:pPr>
        <w:spacing w:before="60" w:after="60"/>
      </w:pPr>
      <w:r>
        <w:t>Total: 129 recommendations across 16 work packages. WP16 (Legacy Workload Migration) is the through-line the rest of the programme builds toward; it is under-represented in the recommendation count because a health check enumerates findings, not a migration backlog — that backlog is produced in the Design and Implement phase.</w:t>
      </w:r>
    </w:p>
    <w:p w14:paraId="18F69E8F" w14:textId="77777777" w:rsidR="0026123B" w:rsidRDefault="00000000">
      <w:pPr>
        <w:spacing w:before="60" w:after="60"/>
      </w:pPr>
      <w:r>
        <w:rPr>
          <w:b/>
        </w:rPr>
        <w:t>Critical path</w:t>
      </w:r>
    </w:p>
    <w:p w14:paraId="482D8B05" w14:textId="77777777" w:rsidR="0026123B" w:rsidRDefault="00000000">
      <w:pPr>
        <w:spacing w:before="60" w:after="60"/>
      </w:pPr>
      <w:r>
        <w:t>WP03 (Landing Zone &amp; CAF Consolidation) and WP16 (Legacy Workload Migration) sit on the critical path: WP03 establishes the single hierarchy that governance, identity, cost and every migrated workload depend on, and WP16 is what most other packages ultimately hand their assets to. Because almost every workload still runs on the retiring legacy branches, each package should apply the remediate-vs-migrate rule — fix in place only where the asset survives migration or the exposure is acute, otherwise remediate as part of the CAF rebuild — so effort is not spent hardening assets that are about to be decommissioned.</w:t>
      </w:r>
    </w:p>
    <w:p w14:paraId="163B2C11" w14:textId="77777777" w:rsidR="0026123B" w:rsidRDefault="00000000">
      <w:pPr>
        <w:pStyle w:val="Heading1"/>
      </w:pPr>
      <w:bookmarkStart w:id="34" w:name="_Toc235173333"/>
      <w:r>
        <w:t>10. Phased Delivery Roadmap</w:t>
      </w:r>
      <w:bookmarkEnd w:id="34"/>
    </w:p>
    <w:p w14:paraId="77163534" w14:textId="77777777" w:rsidR="0026123B" w:rsidRDefault="00000000">
      <w:pPr>
        <w:spacing w:before="60" w:after="60"/>
      </w:pPr>
      <w:r>
        <w:t>The work is grouped into three phases by readiness rather than urgency alone. Each phase sets out what continues, what changes, and which dependencies it clears. Delivery remains with the Platform, Security and workload teams throughout; the Technical Programme Leadership group sets the order.</w:t>
      </w:r>
    </w:p>
    <w:p w14:paraId="2A041277" w14:textId="77777777" w:rsidR="0026123B" w:rsidRDefault="00000000">
      <w:pPr>
        <w:pStyle w:val="Heading3"/>
      </w:pPr>
      <w:bookmarkStart w:id="35" w:name="_Toc235173334"/>
      <w:r>
        <w:t>Phase 1 — Continue, Enable &amp; Stabilise (≈ months 0–3)</w:t>
      </w:r>
      <w:bookmarkEnd w:id="35"/>
    </w:p>
    <w:p w14:paraId="79451B65" w14:textId="77777777" w:rsidR="0026123B" w:rsidRDefault="00000000">
      <w:pPr>
        <w:spacing w:before="60" w:after="60"/>
      </w:pPr>
      <w:r>
        <w:t>Lays the foundations. The Platform team continues its landing zone, subscription vending and policy work; the programme and ownership structure is stood up; and the eight urgent security exposures are closed. Foundational work across governance, identity, networking, secrets, cost and data governance begins. The migration runway is planned, but no legacy workloads move yet.</w:t>
      </w:r>
    </w:p>
    <w:p w14:paraId="6B38EC6C" w14:textId="77777777" w:rsidR="0026123B" w:rsidRDefault="00000000">
      <w:pPr>
        <w:spacing w:before="60" w:after="60"/>
      </w:pPr>
      <w:r>
        <w:rPr>
          <w:b/>
        </w:rPr>
        <w:t>Work packages in this phase: WP01, WP02, WP03; begins WP04, WP07, WP09, WP12, WP14; plans WP16 runway.</w:t>
      </w:r>
    </w:p>
    <w:p w14:paraId="01D2D975" w14:textId="77777777" w:rsidR="0026123B" w:rsidRDefault="00000000">
      <w:pPr>
        <w:pStyle w:val="Heading3"/>
      </w:pPr>
      <w:bookmarkStart w:id="36" w:name="_Toc235173335"/>
      <w:r>
        <w:t>Phase 2 — Consolidate &amp; Standardise (≈ months 3–9)</w:t>
      </w:r>
      <w:bookmarkEnd w:id="36"/>
    </w:p>
    <w:p w14:paraId="10ED187A" w14:textId="77777777" w:rsidR="0026123B" w:rsidRDefault="00000000">
      <w:pPr>
        <w:spacing w:before="60" w:after="60"/>
      </w:pPr>
      <w:r>
        <w:t>Makes delivery consistent. One-off fixes give way to repeatable, estate-wide standards; workload teams adopt pre-approved patterns; and cost gains a named owner. Threat detection, observability and workload modernisation are delivered, and AIS and data platform modernisation begins. The first migration pilots run once the patterns are proven, while the legacy estate keeps running.</w:t>
      </w:r>
    </w:p>
    <w:p w14:paraId="72D0B1EC" w14:textId="77777777" w:rsidR="0026123B" w:rsidRDefault="00000000">
      <w:pPr>
        <w:spacing w:before="60" w:after="60"/>
      </w:pPr>
      <w:r>
        <w:rPr>
          <w:b/>
        </w:rPr>
        <w:t>Work packages in this phase: WP05, WP06, WP08, WP10, WP11; completes WP04, WP12; advances WP07, WP13, WP15; runs WP16 pilots.</w:t>
      </w:r>
    </w:p>
    <w:p w14:paraId="4B46A504" w14:textId="77777777" w:rsidR="0026123B" w:rsidRDefault="00000000">
      <w:pPr>
        <w:pStyle w:val="Heading3"/>
      </w:pPr>
      <w:bookmarkStart w:id="37" w:name="_Toc235173336"/>
      <w:r>
        <w:t>Phase 3 — Transform, Migrate &amp; Modernise (≈ months 9–18)</w:t>
      </w:r>
      <w:bookmarkEnd w:id="37"/>
    </w:p>
    <w:p w14:paraId="70357513" w14:textId="77777777" w:rsidR="0026123B" w:rsidRDefault="00000000">
      <w:pPr>
        <w:spacing w:before="60" w:after="60"/>
      </w:pPr>
      <w:r>
        <w:lastRenderedPageBreak/>
        <w:t>Migration becomes the default. With foundations laid and patterns proven, the bulk of the legacy estate is migrated onto the new CAF hub and the legacy hierarchies are retired behind it. The AIS and data platform modernisation packages complete, and the Platform team shifts from enablement to optimisation.</w:t>
      </w:r>
    </w:p>
    <w:p w14:paraId="4DD945F3" w14:textId="77777777" w:rsidR="0026123B" w:rsidRDefault="00000000">
      <w:pPr>
        <w:spacing w:before="60" w:after="60"/>
      </w:pPr>
      <w:r>
        <w:rPr>
          <w:b/>
        </w:rPr>
        <w:t>Work packages in this phase: WP16 (bulk migration); completes WP07, WP13, WP15.</w:t>
      </w:r>
    </w:p>
    <w:p w14:paraId="235D526C" w14:textId="77777777" w:rsidR="0026123B" w:rsidRDefault="00000000">
      <w:pPr>
        <w:pStyle w:val="Heading1"/>
      </w:pPr>
      <w:bookmarkStart w:id="38" w:name="_Toc235173337"/>
      <w:r>
        <w:t>11. Cross-Workstream Dependencies</w:t>
      </w:r>
      <w:bookmarkEnd w:id="38"/>
    </w:p>
    <w:p w14:paraId="4E2FB63A" w14:textId="77777777" w:rsidR="0026123B" w:rsidRDefault="00000000">
      <w:pPr>
        <w:spacing w:before="60" w:after="60"/>
      </w:pPr>
      <w:r>
        <w:t>The map below consolidates the dependencies referenced across the three phases into a single sequencing view. These are not sequential steps — many run in parallel — but each row describes a condition where one activity cannot complete, or should not start, until another is resolved. Of the seventeen dependencies, seven are cross-package, nine resolve within a single package, and one (D13) is triggered by the external data centre closure at year-end.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2824"/>
        <w:gridCol w:w="3493"/>
        <w:gridCol w:w="1561"/>
        <w:gridCol w:w="857"/>
      </w:tblGrid>
      <w:tr w:rsidR="0026123B" w14:paraId="5CA819B5" w14:textId="77777777">
        <w:tc>
          <w:tcPr>
            <w:tcW w:w="576"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76EA35E" w14:textId="77777777" w:rsidR="0026123B" w:rsidRDefault="00000000">
            <w:pPr>
              <w:jc w:val="center"/>
            </w:pPr>
            <w:r>
              <w:rPr>
                <w:b/>
                <w:bCs/>
                <w:color w:val="FFFFFF"/>
              </w:rPr>
              <w:t>Ref</w:t>
            </w:r>
          </w:p>
        </w:tc>
        <w:tc>
          <w:tcPr>
            <w:tcW w:w="2736"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A7E0DE4" w14:textId="77777777" w:rsidR="0026123B" w:rsidRDefault="00000000">
            <w:pPr>
              <w:jc w:val="center"/>
            </w:pPr>
            <w:r>
              <w:rPr>
                <w:b/>
                <w:bCs/>
                <w:color w:val="FFFFFF"/>
              </w:rPr>
              <w:t>Blocked activity (package)</w:t>
            </w:r>
          </w:p>
        </w:tc>
        <w:tc>
          <w:tcPr>
            <w:tcW w:w="3384"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0E794E9" w14:textId="77777777" w:rsidR="0026123B" w:rsidRDefault="00000000">
            <w:pPr>
              <w:jc w:val="center"/>
            </w:pPr>
            <w:r>
              <w:rPr>
                <w:b/>
                <w:bCs/>
                <w:color w:val="FFFFFF"/>
              </w:rPr>
              <w:t>Depends on / trigger (package)</w:t>
            </w:r>
          </w:p>
        </w:tc>
        <w:tc>
          <w:tcPr>
            <w:tcW w:w="1512"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F486125" w14:textId="77777777" w:rsidR="0026123B" w:rsidRDefault="00000000">
            <w:pPr>
              <w:jc w:val="center"/>
            </w:pPr>
            <w:r>
              <w:rPr>
                <w:b/>
                <w:bCs/>
                <w:color w:val="FFFFFF"/>
              </w:rPr>
              <w:t>Type</w:t>
            </w:r>
          </w:p>
        </w:tc>
        <w:tc>
          <w:tcPr>
            <w:tcW w:w="576"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6C3B29D" w14:textId="77777777" w:rsidR="0026123B" w:rsidRDefault="00000000">
            <w:pPr>
              <w:jc w:val="center"/>
            </w:pPr>
            <w:r>
              <w:rPr>
                <w:b/>
                <w:bCs/>
                <w:color w:val="FFFFFF"/>
              </w:rPr>
              <w:t>Phase</w:t>
            </w:r>
          </w:p>
        </w:tc>
      </w:tr>
      <w:tr w:rsidR="0026123B" w14:paraId="760E6A5A"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EF2B71" w14:textId="77777777" w:rsidR="0026123B" w:rsidRDefault="00000000">
            <w:r>
              <w:rPr>
                <w:b/>
                <w:bCs/>
              </w:rPr>
              <w:t>D1</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625D19" w14:textId="77777777" w:rsidR="0026123B" w:rsidRDefault="00000000">
            <w:pPr>
              <w:jc w:val="center"/>
            </w:pPr>
            <w:r>
              <w:t>Tenant-wide policy enforcement (WP04)</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9A7A1F" w14:textId="77777777" w:rsidR="0026123B" w:rsidRDefault="00000000">
            <w:pPr>
              <w:jc w:val="center"/>
            </w:pPr>
            <w:r>
              <w:t>Move the two bootstrap subscriptions into the Platform Management group (WP03)</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4BE2C9" w14:textId="77777777" w:rsidR="0026123B" w:rsidRDefault="00000000">
            <w:r>
              <w:t>Cross-package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4805AC" w14:textId="77777777" w:rsidR="0026123B" w:rsidRDefault="00000000">
            <w:r>
              <w:t>1</w:t>
            </w:r>
          </w:p>
        </w:tc>
      </w:tr>
      <w:tr w:rsidR="0026123B" w14:paraId="43859281"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12FADB" w14:textId="77777777" w:rsidR="0026123B" w:rsidRDefault="00000000">
            <w:r>
              <w:rPr>
                <w:b/>
                <w:bCs/>
              </w:rPr>
              <w:t>D2</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2E5649" w14:textId="77777777" w:rsidR="0026123B" w:rsidRDefault="00000000">
            <w:pPr>
              <w:jc w:val="center"/>
            </w:pPr>
            <w:r>
              <w:t>Subscription migration into the new CAF hierarchy (WP03)</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B1073D" w14:textId="77777777" w:rsidR="0026123B" w:rsidRDefault="00000000">
            <w:pPr>
              <w:jc w:val="center"/>
            </w:pPr>
            <w:r>
              <w:t>Freeze new placement under the legacy and old-CAF hierarchies (WP03)</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6F6508"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3D4C0" w14:textId="77777777" w:rsidR="0026123B" w:rsidRDefault="00000000">
            <w:r>
              <w:t>1</w:t>
            </w:r>
          </w:p>
        </w:tc>
      </w:tr>
      <w:tr w:rsidR="0026123B" w14:paraId="0F0EDEFB"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524703" w14:textId="77777777" w:rsidR="0026123B" w:rsidRDefault="00000000">
            <w:r>
              <w:rPr>
                <w:b/>
                <w:bCs/>
              </w:rPr>
              <w:t>D3</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7B2A5C" w14:textId="77777777" w:rsidR="0026123B" w:rsidRDefault="00000000">
            <w:pPr>
              <w:jc w:val="center"/>
            </w:pPr>
            <w:r>
              <w:t>FinOps showback model (WP12)</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14F766" w14:textId="77777777" w:rsidR="0026123B" w:rsidRDefault="00000000">
            <w:pPr>
              <w:jc w:val="center"/>
            </w:pPr>
            <w:r>
              <w:t>Rename tag keys to the canonical names via Modify policy (WP03)</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63ADB8" w14:textId="77777777" w:rsidR="0026123B" w:rsidRDefault="00000000">
            <w:r>
              <w:t>Cross-package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0C1F04" w14:textId="77777777" w:rsidR="0026123B" w:rsidRDefault="00000000">
            <w:r>
              <w:t>1</w:t>
            </w:r>
          </w:p>
        </w:tc>
      </w:tr>
      <w:tr w:rsidR="0026123B" w14:paraId="3326DF41"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8D06D8" w14:textId="77777777" w:rsidR="0026123B" w:rsidRDefault="00000000">
            <w:r>
              <w:rPr>
                <w:b/>
                <w:bCs/>
              </w:rPr>
              <w:t>D4</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4C6721" w14:textId="77777777" w:rsidR="0026123B" w:rsidRDefault="00000000">
            <w:pPr>
              <w:jc w:val="center"/>
            </w:pPr>
            <w:r>
              <w:t>Stale account cleanup (WP05)</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F1D54F3" w14:textId="77777777" w:rsidR="0026123B" w:rsidRDefault="00000000">
            <w:pPr>
              <w:jc w:val="center"/>
            </w:pPr>
            <w:r>
              <w:t>Migrate user-identity flows to managed identities and complete access reviews (WP05)</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50C0B2"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FD6560" w14:textId="77777777" w:rsidR="0026123B" w:rsidRDefault="00000000">
            <w:r>
              <w:t>1–2</w:t>
            </w:r>
          </w:p>
        </w:tc>
      </w:tr>
      <w:tr w:rsidR="0026123B" w14:paraId="5533114E"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4F901C" w14:textId="77777777" w:rsidR="0026123B" w:rsidRDefault="00000000">
            <w:r>
              <w:rPr>
                <w:b/>
                <w:bCs/>
              </w:rPr>
              <w:t>D5</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5877AA" w14:textId="77777777" w:rsidR="0026123B" w:rsidRDefault="00000000">
            <w:pPr>
              <w:jc w:val="center"/>
            </w:pPr>
            <w:r>
              <w:t>Removal of KPMG access from AIS Production (WP02)</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F3610A" w14:textId="77777777" w:rsidR="0026123B" w:rsidRDefault="00000000">
            <w:pPr>
              <w:jc w:val="center"/>
            </w:pPr>
            <w:r>
              <w:t>Map dependencies on the legacy KPMG Entra ID group and NSG rules (WP02)</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DEA3E2"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41FA7B" w14:textId="77777777" w:rsidR="0026123B" w:rsidRDefault="00000000">
            <w:r>
              <w:t>1</w:t>
            </w:r>
          </w:p>
        </w:tc>
      </w:tr>
      <w:tr w:rsidR="0026123B" w14:paraId="70032C55"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2BC843" w14:textId="77777777" w:rsidR="0026123B" w:rsidRDefault="00000000">
            <w:r>
              <w:rPr>
                <w:b/>
                <w:bCs/>
              </w:rPr>
              <w:t>D6</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AE6D88" w14:textId="77777777" w:rsidR="0026123B" w:rsidRDefault="00000000">
            <w:pPr>
              <w:jc w:val="center"/>
            </w:pPr>
            <w:r>
              <w:t>Reduction of Defender for API cost (WP12)</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ACE746" w14:textId="77777777" w:rsidR="0026123B" w:rsidRDefault="00000000">
            <w:pPr>
              <w:jc w:val="center"/>
            </w:pPr>
            <w:r>
              <w:t>Fix the APIM rate-limiting condition (WP13)</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3165B6" w14:textId="77777777" w:rsidR="0026123B" w:rsidRDefault="00000000">
            <w:r>
              <w:t>Cross-package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17C592" w14:textId="77777777" w:rsidR="0026123B" w:rsidRDefault="00000000">
            <w:r>
              <w:t>2</w:t>
            </w:r>
          </w:p>
        </w:tc>
      </w:tr>
      <w:tr w:rsidR="0026123B" w14:paraId="1F3217B7"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C89EDB" w14:textId="77777777" w:rsidR="0026123B" w:rsidRDefault="00000000">
            <w:r>
              <w:rPr>
                <w:b/>
                <w:bCs/>
              </w:rPr>
              <w:t>D7</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8319A3" w14:textId="77777777" w:rsidR="0026123B" w:rsidRDefault="00000000">
            <w:pPr>
              <w:jc w:val="center"/>
            </w:pPr>
            <w:r>
              <w:t>Sensitivity label propagation into Fabric (WP15)</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7B7980" w14:textId="77777777" w:rsidR="0026123B" w:rsidRDefault="00000000">
            <w:pPr>
              <w:jc w:val="center"/>
            </w:pPr>
            <w:r>
              <w:t>Recover Purview production access and migrate to the new portal (WP14)</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F103EE" w14:textId="77777777" w:rsidR="0026123B" w:rsidRDefault="00000000">
            <w:r>
              <w:t>Cross-package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30B8E6" w14:textId="77777777" w:rsidR="0026123B" w:rsidRDefault="00000000">
            <w:r>
              <w:t>1</w:t>
            </w:r>
          </w:p>
        </w:tc>
      </w:tr>
      <w:tr w:rsidR="0026123B" w14:paraId="7FB5DE87"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FC477E2" w14:textId="77777777" w:rsidR="0026123B" w:rsidRDefault="00000000">
            <w:r>
              <w:rPr>
                <w:b/>
                <w:bCs/>
              </w:rPr>
              <w:t>D8</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37FFFB" w14:textId="77777777" w:rsidR="0026123B" w:rsidRDefault="00000000">
            <w:pPr>
              <w:jc w:val="center"/>
            </w:pPr>
            <w:r>
              <w:t>Interim SA retention compliance (WP14)</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6402B8" w14:textId="77777777" w:rsidR="0026123B" w:rsidRDefault="00000000">
            <w:pPr>
              <w:jc w:val="center"/>
            </w:pPr>
            <w:r>
              <w:t>Apply retention policies to the Interim SA and ESR-bearing storage (WP14)</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C93213"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92C5AA" w14:textId="77777777" w:rsidR="0026123B" w:rsidRDefault="00000000">
            <w:r>
              <w:t>1</w:t>
            </w:r>
          </w:p>
        </w:tc>
      </w:tr>
      <w:tr w:rsidR="0026123B" w14:paraId="022D6B29"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26D4BB" w14:textId="77777777" w:rsidR="0026123B" w:rsidRDefault="00000000">
            <w:r>
              <w:rPr>
                <w:b/>
                <w:bCs/>
              </w:rPr>
              <w:t>D9</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BBF529" w14:textId="77777777" w:rsidR="0026123B" w:rsidRDefault="00000000">
            <w:pPr>
              <w:jc w:val="center"/>
            </w:pPr>
            <w:r>
              <w:t>AIS environment parity (WP13)</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B8D6AC" w14:textId="77777777" w:rsidR="0026123B" w:rsidRDefault="00000000">
            <w:pPr>
              <w:jc w:val="center"/>
            </w:pPr>
            <w:r>
              <w:t>Close the V1/V2 code-base divergence as part of the AIS rebuild (WP13)</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1067D7"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6C7766" w14:textId="77777777" w:rsidR="0026123B" w:rsidRDefault="00000000">
            <w:r>
              <w:t>2</w:t>
            </w:r>
          </w:p>
        </w:tc>
      </w:tr>
      <w:tr w:rsidR="0026123B" w14:paraId="10614D33"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74B4FA" w14:textId="77777777" w:rsidR="0026123B" w:rsidRDefault="00000000">
            <w:r>
              <w:rPr>
                <w:b/>
                <w:bCs/>
              </w:rPr>
              <w:t>D10</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F8D53" w14:textId="77777777" w:rsidR="0026123B" w:rsidRDefault="00000000">
            <w:pPr>
              <w:jc w:val="center"/>
            </w:pPr>
            <w:r>
              <w:t>Retirement of the DevOps vending request route (WP03)</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ED83F7" w14:textId="77777777" w:rsidR="0026123B" w:rsidRDefault="00000000">
            <w:pPr>
              <w:jc w:val="center"/>
            </w:pPr>
            <w:r>
              <w:t>ServiceNow vending intake form live and tested (WP03)</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EC7A43"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1B4CE1" w14:textId="77777777" w:rsidR="0026123B" w:rsidRDefault="00000000">
            <w:r>
              <w:t>1–2</w:t>
            </w:r>
          </w:p>
        </w:tc>
      </w:tr>
      <w:tr w:rsidR="0026123B" w14:paraId="04DD7F88"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DB61EF" w14:textId="77777777" w:rsidR="0026123B" w:rsidRDefault="00000000">
            <w:r>
              <w:rPr>
                <w:b/>
                <w:bCs/>
              </w:rPr>
              <w:t>D11</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907CF" w14:textId="77777777" w:rsidR="0026123B" w:rsidRDefault="00000000">
            <w:pPr>
              <w:jc w:val="center"/>
            </w:pPr>
            <w:r>
              <w:t>Synapse decommissioning (WP15)</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BD5EF2" w14:textId="77777777" w:rsidR="0026123B" w:rsidRDefault="00000000">
            <w:pPr>
              <w:jc w:val="center"/>
            </w:pPr>
            <w:r>
              <w:t>Migrate the Finance workload from Synapse Link to Fabric Link (WP15)</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F06671"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96F90E" w14:textId="77777777" w:rsidR="0026123B" w:rsidRDefault="00000000">
            <w:r>
              <w:t>2</w:t>
            </w:r>
          </w:p>
        </w:tc>
      </w:tr>
      <w:tr w:rsidR="0026123B" w14:paraId="44D298F0"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723808" w14:textId="77777777" w:rsidR="0026123B" w:rsidRDefault="00000000">
            <w:r>
              <w:rPr>
                <w:b/>
                <w:bCs/>
              </w:rPr>
              <w:lastRenderedPageBreak/>
              <w:t>D12</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DC6A83" w14:textId="77777777" w:rsidR="0026123B" w:rsidRDefault="00000000">
            <w:pPr>
              <w:jc w:val="center"/>
            </w:pPr>
            <w:r>
              <w:t>Removal of the Node 4 EDP support contract (WP15)</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EF1B1A" w14:textId="77777777" w:rsidR="0026123B" w:rsidRDefault="00000000">
            <w:pPr>
              <w:jc w:val="center"/>
            </w:pPr>
            <w:r>
              <w:t>Pilot and prove a Fabric-native alternative to ARA (WP15)</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EF8380"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946AD0" w14:textId="77777777" w:rsidR="0026123B" w:rsidRDefault="00000000">
            <w:r>
              <w:t>2–3</w:t>
            </w:r>
          </w:p>
        </w:tc>
      </w:tr>
      <w:tr w:rsidR="0026123B" w14:paraId="3282D1BA"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4204D4" w14:textId="77777777" w:rsidR="0026123B" w:rsidRDefault="00000000">
            <w:r>
              <w:rPr>
                <w:b/>
                <w:bCs/>
              </w:rPr>
              <w:t>D13</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C02A75" w14:textId="77777777" w:rsidR="0026123B" w:rsidRDefault="00000000">
            <w:pPr>
              <w:jc w:val="center"/>
            </w:pPr>
            <w:r>
              <w:t>ExpressRoute circuit 1 decommissioning (WP07)</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29A47E" w14:textId="77777777" w:rsidR="0026123B" w:rsidRDefault="00000000">
            <w:pPr>
              <w:jc w:val="center"/>
            </w:pPr>
            <w:r>
              <w:t>Data centre closure — a hard deadline at end of year (external event)</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985562" w14:textId="77777777" w:rsidR="0026123B" w:rsidRDefault="00000000">
            <w:r>
              <w:t>External trigger</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1061BF" w14:textId="77777777" w:rsidR="0026123B" w:rsidRDefault="00000000">
            <w:r>
              <w:t>1</w:t>
            </w:r>
          </w:p>
        </w:tc>
      </w:tr>
      <w:tr w:rsidR="0026123B" w14:paraId="3653F269"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FB4916E" w14:textId="77777777" w:rsidR="0026123B" w:rsidRDefault="00000000">
            <w:r>
              <w:rPr>
                <w:b/>
                <w:bCs/>
              </w:rPr>
              <w:t>D14</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3C0007" w14:textId="77777777" w:rsidR="0026123B" w:rsidRDefault="00000000">
            <w:pPr>
              <w:jc w:val="center"/>
            </w:pPr>
            <w:r>
              <w:t>Legacy hub retirement (WP07)</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D9E8ED" w14:textId="77777777" w:rsidR="0026123B" w:rsidRDefault="00000000">
            <w:pPr>
              <w:jc w:val="center"/>
            </w:pPr>
            <w:r>
              <w:t>All spokes and workloads migrated or recreated on the new CAF hub (WP16)</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C9CAE0" w14:textId="77777777" w:rsidR="0026123B" w:rsidRDefault="00000000">
            <w:r>
              <w:t>Cross-package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78DA1B" w14:textId="77777777" w:rsidR="0026123B" w:rsidRDefault="00000000">
            <w:r>
              <w:t>2–3</w:t>
            </w:r>
          </w:p>
        </w:tc>
      </w:tr>
      <w:tr w:rsidR="0026123B" w14:paraId="6B3AEA6E"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876D40" w14:textId="77777777" w:rsidR="0026123B" w:rsidRDefault="00000000">
            <w:r>
              <w:rPr>
                <w:b/>
                <w:bCs/>
              </w:rPr>
              <w:t>D15</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77188C" w14:textId="77777777" w:rsidR="0026123B" w:rsidRDefault="00000000">
            <w:pPr>
              <w:jc w:val="center"/>
            </w:pPr>
            <w:r>
              <w:t>Legacy DNS retirement (WP07)</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F5AD10" w14:textId="77777777" w:rsidR="0026123B" w:rsidRDefault="00000000">
            <w:pPr>
              <w:jc w:val="center"/>
            </w:pPr>
            <w:r>
              <w:t>Internal name resolution moved to Azure DNS (WP07)</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FD48D5" w14:textId="77777777" w:rsidR="0026123B" w:rsidRDefault="00000000">
            <w:r>
              <w:t>Within 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DFDD56" w14:textId="77777777" w:rsidR="0026123B" w:rsidRDefault="00000000">
            <w:r>
              <w:t>2</w:t>
            </w:r>
          </w:p>
        </w:tc>
      </w:tr>
      <w:tr w:rsidR="0026123B" w14:paraId="1C288EAC" w14:textId="77777777">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407505" w14:textId="77777777" w:rsidR="0026123B" w:rsidRDefault="00000000">
            <w:r>
              <w:rPr>
                <w:b/>
                <w:bCs/>
              </w:rPr>
              <w:t>D16</w:t>
            </w:r>
          </w:p>
        </w:tc>
        <w:tc>
          <w:tcPr>
            <w:tcW w:w="273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D632C9" w14:textId="77777777" w:rsidR="0026123B" w:rsidRDefault="00000000">
            <w:pPr>
              <w:jc w:val="center"/>
            </w:pPr>
            <w:r>
              <w:t>Click-Ops freeze in AIS (WP13)</w:t>
            </w:r>
          </w:p>
        </w:tc>
        <w:tc>
          <w:tcPr>
            <w:tcW w:w="338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7070F" w14:textId="77777777" w:rsidR="0026123B" w:rsidRDefault="00000000">
            <w:pPr>
              <w:jc w:val="center"/>
            </w:pPr>
            <w:r>
              <w:t>Convert standing Contributor on AIS Production to PIM-eligible (WP05)</w:t>
            </w:r>
          </w:p>
        </w:tc>
        <w:tc>
          <w:tcPr>
            <w:tcW w:w="1512"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86B394" w14:textId="77777777" w:rsidR="0026123B" w:rsidRDefault="00000000">
            <w:r>
              <w:t>Cross-package</w:t>
            </w:r>
          </w:p>
        </w:tc>
        <w:tc>
          <w:tcPr>
            <w:tcW w:w="57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A3E22D" w14:textId="77777777" w:rsidR="0026123B" w:rsidRDefault="00000000">
            <w:r>
              <w:t>1</w:t>
            </w:r>
          </w:p>
        </w:tc>
      </w:tr>
      <w:tr w:rsidR="0026123B" w14:paraId="6B17A5B8" w14:textId="77777777">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F62A69" w14:textId="77777777" w:rsidR="0026123B" w:rsidRDefault="00000000">
            <w:r>
              <w:rPr>
                <w:b/>
                <w:bCs/>
              </w:rPr>
              <w:t>D17</w:t>
            </w:r>
          </w:p>
        </w:tc>
        <w:tc>
          <w:tcPr>
            <w:tcW w:w="273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C5D463" w14:textId="77777777" w:rsidR="0026123B" w:rsidRDefault="00000000">
            <w:pPr>
              <w:jc w:val="center"/>
            </w:pPr>
            <w:r>
              <w:t>Orphaned resource decommissioning at scale (WP03)</w:t>
            </w:r>
          </w:p>
        </w:tc>
        <w:tc>
          <w:tcPr>
            <w:tcW w:w="338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71B66D" w14:textId="77777777" w:rsidR="0026123B" w:rsidRDefault="00000000">
            <w:pPr>
              <w:jc w:val="center"/>
            </w:pPr>
            <w:r>
              <w:t>Agree and resource a published decommissioning cadence (WP01)</w:t>
            </w:r>
          </w:p>
        </w:tc>
        <w:tc>
          <w:tcPr>
            <w:tcW w:w="151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7052FC" w14:textId="77777777" w:rsidR="0026123B" w:rsidRDefault="00000000">
            <w:r>
              <w:t>Cross-package</w:t>
            </w:r>
          </w:p>
        </w:tc>
        <w:tc>
          <w:tcPr>
            <w:tcW w:w="57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2C49CB" w14:textId="77777777" w:rsidR="0026123B" w:rsidRDefault="00000000">
            <w:r>
              <w:t>1–2</w:t>
            </w:r>
          </w:p>
        </w:tc>
      </w:tr>
    </w:tbl>
    <w:p w14:paraId="053D6DCC" w14:textId="77777777" w:rsidR="0026123B" w:rsidRDefault="00000000">
      <w:pPr>
        <w:pStyle w:val="Heading1"/>
      </w:pPr>
      <w:bookmarkStart w:id="39" w:name="_Toc235173338"/>
      <w:r>
        <w:t>12. Prioritisation Summary &amp; Next Steps</w:t>
      </w:r>
      <w:bookmarkEnd w:id="39"/>
    </w:p>
    <w:p w14:paraId="20A9D898" w14:textId="77777777" w:rsidR="0026123B" w:rsidRDefault="00000000">
      <w:pPr>
        <w:spacing w:before="60" w:after="60"/>
      </w:pPr>
      <w:r>
        <w:t>The strategic direction is agreed and the target state is clear. The constraint is execution under pressure. The immediate priority is therefore to establish coordination and close the most acute exposures, then to lay repeatable foundations before migration begins in earnest.</w:t>
      </w:r>
    </w:p>
    <w:p w14:paraId="2EE6FC83" w14:textId="77777777" w:rsidR="0026123B" w:rsidRDefault="00000000">
      <w:pPr>
        <w:spacing w:before="60" w:after="60"/>
      </w:pPr>
      <w:r>
        <w:rPr>
          <w:b/>
        </w:rPr>
        <w:t>Immediate priorities (Phase 1)</w:t>
      </w:r>
    </w:p>
    <w:p w14:paraId="6E71F764" w14:textId="77777777" w:rsidR="0026123B" w:rsidRDefault="00000000">
      <w:pPr>
        <w:pStyle w:val="ListParagraph"/>
        <w:numPr>
          <w:ilvl w:val="0"/>
          <w:numId w:val="2"/>
        </w:numPr>
        <w:spacing w:before="40" w:after="40"/>
      </w:pPr>
      <w:r>
        <w:t>Stand up the Technical Programme Leadership group and agree a single accountable owner and cadence (WP01).</w:t>
      </w:r>
    </w:p>
    <w:p w14:paraId="252CB44F" w14:textId="77777777" w:rsidR="0026123B" w:rsidRDefault="00000000">
      <w:pPr>
        <w:pStyle w:val="ListParagraph"/>
        <w:numPr>
          <w:ilvl w:val="0"/>
          <w:numId w:val="2"/>
        </w:numPr>
        <w:spacing w:before="40" w:after="40"/>
      </w:pPr>
      <w:r>
        <w:t>Close the eight high-priority security exposures — management ports, public IPs, key vaults, former partner access, PIM, data tier and storage (WP02).</w:t>
      </w:r>
    </w:p>
    <w:p w14:paraId="3F0E13A4" w14:textId="77777777" w:rsidR="0026123B" w:rsidRDefault="00000000">
      <w:pPr>
        <w:pStyle w:val="ListParagraph"/>
        <w:numPr>
          <w:ilvl w:val="0"/>
          <w:numId w:val="2"/>
        </w:numPr>
        <w:spacing w:before="40" w:after="40"/>
      </w:pPr>
      <w:r>
        <w:t>Consolidate onto the new CAF hierarchy, freeze legacy placement, and standardise subscription vending (WP03).</w:t>
      </w:r>
    </w:p>
    <w:p w14:paraId="1A14455C" w14:textId="77777777" w:rsidR="0026123B" w:rsidRDefault="00000000">
      <w:pPr>
        <w:pStyle w:val="ListParagraph"/>
        <w:numPr>
          <w:ilvl w:val="0"/>
          <w:numId w:val="2"/>
        </w:numPr>
        <w:spacing w:before="40" w:after="40"/>
      </w:pPr>
      <w:r>
        <w:t>Begin the governance, identity, network, secrets, cost and data-governance foundations that later phases build on.</w:t>
      </w:r>
    </w:p>
    <w:p w14:paraId="16B5988A" w14:textId="77777777" w:rsidR="0026123B" w:rsidRDefault="00000000">
      <w:pPr>
        <w:pStyle w:val="ListParagraph"/>
        <w:numPr>
          <w:ilvl w:val="0"/>
          <w:numId w:val="2"/>
        </w:numPr>
        <w:spacing w:before="40" w:after="40"/>
      </w:pPr>
      <w:r>
        <w:t>Plan the migration runway (WP16) and resolve the ExpressRoute circuit-1 decommissioning (D13) ahead of the year-end data centre closure.</w:t>
      </w:r>
    </w:p>
    <w:p w14:paraId="4FA9AFDD" w14:textId="77777777" w:rsidR="0026123B" w:rsidRDefault="00000000">
      <w:pPr>
        <w:spacing w:before="60" w:after="60"/>
      </w:pPr>
      <w:r>
        <w:rPr>
          <w:b/>
        </w:rPr>
        <w:t>Recommended next steps</w:t>
      </w:r>
    </w:p>
    <w:p w14:paraId="3BCC80EF" w14:textId="77777777" w:rsidR="0026123B" w:rsidRDefault="00000000">
      <w:pPr>
        <w:pStyle w:val="ListParagraph"/>
        <w:numPr>
          <w:ilvl w:val="0"/>
          <w:numId w:val="2"/>
        </w:numPr>
        <w:spacing w:before="40" w:after="40"/>
      </w:pPr>
      <w:r>
        <w:t>Ratify the sixteen work packages, their owners and the phase sequence with the CCoE and CDIO.</w:t>
      </w:r>
    </w:p>
    <w:p w14:paraId="2F7B2DE3" w14:textId="77777777" w:rsidR="0026123B" w:rsidRDefault="00000000">
      <w:pPr>
        <w:pStyle w:val="ListParagraph"/>
        <w:numPr>
          <w:ilvl w:val="0"/>
          <w:numId w:val="2"/>
        </w:numPr>
        <w:spacing w:before="40" w:after="40"/>
      </w:pPr>
      <w:r>
        <w:t>Adopt the cross-workstream dependency map as the programme's primary sequencing tool.</w:t>
      </w:r>
    </w:p>
    <w:p w14:paraId="239C27DF" w14:textId="77777777" w:rsidR="0026123B" w:rsidRDefault="00000000">
      <w:pPr>
        <w:pStyle w:val="ListParagraph"/>
        <w:numPr>
          <w:ilvl w:val="0"/>
          <w:numId w:val="2"/>
        </w:numPr>
        <w:spacing w:before="40" w:after="40"/>
      </w:pPr>
      <w:r>
        <w:t>Establish the FinOps tagging and showback model so cost informs sequencing decisions.</w:t>
      </w:r>
    </w:p>
    <w:p w14:paraId="38B257A6" w14:textId="77777777" w:rsidR="0026123B" w:rsidRDefault="00000000">
      <w:pPr>
        <w:pStyle w:val="ListParagraph"/>
        <w:numPr>
          <w:ilvl w:val="0"/>
          <w:numId w:val="2"/>
        </w:numPr>
        <w:spacing w:before="40" w:after="40"/>
      </w:pPr>
      <w:r>
        <w:t>Recover Purview production access to unblock data classification and label propagation (D7).</w:t>
      </w:r>
    </w:p>
    <w:p w14:paraId="2CD959A4" w14:textId="77777777" w:rsidR="0026123B" w:rsidRDefault="00000000">
      <w:pPr>
        <w:pStyle w:val="ListParagraph"/>
        <w:numPr>
          <w:ilvl w:val="0"/>
          <w:numId w:val="2"/>
        </w:numPr>
        <w:spacing w:before="40" w:after="40"/>
      </w:pPr>
      <w:r>
        <w:t>Agree and resource a published decommissioning cadence for orphaned resources (D17).</w:t>
      </w:r>
    </w:p>
    <w:p w14:paraId="2950B65B" w14:textId="77777777" w:rsidR="0026123B" w:rsidRDefault="00000000">
      <w:pPr>
        <w:pStyle w:val="ListParagraph"/>
        <w:numPr>
          <w:ilvl w:val="0"/>
          <w:numId w:val="2"/>
        </w:numPr>
        <w:spacing w:before="40" w:after="40"/>
      </w:pPr>
      <w:r>
        <w:t>Open each work package to its underlying recommendations in the Consolidated Health Check Recommendations workbook for detailed planning.</w:t>
      </w:r>
    </w:p>
    <w:p w14:paraId="1870895E" w14:textId="77777777" w:rsidR="0026123B" w:rsidRDefault="00000000">
      <w:pPr>
        <w:spacing w:before="60" w:after="60"/>
      </w:pPr>
      <w:r>
        <w:rPr>
          <w:b/>
        </w:rPr>
        <w:t>Areas to validate in detailed design</w:t>
      </w:r>
    </w:p>
    <w:p w14:paraId="3052997D" w14:textId="77777777" w:rsidR="0026123B" w:rsidRDefault="00000000">
      <w:pPr>
        <w:spacing w:before="60" w:after="60"/>
      </w:pPr>
      <w:r>
        <w:t>A number of areas are named in the assessment but not yet fully evidenced. They should be baselined during detailed design before remediation is scoped around them:</w:t>
      </w:r>
    </w:p>
    <w:p w14:paraId="6BD72F0B" w14:textId="77777777" w:rsidR="0026123B" w:rsidRDefault="00000000">
      <w:pPr>
        <w:pStyle w:val="ListParagraph"/>
        <w:numPr>
          <w:ilvl w:val="0"/>
          <w:numId w:val="2"/>
        </w:numPr>
        <w:spacing w:before="40" w:after="40"/>
      </w:pPr>
      <w:r>
        <w:t>Azure AD B2C / External ID posture for the Registration Provider portal (named in WP06 but not yet evidenced), including the Microsoft B2C → Entra External ID migration ahead of the 2030 deprecation.</w:t>
      </w:r>
    </w:p>
    <w:p w14:paraId="3934A2A5" w14:textId="77777777" w:rsidR="0026123B" w:rsidRDefault="00000000">
      <w:pPr>
        <w:pStyle w:val="ListParagraph"/>
        <w:numPr>
          <w:ilvl w:val="0"/>
          <w:numId w:val="2"/>
        </w:numPr>
        <w:spacing w:before="40" w:after="40"/>
      </w:pPr>
      <w:r>
        <w:lastRenderedPageBreak/>
        <w:t>Microsoft Sentinel depth — analytic-rule and MITRE ATT&amp;CK coverage, data-connector and log-source onboarding, and incident-response runbooks — which depends on first closing the diagnostic-settings gap.</w:t>
      </w:r>
    </w:p>
    <w:p w14:paraId="33507247" w14:textId="77777777" w:rsidR="0026123B" w:rsidRDefault="00000000">
      <w:pPr>
        <w:pStyle w:val="ListParagraph"/>
        <w:numPr>
          <w:ilvl w:val="0"/>
          <w:numId w:val="2"/>
        </w:numPr>
        <w:spacing w:before="40" w:after="40"/>
      </w:pPr>
      <w:r>
        <w:t>The Conditional Access and MFA baseline (policy count, legacy-auth blocking, Entra ID P2 entitlement for PIM) and the on-premises AD / Entra Connect dependency, since internal DNS still runs on legacy domain controllers.</w:t>
      </w:r>
    </w:p>
    <w:p w14:paraId="303CDB92" w14:textId="77777777" w:rsidR="0026123B" w:rsidRDefault="00000000">
      <w:pPr>
        <w:pStyle w:val="ListParagraph"/>
        <w:numPr>
          <w:ilvl w:val="0"/>
          <w:numId w:val="2"/>
        </w:numPr>
        <w:spacing w:before="40" w:after="40"/>
      </w:pPr>
      <w:r>
        <w:t>A consolidated BCDR baseline — RTO/RPO targets per service, a tested failover, and a validated secondary-region strategy.</w:t>
      </w:r>
    </w:p>
    <w:p w14:paraId="29C03859" w14:textId="77777777" w:rsidR="0026123B" w:rsidRDefault="00000000">
      <w:pPr>
        <w:pStyle w:val="ListParagraph"/>
        <w:numPr>
          <w:ilvl w:val="0"/>
          <w:numId w:val="2"/>
        </w:numPr>
        <w:spacing w:before="40" w:after="40"/>
      </w:pPr>
      <w:r>
        <w:t>The organisational compliance roadmap (DSPT, Secure by Design, Cyber Essentials / ISO 27001), currently surfaced as risk narrative rather than an owned workstream.</w:t>
      </w:r>
    </w:p>
    <w:p w14:paraId="4E3E6CAC" w14:textId="77777777" w:rsidR="0026123B" w:rsidRDefault="00000000">
      <w:pPr>
        <w:spacing w:before="60" w:after="60"/>
      </w:pPr>
      <w:r>
        <w:rPr>
          <w:b/>
        </w:rPr>
        <w:t>Source figures to reconcile before external issue</w:t>
      </w:r>
    </w:p>
    <w:p w14:paraId="4BDBE11E" w14:textId="77777777" w:rsidR="0026123B" w:rsidRDefault="00000000">
      <w:pPr>
        <w:spacing w:before="60" w:after="60"/>
      </w:pPr>
      <w:r>
        <w:t>A small number of figures differ between the source chapters and should be reconciled before the document is issued externally: the count of unsupported Basic-SKU Public IPs (2 in the health-check detail vs 5 in the HCAF scorecard), the number of Log Analytics workspaces (48 vs 85), the firewall rule model (inline rules vs Firewall Policy in use on 4/4), and the Public-IP distribution between the chapter prose and the metrics table.</w:t>
      </w:r>
    </w:p>
    <w:p w14:paraId="4D58258C" w14:textId="77777777" w:rsidR="0026123B" w:rsidRDefault="00000000">
      <w:pPr>
        <w:pStyle w:val="Heading1"/>
      </w:pPr>
      <w:bookmarkStart w:id="40" w:name="_Toc235173339"/>
      <w:r>
        <w:t>Appendix A — Glossary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7344"/>
      </w:tblGrid>
      <w:tr w:rsidR="0026123B" w14:paraId="288E6B14" w14:textId="77777777">
        <w:tc>
          <w:tcPr>
            <w:tcW w:w="2016"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vAlign w:val="center"/>
          </w:tcPr>
          <w:p w14:paraId="49A54A0B" w14:textId="77777777" w:rsidR="0026123B" w:rsidRDefault="00000000">
            <w:r>
              <w:rPr>
                <w:b/>
                <w:bCs/>
                <w:color w:val="5F2861"/>
              </w:rPr>
              <w:t>Term</w:t>
            </w:r>
          </w:p>
        </w:tc>
        <w:tc>
          <w:tcPr>
            <w:tcW w:w="7344" w:type="dxa"/>
            <w:tcBorders>
              <w:top w:val="single" w:sz="1" w:space="0" w:color="D9D9D9"/>
              <w:left w:val="single" w:sz="1" w:space="0" w:color="D9D9D9"/>
              <w:bottom w:val="single" w:sz="1" w:space="0" w:color="D9D9D9"/>
              <w:right w:val="single" w:sz="1" w:space="0" w:color="D9D9D9"/>
            </w:tcBorders>
            <w:shd w:val="clear" w:color="auto" w:fill="5F2861"/>
            <w:tcMar>
              <w:top w:w="80" w:type="dxa"/>
              <w:left w:w="120" w:type="dxa"/>
              <w:bottom w:w="80" w:type="dxa"/>
              <w:right w:w="120" w:type="dxa"/>
            </w:tcMar>
            <w:vAlign w:val="center"/>
          </w:tcPr>
          <w:p w14:paraId="65166E32" w14:textId="77777777" w:rsidR="0026123B" w:rsidRDefault="00000000">
            <w:r>
              <w:rPr>
                <w:b/>
              </w:rPr>
              <w:t>Definition</w:t>
            </w:r>
          </w:p>
        </w:tc>
      </w:tr>
      <w:tr w:rsidR="0026123B" w14:paraId="2462185F"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AE9BDA" w14:textId="77777777" w:rsidR="0026123B" w:rsidRDefault="00000000">
            <w:r>
              <w:rPr>
                <w:b/>
                <w:bCs/>
                <w:color w:val="5F2861"/>
              </w:rPr>
              <w:t>AIS</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9E063D" w14:textId="77777777" w:rsidR="0026123B" w:rsidRDefault="00000000">
            <w:r>
              <w:t>Application Integration Services — CQC's provider-portal integration platform.</w:t>
            </w:r>
          </w:p>
        </w:tc>
      </w:tr>
      <w:tr w:rsidR="0026123B" w14:paraId="225E027A"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4DAF8E" w14:textId="77777777" w:rsidR="0026123B" w:rsidRDefault="00000000">
            <w:r>
              <w:rPr>
                <w:b/>
                <w:bCs/>
                <w:color w:val="5F2861"/>
              </w:rPr>
              <w:t>AMBA</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54B985" w14:textId="77777777" w:rsidR="0026123B" w:rsidRDefault="00000000">
            <w:r>
              <w:t>Azure Monitor Baseline Alerts — a Microsoft framework defining a baseline set of alert rules per Azure service, deployable via IaC.</w:t>
            </w:r>
          </w:p>
        </w:tc>
      </w:tr>
      <w:tr w:rsidR="0026123B" w14:paraId="61ECABC7"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91D006" w14:textId="77777777" w:rsidR="0026123B" w:rsidRDefault="00000000">
            <w:r>
              <w:rPr>
                <w:b/>
                <w:bCs/>
                <w:color w:val="5F2861"/>
              </w:rPr>
              <w:t>ARA</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E63784" w14:textId="77777777" w:rsidR="0026123B" w:rsidRDefault="00000000">
            <w:r>
              <w:t>Avanade Data Platform Solution.</w:t>
            </w:r>
          </w:p>
        </w:tc>
      </w:tr>
      <w:tr w:rsidR="0026123B" w14:paraId="5B80F602"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86CFA1" w14:textId="77777777" w:rsidR="0026123B" w:rsidRDefault="00000000">
            <w:r>
              <w:rPr>
                <w:b/>
                <w:bCs/>
                <w:color w:val="5F2861"/>
              </w:rPr>
              <w:t>B2C</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D82145" w14:textId="77777777" w:rsidR="0026123B" w:rsidRDefault="00000000">
            <w:r>
              <w:t>Azure AD B2C — a customer-facing identity service, scheduled for deprecation by Microsoft in 2030.</w:t>
            </w:r>
          </w:p>
        </w:tc>
      </w:tr>
      <w:tr w:rsidR="0026123B" w14:paraId="28D92251"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6A8F6E" w14:textId="77777777" w:rsidR="0026123B" w:rsidRDefault="00000000">
            <w:r>
              <w:rPr>
                <w:b/>
                <w:bCs/>
                <w:color w:val="5F2861"/>
              </w:rPr>
              <w:t>CAF</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0D6498" w14:textId="77777777" w:rsidR="0026123B" w:rsidRDefault="00000000">
            <w:r>
              <w:t>Cloud Adoption Framework — Microsoft's guidance for cloud adoption strategy, governance and management.</w:t>
            </w:r>
          </w:p>
        </w:tc>
      </w:tr>
      <w:tr w:rsidR="0026123B" w14:paraId="078E6142"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064416" w14:textId="77777777" w:rsidR="0026123B" w:rsidRDefault="00000000">
            <w:r>
              <w:rPr>
                <w:b/>
                <w:bCs/>
                <w:color w:val="5F2861"/>
              </w:rPr>
              <w:t>CCoE</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6EBE7B" w14:textId="77777777" w:rsidR="0026123B" w:rsidRDefault="00000000">
            <w:r>
              <w:t>Cloud Centre of Excellence — the cross-functional body that defines standards, patterns and operating model for cloud.</w:t>
            </w:r>
          </w:p>
        </w:tc>
      </w:tr>
      <w:tr w:rsidR="0026123B" w14:paraId="6245C6FB"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35DC04" w14:textId="77777777" w:rsidR="0026123B" w:rsidRDefault="00000000">
            <w:r>
              <w:rPr>
                <w:b/>
                <w:bCs/>
                <w:color w:val="5F2861"/>
              </w:rPr>
              <w:t>DSPT</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468AC0" w14:textId="77777777" w:rsidR="0026123B" w:rsidRDefault="00000000">
            <w:r>
              <w:t>Data Security and Protection Toolkit — the NHS-aligned annual assurance regime applicable to CQC.</w:t>
            </w:r>
          </w:p>
        </w:tc>
      </w:tr>
      <w:tr w:rsidR="0026123B" w14:paraId="51B38A26"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9EF8638" w14:textId="77777777" w:rsidR="0026123B" w:rsidRDefault="00000000">
            <w:r>
              <w:rPr>
                <w:b/>
                <w:bCs/>
                <w:color w:val="5F2861"/>
              </w:rPr>
              <w:t>EDP</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FCCF8F" w14:textId="77777777" w:rsidR="0026123B" w:rsidRDefault="00000000">
            <w:r>
              <w:t>Enterprise Data Platform.</w:t>
            </w:r>
          </w:p>
        </w:tc>
      </w:tr>
      <w:tr w:rsidR="0026123B" w14:paraId="7736AB42"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C7AE8A" w14:textId="77777777" w:rsidR="0026123B" w:rsidRDefault="00000000">
            <w:r>
              <w:rPr>
                <w:b/>
                <w:bCs/>
                <w:color w:val="5F2861"/>
              </w:rPr>
              <w:t>FinOps</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7FE30F" w14:textId="77777777" w:rsidR="0026123B" w:rsidRDefault="00000000">
            <w:r>
              <w:t>Cloud financial management practice combining technology, finance and business to drive cost accountability.</w:t>
            </w:r>
          </w:p>
        </w:tc>
      </w:tr>
      <w:tr w:rsidR="0026123B" w14:paraId="534C65C8"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550A00" w14:textId="77777777" w:rsidR="0026123B" w:rsidRDefault="00000000">
            <w:r>
              <w:rPr>
                <w:b/>
                <w:bCs/>
                <w:color w:val="5F2861"/>
              </w:rPr>
              <w:t>GovAssure</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6D61C3" w14:textId="77777777" w:rsidR="0026123B" w:rsidRDefault="00000000">
            <w:r>
              <w:t>The Cabinet Office cyber assurance regime for UK government departments and arm's-length bodies.</w:t>
            </w:r>
          </w:p>
        </w:tc>
      </w:tr>
      <w:tr w:rsidR="0026123B" w14:paraId="364525D1"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E991BC" w14:textId="77777777" w:rsidR="0026123B" w:rsidRDefault="00000000">
            <w:r>
              <w:rPr>
                <w:b/>
                <w:bCs/>
                <w:color w:val="5F2861"/>
              </w:rPr>
              <w:t>HCAF</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88983C" w14:textId="77777777" w:rsidR="0026123B" w:rsidRDefault="00000000">
            <w:r>
              <w:t>Hitachi Cloud Assessment Framework — the maturity model used to score the estate (levels 1–5).</w:t>
            </w:r>
          </w:p>
        </w:tc>
      </w:tr>
      <w:tr w:rsidR="0026123B" w14:paraId="1F9A07B2"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C88BAF" w14:textId="77777777" w:rsidR="0026123B" w:rsidRDefault="00000000">
            <w:r>
              <w:rPr>
                <w:b/>
                <w:bCs/>
                <w:color w:val="5F2861"/>
              </w:rPr>
              <w:t>IaC</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A37A5C" w14:textId="77777777" w:rsidR="0026123B" w:rsidRDefault="00000000">
            <w:r>
              <w:t>Infrastructure as Code — provisioning and managing infrastructure via machine-readable definition files.</w:t>
            </w:r>
          </w:p>
        </w:tc>
      </w:tr>
      <w:tr w:rsidR="0026123B" w14:paraId="31596FDE"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25FD32" w14:textId="77777777" w:rsidR="0026123B" w:rsidRDefault="00000000">
            <w:r>
              <w:rPr>
                <w:b/>
                <w:bCs/>
                <w:color w:val="5F2861"/>
              </w:rPr>
              <w:t>NCSC CAF</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6F5696" w14:textId="77777777" w:rsidR="0026123B" w:rsidRDefault="00000000">
            <w:r>
              <w:t>National Cyber Security Centre Cyber Assessment Framework — the UK government baseline for cyber resilience.</w:t>
            </w:r>
          </w:p>
        </w:tc>
      </w:tr>
      <w:tr w:rsidR="0026123B" w14:paraId="722E61FC"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25540A" w14:textId="77777777" w:rsidR="0026123B" w:rsidRDefault="00000000">
            <w:r>
              <w:rPr>
                <w:b/>
                <w:bCs/>
                <w:color w:val="5F2861"/>
              </w:rPr>
              <w:lastRenderedPageBreak/>
              <w:t>NSG</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15ECE8" w14:textId="77777777" w:rsidR="0026123B" w:rsidRDefault="00000000">
            <w:r>
              <w:t>Network Security Group — filters network traffic between Azure resources in a VNet.</w:t>
            </w:r>
          </w:p>
        </w:tc>
      </w:tr>
      <w:tr w:rsidR="0026123B" w14:paraId="5D59FB71"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71FB5A" w14:textId="77777777" w:rsidR="0026123B" w:rsidRDefault="00000000">
            <w:r>
              <w:rPr>
                <w:b/>
                <w:bCs/>
                <w:color w:val="5F2861"/>
              </w:rPr>
              <w:t>PIM</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C4A0CF" w14:textId="77777777" w:rsidR="0026123B" w:rsidRDefault="00000000">
            <w:r>
              <w:t>Privileged Identity Management — Entra ID service providing just-in-time elevation for privileged roles.</w:t>
            </w:r>
          </w:p>
        </w:tc>
      </w:tr>
      <w:tr w:rsidR="0026123B" w14:paraId="071DFD11"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0FFA83" w14:textId="77777777" w:rsidR="0026123B" w:rsidRDefault="00000000">
            <w:r>
              <w:rPr>
                <w:b/>
                <w:bCs/>
                <w:color w:val="5F2861"/>
              </w:rPr>
              <w:t>RSV</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0A52F9" w14:textId="77777777" w:rsidR="0026123B" w:rsidRDefault="00000000">
            <w:r>
              <w:t>Recovery Services Vault — the Azure Backup vault construct.</w:t>
            </w:r>
          </w:p>
        </w:tc>
      </w:tr>
      <w:tr w:rsidR="0026123B" w14:paraId="4D2308CF"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822A27" w14:textId="77777777" w:rsidR="0026123B" w:rsidRDefault="00000000">
            <w:r>
              <w:rPr>
                <w:b/>
                <w:bCs/>
                <w:color w:val="5F2861"/>
              </w:rPr>
              <w:t>SoCC / CSOC</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97DDC1" w14:textId="77777777" w:rsidR="0026123B" w:rsidRDefault="00000000">
            <w:r>
              <w:t>NHS England-funded Security Operations Centre Capability supporting CQC's Sentinel operation.</w:t>
            </w:r>
          </w:p>
        </w:tc>
      </w:tr>
      <w:tr w:rsidR="0026123B" w14:paraId="703575BC" w14:textId="77777777">
        <w:tc>
          <w:tcPr>
            <w:tcW w:w="2016"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15C2EB" w14:textId="77777777" w:rsidR="0026123B" w:rsidRDefault="00000000">
            <w:r>
              <w:rPr>
                <w:b/>
                <w:bCs/>
                <w:color w:val="5F2861"/>
              </w:rPr>
              <w:t>TDA</w:t>
            </w:r>
          </w:p>
        </w:tc>
        <w:tc>
          <w:tcPr>
            <w:tcW w:w="7344"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E3836A" w14:textId="77777777" w:rsidR="0026123B" w:rsidRDefault="00000000">
            <w:r>
              <w:t>Technical Design Authority — the internal review board that ratifies designs before implementation.</w:t>
            </w:r>
          </w:p>
        </w:tc>
      </w:tr>
      <w:tr w:rsidR="0026123B" w14:paraId="78871147" w14:textId="77777777">
        <w:tc>
          <w:tcPr>
            <w:tcW w:w="201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F2B3A5" w14:textId="77777777" w:rsidR="0026123B" w:rsidRDefault="00000000">
            <w:r>
              <w:rPr>
                <w:b/>
                <w:bCs/>
                <w:color w:val="5F2861"/>
              </w:rPr>
              <w:t>WAF</w:t>
            </w:r>
          </w:p>
        </w:tc>
        <w:tc>
          <w:tcPr>
            <w:tcW w:w="734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E28EA4" w14:textId="77777777" w:rsidR="0026123B" w:rsidRDefault="00000000">
            <w:r>
              <w:t>Well-Architected Framework (Microsoft's five-pillar design framework).</w:t>
            </w:r>
          </w:p>
        </w:tc>
      </w:tr>
    </w:tbl>
    <w:p w14:paraId="70AEB99D" w14:textId="77777777" w:rsidR="0026123B" w:rsidRDefault="00000000">
      <w:pPr>
        <w:pStyle w:val="Heading1"/>
      </w:pPr>
      <w:bookmarkStart w:id="41" w:name="_Toc235173340"/>
      <w:r>
        <w:t>Appendix B — Source &amp; Reference Documents</w:t>
      </w:r>
      <w:bookmarkEnd w:id="41"/>
    </w:p>
    <w:p w14:paraId="7A13C0BB" w14:textId="77777777" w:rsidR="0026123B" w:rsidRDefault="00000000">
      <w:pPr>
        <w:pStyle w:val="ListParagraph"/>
        <w:numPr>
          <w:ilvl w:val="0"/>
          <w:numId w:val="2"/>
        </w:numPr>
        <w:spacing w:before="40" w:after="40"/>
      </w:pPr>
      <w:r>
        <w:t>ACS_920 — CQC Cloud Assessment Playback (Hitachi Solutions Europe).</w:t>
      </w:r>
    </w:p>
    <w:p w14:paraId="62D5BA25" w14:textId="77777777" w:rsidR="0026123B" w:rsidRDefault="00000000">
      <w:pPr>
        <w:pStyle w:val="ListParagraph"/>
        <w:numPr>
          <w:ilvl w:val="0"/>
          <w:numId w:val="2"/>
        </w:numPr>
        <w:spacing w:before="40" w:after="40"/>
      </w:pPr>
      <w:r>
        <w:t>ACS_921 — CQC Cloud Assessment Report (advisory findings, recommendations and roadmap).</w:t>
      </w:r>
    </w:p>
    <w:p w14:paraId="3C531328" w14:textId="77777777" w:rsidR="0026123B" w:rsidRDefault="00000000">
      <w:pPr>
        <w:pStyle w:val="ListParagraph"/>
        <w:numPr>
          <w:ilvl w:val="0"/>
          <w:numId w:val="2"/>
        </w:numPr>
        <w:spacing w:before="40" w:after="40"/>
      </w:pPr>
      <w:r>
        <w:t>ACS_922 — CQC Cloud Health Check (detailed technical evidence by domain).</w:t>
      </w:r>
    </w:p>
    <w:p w14:paraId="5A12A6B8" w14:textId="77777777" w:rsidR="0026123B" w:rsidRDefault="00000000">
      <w:pPr>
        <w:pStyle w:val="ListParagraph"/>
        <w:numPr>
          <w:ilvl w:val="0"/>
          <w:numId w:val="2"/>
        </w:numPr>
        <w:spacing w:before="40" w:after="40"/>
      </w:pPr>
      <w:r>
        <w:t>CQC Cloud Strategy Workshop Outputs (drivers, blockers, priorities and guard rails).</w:t>
      </w:r>
    </w:p>
    <w:p w14:paraId="1892BBBC" w14:textId="77777777" w:rsidR="0026123B" w:rsidRDefault="00000000">
      <w:pPr>
        <w:pStyle w:val="ListParagraph"/>
        <w:numPr>
          <w:ilvl w:val="0"/>
          <w:numId w:val="2"/>
        </w:numPr>
        <w:spacing w:before="40" w:after="40"/>
      </w:pPr>
      <w:r>
        <w:t>ACS_921 — CQC — Consolidated Health Check Recommendations.xlsx (the 129 recommendations underpinning the work packages).</w:t>
      </w:r>
    </w:p>
    <w:p w14:paraId="5038DB6F" w14:textId="77777777" w:rsidR="0026123B" w:rsidRDefault="00000000">
      <w:pPr>
        <w:pStyle w:val="ListParagraph"/>
        <w:numPr>
          <w:ilvl w:val="0"/>
          <w:numId w:val="2"/>
        </w:numPr>
        <w:spacing w:before="40" w:after="40"/>
      </w:pPr>
      <w:r>
        <w:t>Microsoft Cloud Adoption Framework (CAF) and Well-Architected Framework (WAF).</w:t>
      </w:r>
    </w:p>
    <w:p w14:paraId="30471DBF" w14:textId="77777777" w:rsidR="0026123B" w:rsidRDefault="00000000">
      <w:pPr>
        <w:pStyle w:val="ListParagraph"/>
        <w:numPr>
          <w:ilvl w:val="0"/>
          <w:numId w:val="2"/>
        </w:numPr>
        <w:spacing w:before="40" w:after="40"/>
      </w:pPr>
      <w:r>
        <w:t>NCSC Cyber Assessment Framework (CAF) and GovAssure; NHS Data Security and Protection Toolkit (DSPT).</w:t>
      </w:r>
    </w:p>
    <w:sectPr w:rsidR="0026123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8CCA3" w14:textId="77777777" w:rsidR="00EC3A6C" w:rsidRDefault="00EC3A6C">
      <w:r>
        <w:separator/>
      </w:r>
    </w:p>
  </w:endnote>
  <w:endnote w:type="continuationSeparator" w:id="0">
    <w:p w14:paraId="5738AAC1" w14:textId="77777777" w:rsidR="00EC3A6C" w:rsidRDefault="00EC3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825B" w14:textId="77777777" w:rsidR="006C1A37" w:rsidRDefault="006C1A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B952" w14:textId="77777777" w:rsidR="0026123B" w:rsidRDefault="00000000">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20C5E" w14:textId="77777777" w:rsidR="00EC3A6C" w:rsidRDefault="00EC3A6C">
      <w:r>
        <w:separator/>
      </w:r>
    </w:p>
  </w:footnote>
  <w:footnote w:type="continuationSeparator" w:id="0">
    <w:p w14:paraId="6E14807A" w14:textId="77777777" w:rsidR="00EC3A6C" w:rsidRDefault="00EC3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1414" w14:textId="77777777" w:rsidR="006C1A37" w:rsidRDefault="006C1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73F" w14:textId="77777777" w:rsidR="0026123B" w:rsidRDefault="00000000">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14:anchorId="4C4D3E02" wp14:editId="4A50C2BE">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CLOUD ASSESSMENT — Summary &amp; Work Packages</w:t>
    </w:r>
    <w:r>
      <w:rPr>
        <w:sz w:val="18"/>
        <w:szCs w:val="18"/>
      </w:rPr>
      <w:tab/>
    </w:r>
    <w:proofErr w:type="gramStart"/>
    <w:r>
      <w:rPr>
        <w:sz w:val="18"/>
        <w:szCs w:val="18"/>
      </w:rPr>
      <w:t>CQC  |</w:t>
    </w:r>
    <w:proofErr w:type="gramEnd"/>
    <w:r>
      <w:rPr>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055A8B"/>
    <w:rsid w:val="0026123B"/>
    <w:rsid w:val="006C1A37"/>
    <w:rsid w:val="00CB7EF9"/>
    <w:rsid w:val="00D0259C"/>
    <w:rsid w:val="00EC3A6C"/>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C875B"/>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0259C"/>
    <w:pPr>
      <w:spacing w:after="100"/>
    </w:pPr>
  </w:style>
  <w:style w:type="paragraph" w:styleId="TOC2">
    <w:name w:val="toc 2"/>
    <w:basedOn w:val="Normal"/>
    <w:next w:val="Normal"/>
    <w:autoRedefine/>
    <w:uiPriority w:val="39"/>
    <w:unhideWhenUsed/>
    <w:rsid w:val="00D0259C"/>
    <w:pPr>
      <w:spacing w:after="100"/>
      <w:ind w:left="200"/>
    </w:pPr>
  </w:style>
  <w:style w:type="paragraph" w:styleId="TOC3">
    <w:name w:val="toc 3"/>
    <w:basedOn w:val="Normal"/>
    <w:next w:val="Normal"/>
    <w:autoRedefine/>
    <w:uiPriority w:val="39"/>
    <w:unhideWhenUsed/>
    <w:rsid w:val="00D0259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32</Pages>
  <Words>14976</Words>
  <Characters>85366</Characters>
  <Application>Microsoft Office Word</Application>
  <DocSecurity>0</DocSecurity>
  <Lines>711</Lines>
  <Paragraphs>200</Paragraphs>
  <ScaleCrop>false</ScaleCrop>
  <Company/>
  <LinksUpToDate>false</LinksUpToDate>
  <CharactersWithSpaces>100142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3</cp:revision>
  <dcterms:created xsi:type="dcterms:W3CDTF">2026-05-18T07:44:00Z</dcterms:created>
  <dcterms:modified xsi:type="dcterms:W3CDTF">2026-07-17T08:36:00Z</dcterms:modified>
</cp:coreProperties>
</file>