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6E657" w14:textId="77777777" w:rsidR="003F0DB8" w:rsidRDefault="00000000">
      <w:pPr>
        <w:spacing w:after="125" w:line="259" w:lineRule="auto"/>
        <w:ind w:left="0" w:firstLine="0"/>
      </w:pPr>
      <w:r>
        <w:rPr>
          <w:sz w:val="24"/>
        </w:rPr>
        <w:t xml:space="preserve"> </w:t>
      </w:r>
    </w:p>
    <w:p w14:paraId="4BFF8347" w14:textId="77777777" w:rsidR="003F0DB8" w:rsidRDefault="00000000">
      <w:pPr>
        <w:spacing w:after="121" w:line="259" w:lineRule="auto"/>
        <w:ind w:left="720" w:firstLine="0"/>
      </w:pPr>
      <w:r>
        <w:rPr>
          <w:sz w:val="24"/>
        </w:rPr>
        <w:t xml:space="preserve"> </w:t>
      </w:r>
    </w:p>
    <w:p w14:paraId="245C154F" w14:textId="77777777" w:rsidR="003F0DB8" w:rsidRDefault="00000000">
      <w:pPr>
        <w:spacing w:after="126" w:line="259" w:lineRule="auto"/>
        <w:ind w:left="0" w:firstLine="0"/>
      </w:pPr>
      <w:r>
        <w:rPr>
          <w:sz w:val="24"/>
        </w:rPr>
        <w:t xml:space="preserve"> </w:t>
      </w:r>
    </w:p>
    <w:p w14:paraId="7BAA3B5B" w14:textId="77777777" w:rsidR="003F0DB8" w:rsidRDefault="00000000">
      <w:pPr>
        <w:spacing w:after="121" w:line="259" w:lineRule="auto"/>
        <w:ind w:left="0" w:firstLine="0"/>
      </w:pPr>
      <w:r>
        <w:rPr>
          <w:sz w:val="24"/>
        </w:rPr>
        <w:t xml:space="preserve"> </w:t>
      </w:r>
    </w:p>
    <w:p w14:paraId="4CB41316" w14:textId="77777777" w:rsidR="003F0DB8" w:rsidRDefault="00000000">
      <w:pPr>
        <w:spacing w:after="121" w:line="259" w:lineRule="auto"/>
        <w:ind w:left="0" w:firstLine="0"/>
      </w:pPr>
      <w:r>
        <w:rPr>
          <w:sz w:val="24"/>
        </w:rPr>
        <w:t xml:space="preserve"> </w:t>
      </w:r>
    </w:p>
    <w:p w14:paraId="334D04BD" w14:textId="77777777" w:rsidR="003F0DB8" w:rsidRDefault="00000000">
      <w:pPr>
        <w:spacing w:after="126" w:line="259" w:lineRule="auto"/>
        <w:ind w:left="0" w:firstLine="0"/>
      </w:pPr>
      <w:r>
        <w:rPr>
          <w:sz w:val="24"/>
        </w:rPr>
        <w:t xml:space="preserve"> </w:t>
      </w:r>
    </w:p>
    <w:p w14:paraId="2CBBA705" w14:textId="77777777" w:rsidR="003F0DB8" w:rsidRDefault="00000000">
      <w:pPr>
        <w:spacing w:after="57" w:line="259" w:lineRule="auto"/>
        <w:ind w:left="0" w:firstLine="0"/>
      </w:pPr>
      <w:r>
        <w:rPr>
          <w:sz w:val="24"/>
        </w:rPr>
        <w:t xml:space="preserve"> </w:t>
      </w:r>
    </w:p>
    <w:p w14:paraId="360334EC" w14:textId="77777777" w:rsidR="003F0DB8" w:rsidRDefault="00000000">
      <w:pPr>
        <w:spacing w:after="93" w:line="259" w:lineRule="auto"/>
        <w:ind w:left="0" w:firstLine="0"/>
      </w:pPr>
      <w:r>
        <w:rPr>
          <w:sz w:val="37"/>
          <w:vertAlign w:val="subscript"/>
        </w:rPr>
        <w:t xml:space="preserve"> </w:t>
      </w:r>
      <w:r>
        <w:rPr>
          <w:sz w:val="28"/>
        </w:rPr>
        <w:t xml:space="preserve">Hitachi Solutions Europe </w:t>
      </w:r>
    </w:p>
    <w:p w14:paraId="34120DDD" w14:textId="77777777" w:rsidR="003F0DB8" w:rsidRDefault="00000000">
      <w:pPr>
        <w:spacing w:after="191" w:line="259" w:lineRule="auto"/>
        <w:ind w:left="0" w:firstLine="0"/>
      </w:pPr>
      <w:r>
        <w:rPr>
          <w:sz w:val="24"/>
        </w:rPr>
        <w:t xml:space="preserve"> </w:t>
      </w:r>
    </w:p>
    <w:p w14:paraId="33AA9FBE" w14:textId="77777777" w:rsidR="003F0DB8" w:rsidRDefault="00000000">
      <w:pPr>
        <w:spacing w:after="0" w:line="259" w:lineRule="auto"/>
        <w:ind w:left="-5" w:right="-9455" w:hanging="10"/>
      </w:pPr>
      <w:r>
        <w:rPr>
          <w:noProof/>
        </w:rPr>
        <w:drawing>
          <wp:anchor distT="0" distB="0" distL="114300" distR="114300" simplePos="0" relativeHeight="251658240" behindDoc="0" locked="0" layoutInCell="1" allowOverlap="0" wp14:anchorId="24B07366" wp14:editId="2047D032">
            <wp:simplePos x="0" y="0"/>
            <wp:positionH relativeFrom="page">
              <wp:posOffset>9320022</wp:posOffset>
            </wp:positionH>
            <wp:positionV relativeFrom="page">
              <wp:posOffset>14352</wp:posOffset>
            </wp:positionV>
            <wp:extent cx="1344168" cy="7531608"/>
            <wp:effectExtent l="0" t="0" r="0" b="0"/>
            <wp:wrapSquare wrapText="bothSides"/>
            <wp:docPr id="94639" name="Picture 94639"/>
            <wp:cNvGraphicFramePr/>
            <a:graphic xmlns:a="http://schemas.openxmlformats.org/drawingml/2006/main">
              <a:graphicData uri="http://schemas.openxmlformats.org/drawingml/2006/picture">
                <pic:pic xmlns:pic="http://schemas.openxmlformats.org/drawingml/2006/picture">
                  <pic:nvPicPr>
                    <pic:cNvPr id="94639" name="Picture 94639"/>
                    <pic:cNvPicPr/>
                  </pic:nvPicPr>
                  <pic:blipFill>
                    <a:blip r:embed="rId7"/>
                    <a:stretch>
                      <a:fillRect/>
                    </a:stretch>
                  </pic:blipFill>
                  <pic:spPr>
                    <a:xfrm>
                      <a:off x="0" y="0"/>
                      <a:ext cx="1344168" cy="7531608"/>
                    </a:xfrm>
                    <a:prstGeom prst="rect">
                      <a:avLst/>
                    </a:prstGeom>
                  </pic:spPr>
                </pic:pic>
              </a:graphicData>
            </a:graphic>
          </wp:anchor>
        </w:drawing>
      </w:r>
      <w:r>
        <w:rPr>
          <w:sz w:val="37"/>
          <w:vertAlign w:val="superscript"/>
        </w:rPr>
        <w:t xml:space="preserve"> </w:t>
      </w:r>
      <w:r>
        <w:rPr>
          <w:b/>
          <w:sz w:val="80"/>
        </w:rPr>
        <w:t xml:space="preserve">Cloud </w:t>
      </w:r>
    </w:p>
    <w:p w14:paraId="33BF084D" w14:textId="77777777" w:rsidR="003F0DB8" w:rsidRDefault="00000000">
      <w:pPr>
        <w:spacing w:after="407" w:line="259" w:lineRule="auto"/>
        <w:ind w:left="0" w:firstLine="0"/>
      </w:pPr>
      <w:r>
        <w:rPr>
          <w:sz w:val="24"/>
        </w:rPr>
        <w:t xml:space="preserve"> </w:t>
      </w:r>
    </w:p>
    <w:p w14:paraId="42AE485D" w14:textId="77777777" w:rsidR="003F0DB8" w:rsidRDefault="00000000">
      <w:pPr>
        <w:spacing w:after="0" w:line="259" w:lineRule="auto"/>
        <w:ind w:left="-5" w:right="-9455" w:hanging="10"/>
      </w:pPr>
      <w:r>
        <w:rPr>
          <w:sz w:val="37"/>
          <w:vertAlign w:val="superscript"/>
        </w:rPr>
        <w:t xml:space="preserve"> </w:t>
      </w:r>
      <w:r>
        <w:rPr>
          <w:b/>
          <w:sz w:val="80"/>
        </w:rPr>
        <w:t xml:space="preserve">Assessment </w:t>
      </w:r>
    </w:p>
    <w:p w14:paraId="331B022F" w14:textId="77777777" w:rsidR="003F0DB8" w:rsidRDefault="00000000">
      <w:pPr>
        <w:spacing w:after="121" w:line="259" w:lineRule="auto"/>
        <w:ind w:left="0" w:firstLine="0"/>
      </w:pPr>
      <w:r>
        <w:rPr>
          <w:sz w:val="24"/>
        </w:rPr>
        <w:t xml:space="preserve"> </w:t>
      </w:r>
    </w:p>
    <w:p w14:paraId="2E2F9C38" w14:textId="77777777" w:rsidR="003F0DB8" w:rsidRDefault="00000000">
      <w:pPr>
        <w:spacing w:after="121" w:line="259" w:lineRule="auto"/>
        <w:ind w:left="0" w:firstLine="0"/>
      </w:pPr>
      <w:r>
        <w:rPr>
          <w:sz w:val="24"/>
        </w:rPr>
        <w:t xml:space="preserve"> </w:t>
      </w:r>
    </w:p>
    <w:p w14:paraId="7388CD55" w14:textId="77777777" w:rsidR="003F0DB8" w:rsidRDefault="00000000">
      <w:pPr>
        <w:spacing w:after="125" w:line="259" w:lineRule="auto"/>
        <w:ind w:left="0" w:firstLine="0"/>
      </w:pPr>
      <w:r>
        <w:rPr>
          <w:sz w:val="24"/>
        </w:rPr>
        <w:t xml:space="preserve"> </w:t>
      </w:r>
    </w:p>
    <w:p w14:paraId="623A3089" w14:textId="77777777" w:rsidR="003F0DB8" w:rsidRDefault="00000000">
      <w:pPr>
        <w:spacing w:after="122" w:line="259" w:lineRule="auto"/>
        <w:ind w:left="0" w:firstLine="0"/>
      </w:pPr>
      <w:r>
        <w:rPr>
          <w:sz w:val="24"/>
        </w:rPr>
        <w:t xml:space="preserve"> </w:t>
      </w:r>
    </w:p>
    <w:p w14:paraId="6D64DEF1" w14:textId="77777777" w:rsidR="003F0DB8" w:rsidRDefault="00000000">
      <w:pPr>
        <w:spacing w:after="125" w:line="259" w:lineRule="auto"/>
        <w:ind w:left="0" w:firstLine="0"/>
      </w:pPr>
      <w:r>
        <w:rPr>
          <w:sz w:val="24"/>
        </w:rPr>
        <w:t xml:space="preserve"> </w:t>
      </w:r>
    </w:p>
    <w:p w14:paraId="51C9C853" w14:textId="77777777" w:rsidR="003F0DB8" w:rsidRDefault="00000000">
      <w:pPr>
        <w:spacing w:after="0" w:line="259" w:lineRule="auto"/>
        <w:ind w:left="0" w:firstLine="0"/>
      </w:pPr>
      <w:r>
        <w:rPr>
          <w:sz w:val="24"/>
        </w:rPr>
        <w:t xml:space="preserve"> </w:t>
      </w:r>
    </w:p>
    <w:p w14:paraId="4516ECE5" w14:textId="77777777" w:rsidR="003F0DB8"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7E0AD438" wp14:editId="007C622E">
                <wp:extent cx="3128963" cy="1416050"/>
                <wp:effectExtent l="0" t="0" r="0" b="0"/>
                <wp:docPr id="78683" name="Group 78683"/>
                <wp:cNvGraphicFramePr/>
                <a:graphic xmlns:a="http://schemas.openxmlformats.org/drawingml/2006/main">
                  <a:graphicData uri="http://schemas.microsoft.com/office/word/2010/wordprocessingGroup">
                    <wpg:wgp>
                      <wpg:cNvGrpSpPr/>
                      <wpg:grpSpPr>
                        <a:xfrm>
                          <a:off x="0" y="0"/>
                          <a:ext cx="3128963" cy="1416050"/>
                          <a:chOff x="0" y="0"/>
                          <a:chExt cx="3128963" cy="1416050"/>
                        </a:xfrm>
                      </wpg:grpSpPr>
                      <wps:wsp>
                        <wps:cNvPr id="6" name="Rectangle 6"/>
                        <wps:cNvSpPr/>
                        <wps:spPr>
                          <a:xfrm>
                            <a:off x="0" y="939021"/>
                            <a:ext cx="55538" cy="198436"/>
                          </a:xfrm>
                          <a:prstGeom prst="rect">
                            <a:avLst/>
                          </a:prstGeom>
                          <a:ln>
                            <a:noFill/>
                          </a:ln>
                        </wps:spPr>
                        <wps:txbx>
                          <w:txbxContent>
                            <w:p w14:paraId="44706D33" w14:textId="77777777" w:rsidR="003F0DB8"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7" name="Rectangle 27"/>
                        <wps:cNvSpPr/>
                        <wps:spPr>
                          <a:xfrm>
                            <a:off x="0" y="19224"/>
                            <a:ext cx="55538" cy="198436"/>
                          </a:xfrm>
                          <a:prstGeom prst="rect">
                            <a:avLst/>
                          </a:prstGeom>
                          <a:ln>
                            <a:noFill/>
                          </a:ln>
                        </wps:spPr>
                        <wps:txbx>
                          <w:txbxContent>
                            <w:p w14:paraId="0CD9B8FF" w14:textId="77777777" w:rsidR="003F0DB8"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8" name="Rectangle 28"/>
                        <wps:cNvSpPr/>
                        <wps:spPr>
                          <a:xfrm>
                            <a:off x="0" y="319261"/>
                            <a:ext cx="55538" cy="198436"/>
                          </a:xfrm>
                          <a:prstGeom prst="rect">
                            <a:avLst/>
                          </a:prstGeom>
                          <a:ln>
                            <a:noFill/>
                          </a:ln>
                        </wps:spPr>
                        <wps:txbx>
                          <w:txbxContent>
                            <w:p w14:paraId="2612EFD9" w14:textId="77777777" w:rsidR="003F0DB8"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9" name="Rectangle 29"/>
                        <wps:cNvSpPr/>
                        <wps:spPr>
                          <a:xfrm>
                            <a:off x="1829117" y="319261"/>
                            <a:ext cx="55538" cy="198436"/>
                          </a:xfrm>
                          <a:prstGeom prst="rect">
                            <a:avLst/>
                          </a:prstGeom>
                          <a:ln>
                            <a:noFill/>
                          </a:ln>
                        </wps:spPr>
                        <wps:txbx>
                          <w:txbxContent>
                            <w:p w14:paraId="64EC7BEA" w14:textId="77777777" w:rsidR="003F0DB8"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37" name="Shape 37"/>
                        <wps:cNvSpPr/>
                        <wps:spPr>
                          <a:xfrm>
                            <a:off x="38418" y="0"/>
                            <a:ext cx="3090545" cy="1416050"/>
                          </a:xfrm>
                          <a:custGeom>
                            <a:avLst/>
                            <a:gdLst/>
                            <a:ahLst/>
                            <a:cxnLst/>
                            <a:rect l="0" t="0" r="0" b="0"/>
                            <a:pathLst>
                              <a:path w="3090545" h="1416050">
                                <a:moveTo>
                                  <a:pt x="0" y="216408"/>
                                </a:moveTo>
                                <a:cubicBezTo>
                                  <a:pt x="0" y="96901"/>
                                  <a:pt x="96876" y="0"/>
                                  <a:pt x="216370" y="0"/>
                                </a:cubicBezTo>
                                <a:lnTo>
                                  <a:pt x="2874137" y="0"/>
                                </a:lnTo>
                                <a:cubicBezTo>
                                  <a:pt x="2993644" y="0"/>
                                  <a:pt x="3090545" y="96901"/>
                                  <a:pt x="3090545" y="216408"/>
                                </a:cubicBezTo>
                                <a:lnTo>
                                  <a:pt x="3090545" y="1199680"/>
                                </a:lnTo>
                                <a:cubicBezTo>
                                  <a:pt x="3090545" y="1319174"/>
                                  <a:pt x="2993644" y="1416050"/>
                                  <a:pt x="2874137" y="1416050"/>
                                </a:cubicBezTo>
                                <a:lnTo>
                                  <a:pt x="216370" y="1416050"/>
                                </a:lnTo>
                                <a:cubicBezTo>
                                  <a:pt x="96876" y="1416050"/>
                                  <a:pt x="0" y="1319174"/>
                                  <a:pt x="0" y="1199680"/>
                                </a:cubicBezTo>
                                <a:close/>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8" name="Rectangle 38"/>
                        <wps:cNvSpPr/>
                        <wps:spPr>
                          <a:xfrm>
                            <a:off x="322580" y="276081"/>
                            <a:ext cx="1281621" cy="198436"/>
                          </a:xfrm>
                          <a:prstGeom prst="rect">
                            <a:avLst/>
                          </a:prstGeom>
                          <a:ln>
                            <a:noFill/>
                          </a:ln>
                        </wps:spPr>
                        <wps:txbx>
                          <w:txbxContent>
                            <w:p w14:paraId="36F17046" w14:textId="77777777" w:rsidR="003F0DB8" w:rsidRDefault="00000000">
                              <w:pPr>
                                <w:spacing w:after="160" w:line="259" w:lineRule="auto"/>
                                <w:ind w:left="0" w:firstLine="0"/>
                              </w:pPr>
                              <w:r>
                                <w:rPr>
                                  <w:b/>
                                  <w:sz w:val="24"/>
                                </w:rPr>
                                <w:t xml:space="preserve">Client Name: </w:t>
                              </w:r>
                            </w:p>
                          </w:txbxContent>
                        </wps:txbx>
                        <wps:bodyPr horzOverflow="overflow" vert="horz" lIns="0" tIns="0" rIns="0" bIns="0" rtlCol="0">
                          <a:noAutofit/>
                        </wps:bodyPr>
                      </wps:wsp>
                      <wps:wsp>
                        <wps:cNvPr id="39" name="Rectangle 39"/>
                        <wps:cNvSpPr/>
                        <wps:spPr>
                          <a:xfrm>
                            <a:off x="1288098" y="276081"/>
                            <a:ext cx="402546" cy="198436"/>
                          </a:xfrm>
                          <a:prstGeom prst="rect">
                            <a:avLst/>
                          </a:prstGeom>
                          <a:ln>
                            <a:noFill/>
                          </a:ln>
                        </wps:spPr>
                        <wps:txbx>
                          <w:txbxContent>
                            <w:p w14:paraId="5B8641B4" w14:textId="77777777" w:rsidR="003F0DB8" w:rsidRDefault="00000000">
                              <w:pPr>
                                <w:spacing w:after="160" w:line="259" w:lineRule="auto"/>
                                <w:ind w:left="0" w:firstLine="0"/>
                              </w:pPr>
                              <w:r>
                                <w:rPr>
                                  <w:sz w:val="24"/>
                                </w:rPr>
                                <w:t>CQC</w:t>
                              </w:r>
                            </w:p>
                          </w:txbxContent>
                        </wps:txbx>
                        <wps:bodyPr horzOverflow="overflow" vert="horz" lIns="0" tIns="0" rIns="0" bIns="0" rtlCol="0">
                          <a:noAutofit/>
                        </wps:bodyPr>
                      </wps:wsp>
                      <wps:wsp>
                        <wps:cNvPr id="40" name="Rectangle 40"/>
                        <wps:cNvSpPr/>
                        <wps:spPr>
                          <a:xfrm>
                            <a:off x="1592898" y="276081"/>
                            <a:ext cx="55943" cy="198436"/>
                          </a:xfrm>
                          <a:prstGeom prst="rect">
                            <a:avLst/>
                          </a:prstGeom>
                          <a:ln>
                            <a:noFill/>
                          </a:ln>
                        </wps:spPr>
                        <wps:txbx>
                          <w:txbxContent>
                            <w:p w14:paraId="5EA9720C" w14:textId="77777777" w:rsidR="003F0DB8" w:rsidRDefault="00000000">
                              <w:pPr>
                                <w:spacing w:after="160" w:line="259" w:lineRule="auto"/>
                                <w:ind w:left="0" w:firstLine="0"/>
                              </w:pPr>
                              <w:r>
                                <w:rPr>
                                  <w:b/>
                                  <w:sz w:val="24"/>
                                </w:rPr>
                                <w:t xml:space="preserve"> </w:t>
                              </w:r>
                            </w:p>
                          </w:txbxContent>
                        </wps:txbx>
                        <wps:bodyPr horzOverflow="overflow" vert="horz" lIns="0" tIns="0" rIns="0" bIns="0" rtlCol="0">
                          <a:noAutofit/>
                        </wps:bodyPr>
                      </wps:wsp>
                      <wps:wsp>
                        <wps:cNvPr id="41" name="Rectangle 41"/>
                        <wps:cNvSpPr/>
                        <wps:spPr>
                          <a:xfrm>
                            <a:off x="322580" y="542781"/>
                            <a:ext cx="1946451" cy="198436"/>
                          </a:xfrm>
                          <a:prstGeom prst="rect">
                            <a:avLst/>
                          </a:prstGeom>
                          <a:ln>
                            <a:noFill/>
                          </a:ln>
                        </wps:spPr>
                        <wps:txbx>
                          <w:txbxContent>
                            <w:p w14:paraId="196421FE" w14:textId="77777777" w:rsidR="003F0DB8" w:rsidRDefault="00000000">
                              <w:pPr>
                                <w:spacing w:after="160" w:line="259" w:lineRule="auto"/>
                                <w:ind w:left="0" w:firstLine="0"/>
                              </w:pPr>
                              <w:r>
                                <w:rPr>
                                  <w:b/>
                                  <w:sz w:val="24"/>
                                </w:rPr>
                                <w:t xml:space="preserve">Document Number: </w:t>
                              </w:r>
                            </w:p>
                          </w:txbxContent>
                        </wps:txbx>
                        <wps:bodyPr horzOverflow="overflow" vert="horz" lIns="0" tIns="0" rIns="0" bIns="0" rtlCol="0">
                          <a:noAutofit/>
                        </wps:bodyPr>
                      </wps:wsp>
                      <wps:wsp>
                        <wps:cNvPr id="42" name="Rectangle 42"/>
                        <wps:cNvSpPr/>
                        <wps:spPr>
                          <a:xfrm>
                            <a:off x="1788478" y="542781"/>
                            <a:ext cx="152087" cy="198436"/>
                          </a:xfrm>
                          <a:prstGeom prst="rect">
                            <a:avLst/>
                          </a:prstGeom>
                          <a:ln>
                            <a:noFill/>
                          </a:ln>
                        </wps:spPr>
                        <wps:txbx>
                          <w:txbxContent>
                            <w:p w14:paraId="00031D60" w14:textId="77777777" w:rsidR="003F0DB8" w:rsidRDefault="00000000">
                              <w:pPr>
                                <w:spacing w:after="160" w:line="259" w:lineRule="auto"/>
                                <w:ind w:left="0" w:firstLine="0"/>
                              </w:pPr>
                              <w:r>
                                <w:rPr>
                                  <w:sz w:val="24"/>
                                </w:rPr>
                                <w:t>0.</w:t>
                              </w:r>
                            </w:p>
                          </w:txbxContent>
                        </wps:txbx>
                        <wps:bodyPr horzOverflow="overflow" vert="horz" lIns="0" tIns="0" rIns="0" bIns="0" rtlCol="0">
                          <a:noAutofit/>
                        </wps:bodyPr>
                      </wps:wsp>
                      <wps:wsp>
                        <wps:cNvPr id="43" name="Rectangle 43"/>
                        <wps:cNvSpPr/>
                        <wps:spPr>
                          <a:xfrm>
                            <a:off x="1902778" y="542781"/>
                            <a:ext cx="109251" cy="198436"/>
                          </a:xfrm>
                          <a:prstGeom prst="rect">
                            <a:avLst/>
                          </a:prstGeom>
                          <a:ln>
                            <a:noFill/>
                          </a:ln>
                        </wps:spPr>
                        <wps:txbx>
                          <w:txbxContent>
                            <w:p w14:paraId="6AA89606" w14:textId="77777777" w:rsidR="003F0DB8" w:rsidRDefault="00000000">
                              <w:pPr>
                                <w:spacing w:after="160" w:line="259" w:lineRule="auto"/>
                                <w:ind w:left="0" w:firstLine="0"/>
                              </w:pPr>
                              <w:r>
                                <w:rPr>
                                  <w:sz w:val="24"/>
                                </w:rPr>
                                <w:t>1</w:t>
                              </w:r>
                            </w:p>
                          </w:txbxContent>
                        </wps:txbx>
                        <wps:bodyPr horzOverflow="overflow" vert="horz" lIns="0" tIns="0" rIns="0" bIns="0" rtlCol="0">
                          <a:noAutofit/>
                        </wps:bodyPr>
                      </wps:wsp>
                      <wps:wsp>
                        <wps:cNvPr id="44" name="Rectangle 44"/>
                        <wps:cNvSpPr/>
                        <wps:spPr>
                          <a:xfrm>
                            <a:off x="1986597" y="542781"/>
                            <a:ext cx="55538" cy="198436"/>
                          </a:xfrm>
                          <a:prstGeom prst="rect">
                            <a:avLst/>
                          </a:prstGeom>
                          <a:ln>
                            <a:noFill/>
                          </a:ln>
                        </wps:spPr>
                        <wps:txbx>
                          <w:txbxContent>
                            <w:p w14:paraId="19E5B92A" w14:textId="77777777" w:rsidR="003F0DB8"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45" name="Rectangle 45"/>
                        <wps:cNvSpPr/>
                        <wps:spPr>
                          <a:xfrm>
                            <a:off x="322580" y="809481"/>
                            <a:ext cx="1696735" cy="198436"/>
                          </a:xfrm>
                          <a:prstGeom prst="rect">
                            <a:avLst/>
                          </a:prstGeom>
                          <a:ln>
                            <a:noFill/>
                          </a:ln>
                        </wps:spPr>
                        <wps:txbx>
                          <w:txbxContent>
                            <w:p w14:paraId="38DEC329" w14:textId="77777777" w:rsidR="003F0DB8" w:rsidRDefault="00000000">
                              <w:pPr>
                                <w:spacing w:after="160" w:line="259" w:lineRule="auto"/>
                                <w:ind w:left="0" w:firstLine="0"/>
                              </w:pPr>
                              <w:r>
                                <w:rPr>
                                  <w:b/>
                                  <w:sz w:val="24"/>
                                </w:rPr>
                                <w:t xml:space="preserve">Submission Date: </w:t>
                              </w:r>
                            </w:p>
                          </w:txbxContent>
                        </wps:txbx>
                        <wps:bodyPr horzOverflow="overflow" vert="horz" lIns="0" tIns="0" rIns="0" bIns="0" rtlCol="0">
                          <a:noAutofit/>
                        </wps:bodyPr>
                      </wps:wsp>
                      <wps:wsp>
                        <wps:cNvPr id="46" name="Rectangle 46"/>
                        <wps:cNvSpPr/>
                        <wps:spPr>
                          <a:xfrm>
                            <a:off x="1600518" y="809481"/>
                            <a:ext cx="109251" cy="198436"/>
                          </a:xfrm>
                          <a:prstGeom prst="rect">
                            <a:avLst/>
                          </a:prstGeom>
                          <a:ln>
                            <a:noFill/>
                          </a:ln>
                        </wps:spPr>
                        <wps:txbx>
                          <w:txbxContent>
                            <w:p w14:paraId="59AA811C" w14:textId="77777777" w:rsidR="003F0DB8" w:rsidRDefault="00000000">
                              <w:pPr>
                                <w:spacing w:after="160" w:line="259" w:lineRule="auto"/>
                                <w:ind w:left="0" w:firstLine="0"/>
                              </w:pPr>
                              <w:r>
                                <w:rPr>
                                  <w:sz w:val="24"/>
                                </w:rPr>
                                <w:t>9</w:t>
                              </w:r>
                            </w:p>
                          </w:txbxContent>
                        </wps:txbx>
                        <wps:bodyPr horzOverflow="overflow" vert="horz" lIns="0" tIns="0" rIns="0" bIns="0" rtlCol="0">
                          <a:noAutofit/>
                        </wps:bodyPr>
                      </wps:wsp>
                      <wps:wsp>
                        <wps:cNvPr id="47" name="Rectangle 47"/>
                        <wps:cNvSpPr/>
                        <wps:spPr>
                          <a:xfrm>
                            <a:off x="1681797" y="788045"/>
                            <a:ext cx="123777" cy="132291"/>
                          </a:xfrm>
                          <a:prstGeom prst="rect">
                            <a:avLst/>
                          </a:prstGeom>
                          <a:ln>
                            <a:noFill/>
                          </a:ln>
                        </wps:spPr>
                        <wps:txbx>
                          <w:txbxContent>
                            <w:p w14:paraId="012292BF" w14:textId="77777777" w:rsidR="003F0DB8" w:rsidRDefault="00000000">
                              <w:pPr>
                                <w:spacing w:after="160" w:line="259" w:lineRule="auto"/>
                                <w:ind w:left="0" w:firstLine="0"/>
                              </w:pPr>
                              <w:r>
                                <w:rPr>
                                  <w:sz w:val="16"/>
                                </w:rPr>
                                <w:t>th</w:t>
                              </w:r>
                            </w:p>
                          </w:txbxContent>
                        </wps:txbx>
                        <wps:bodyPr horzOverflow="overflow" vert="horz" lIns="0" tIns="0" rIns="0" bIns="0" rtlCol="0">
                          <a:noAutofit/>
                        </wps:bodyPr>
                      </wps:wsp>
                      <wps:wsp>
                        <wps:cNvPr id="48" name="Rectangle 48"/>
                        <wps:cNvSpPr/>
                        <wps:spPr>
                          <a:xfrm>
                            <a:off x="1775778" y="809481"/>
                            <a:ext cx="55538" cy="198436"/>
                          </a:xfrm>
                          <a:prstGeom prst="rect">
                            <a:avLst/>
                          </a:prstGeom>
                          <a:ln>
                            <a:noFill/>
                          </a:ln>
                        </wps:spPr>
                        <wps:txbx>
                          <w:txbxContent>
                            <w:p w14:paraId="7287E4C0" w14:textId="77777777" w:rsidR="003F0DB8"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49" name="Rectangle 49"/>
                        <wps:cNvSpPr/>
                        <wps:spPr>
                          <a:xfrm>
                            <a:off x="1816417" y="809481"/>
                            <a:ext cx="406397" cy="198436"/>
                          </a:xfrm>
                          <a:prstGeom prst="rect">
                            <a:avLst/>
                          </a:prstGeom>
                          <a:ln>
                            <a:noFill/>
                          </a:ln>
                        </wps:spPr>
                        <wps:txbx>
                          <w:txbxContent>
                            <w:p w14:paraId="064AA265" w14:textId="77777777" w:rsidR="003F0DB8" w:rsidRDefault="00000000">
                              <w:pPr>
                                <w:spacing w:after="160" w:line="259" w:lineRule="auto"/>
                                <w:ind w:left="0" w:firstLine="0"/>
                              </w:pPr>
                              <w:r>
                                <w:rPr>
                                  <w:sz w:val="24"/>
                                </w:rPr>
                                <w:t>June</w:t>
                              </w:r>
                            </w:p>
                          </w:txbxContent>
                        </wps:txbx>
                        <wps:bodyPr horzOverflow="overflow" vert="horz" lIns="0" tIns="0" rIns="0" bIns="0" rtlCol="0">
                          <a:noAutofit/>
                        </wps:bodyPr>
                      </wps:wsp>
                      <wps:wsp>
                        <wps:cNvPr id="50" name="Rectangle 50"/>
                        <wps:cNvSpPr/>
                        <wps:spPr>
                          <a:xfrm>
                            <a:off x="2123758" y="809481"/>
                            <a:ext cx="55538" cy="198436"/>
                          </a:xfrm>
                          <a:prstGeom prst="rect">
                            <a:avLst/>
                          </a:prstGeom>
                          <a:ln>
                            <a:noFill/>
                          </a:ln>
                        </wps:spPr>
                        <wps:txbx>
                          <w:txbxContent>
                            <w:p w14:paraId="7C3029EC" w14:textId="77777777" w:rsidR="003F0DB8"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51" name="Rectangle 51"/>
                        <wps:cNvSpPr/>
                        <wps:spPr>
                          <a:xfrm>
                            <a:off x="2164397" y="809481"/>
                            <a:ext cx="436599" cy="198436"/>
                          </a:xfrm>
                          <a:prstGeom prst="rect">
                            <a:avLst/>
                          </a:prstGeom>
                          <a:ln>
                            <a:noFill/>
                          </a:ln>
                        </wps:spPr>
                        <wps:txbx>
                          <w:txbxContent>
                            <w:p w14:paraId="4F6F50E7" w14:textId="77777777" w:rsidR="003F0DB8" w:rsidRDefault="00000000">
                              <w:pPr>
                                <w:spacing w:after="160" w:line="259" w:lineRule="auto"/>
                                <w:ind w:left="0" w:firstLine="0"/>
                              </w:pPr>
                              <w:r>
                                <w:rPr>
                                  <w:sz w:val="24"/>
                                </w:rPr>
                                <w:t>2026</w:t>
                              </w:r>
                            </w:p>
                          </w:txbxContent>
                        </wps:txbx>
                        <wps:bodyPr horzOverflow="overflow" vert="horz" lIns="0" tIns="0" rIns="0" bIns="0" rtlCol="0">
                          <a:noAutofit/>
                        </wps:bodyPr>
                      </wps:wsp>
                      <wps:wsp>
                        <wps:cNvPr id="52" name="Rectangle 52"/>
                        <wps:cNvSpPr/>
                        <wps:spPr>
                          <a:xfrm>
                            <a:off x="2494598" y="809481"/>
                            <a:ext cx="55538" cy="198436"/>
                          </a:xfrm>
                          <a:prstGeom prst="rect">
                            <a:avLst/>
                          </a:prstGeom>
                          <a:ln>
                            <a:noFill/>
                          </a:ln>
                        </wps:spPr>
                        <wps:txbx>
                          <w:txbxContent>
                            <w:p w14:paraId="42379E48" w14:textId="77777777" w:rsidR="003F0DB8"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53" name="Rectangle 53"/>
                        <wps:cNvSpPr/>
                        <wps:spPr>
                          <a:xfrm>
                            <a:off x="322580" y="1076181"/>
                            <a:ext cx="694017" cy="198436"/>
                          </a:xfrm>
                          <a:prstGeom prst="rect">
                            <a:avLst/>
                          </a:prstGeom>
                          <a:ln>
                            <a:noFill/>
                          </a:ln>
                        </wps:spPr>
                        <wps:txbx>
                          <w:txbxContent>
                            <w:p w14:paraId="61C2AA89" w14:textId="77777777" w:rsidR="003F0DB8" w:rsidRDefault="00000000">
                              <w:pPr>
                                <w:spacing w:after="160" w:line="259" w:lineRule="auto"/>
                                <w:ind w:left="0" w:firstLine="0"/>
                              </w:pPr>
                              <w:r>
                                <w:rPr>
                                  <w:b/>
                                  <w:sz w:val="24"/>
                                </w:rPr>
                                <w:t xml:space="preserve">Status: </w:t>
                              </w:r>
                            </w:p>
                          </w:txbxContent>
                        </wps:txbx>
                        <wps:bodyPr horzOverflow="overflow" vert="horz" lIns="0" tIns="0" rIns="0" bIns="0" rtlCol="0">
                          <a:noAutofit/>
                        </wps:bodyPr>
                      </wps:wsp>
                      <wps:wsp>
                        <wps:cNvPr id="54" name="Rectangle 54"/>
                        <wps:cNvSpPr/>
                        <wps:spPr>
                          <a:xfrm>
                            <a:off x="845884" y="1076181"/>
                            <a:ext cx="599158" cy="198436"/>
                          </a:xfrm>
                          <a:prstGeom prst="rect">
                            <a:avLst/>
                          </a:prstGeom>
                          <a:ln>
                            <a:noFill/>
                          </a:ln>
                        </wps:spPr>
                        <wps:txbx>
                          <w:txbxContent>
                            <w:p w14:paraId="3B8AD7C2" w14:textId="77777777" w:rsidR="003F0DB8" w:rsidRDefault="00000000">
                              <w:pPr>
                                <w:spacing w:after="160" w:line="259" w:lineRule="auto"/>
                                <w:ind w:left="0" w:firstLine="0"/>
                              </w:pPr>
                              <w:r>
                                <w:rPr>
                                  <w:sz w:val="24"/>
                                </w:rPr>
                                <w:t>DRAFT</w:t>
                              </w:r>
                            </w:p>
                          </w:txbxContent>
                        </wps:txbx>
                        <wps:bodyPr horzOverflow="overflow" vert="horz" lIns="0" tIns="0" rIns="0" bIns="0" rtlCol="0">
                          <a:noAutofit/>
                        </wps:bodyPr>
                      </wps:wsp>
                      <wps:wsp>
                        <wps:cNvPr id="55" name="Rectangle 55"/>
                        <wps:cNvSpPr/>
                        <wps:spPr>
                          <a:xfrm>
                            <a:off x="1298258" y="1076181"/>
                            <a:ext cx="55538" cy="198436"/>
                          </a:xfrm>
                          <a:prstGeom prst="rect">
                            <a:avLst/>
                          </a:prstGeom>
                          <a:ln>
                            <a:noFill/>
                          </a:ln>
                        </wps:spPr>
                        <wps:txbx>
                          <w:txbxContent>
                            <w:p w14:paraId="58876939" w14:textId="77777777" w:rsidR="003F0DB8" w:rsidRDefault="00000000">
                              <w:pPr>
                                <w:spacing w:after="160" w:line="259" w:lineRule="auto"/>
                                <w:ind w:left="0" w:firstLine="0"/>
                              </w:pPr>
                              <w:r>
                                <w:rPr>
                                  <w:sz w:val="24"/>
                                </w:rPr>
                                <w:t xml:space="preserve"> </w:t>
                              </w:r>
                            </w:p>
                          </w:txbxContent>
                        </wps:txbx>
                        <wps:bodyPr horzOverflow="overflow" vert="horz" lIns="0" tIns="0" rIns="0" bIns="0" rtlCol="0">
                          <a:noAutofit/>
                        </wps:bodyPr>
                      </wps:wsp>
                    </wpg:wgp>
                  </a:graphicData>
                </a:graphic>
              </wp:inline>
            </w:drawing>
          </mc:Choice>
          <mc:Fallback>
            <w:pict>
              <v:group w14:anchorId="7E0AD438" id="Group 78683" o:spid="_x0000_s1026" style="width:246.4pt;height:111.5pt;mso-position-horizontal-relative:char;mso-position-vertical-relative:line" coordsize="31289,1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">
                <v:rect id="Rectangle 6" o:spid="_x0000_s1027" style="position:absolute;top:9390;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4706D33" w14:textId="77777777" w:rsidR="003F0DB8" w:rsidRDefault="00000000">
                        <w:pPr>
                          <w:spacing w:after="160" w:line="259" w:lineRule="auto"/>
                          <w:ind w:left="0" w:firstLine="0"/>
                        </w:pPr>
                        <w:r>
                          <w:rPr>
                            <w:sz w:val="24"/>
                          </w:rPr>
                          <w:t xml:space="preserve"> </w:t>
                        </w:r>
                      </w:p>
                    </w:txbxContent>
                  </v:textbox>
                </v:rect>
                <v:rect id="Rectangle 27" o:spid="_x0000_s1028" style="position:absolute;top:192;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CD9B8FF" w14:textId="77777777" w:rsidR="003F0DB8" w:rsidRDefault="00000000">
                        <w:pPr>
                          <w:spacing w:after="160" w:line="259" w:lineRule="auto"/>
                          <w:ind w:left="0" w:firstLine="0"/>
                        </w:pPr>
                        <w:r>
                          <w:rPr>
                            <w:sz w:val="24"/>
                          </w:rPr>
                          <w:t xml:space="preserve"> </w:t>
                        </w:r>
                      </w:p>
                    </w:txbxContent>
                  </v:textbox>
                </v:rect>
                <v:rect id="Rectangle 28" o:spid="_x0000_s1029" style="position:absolute;top:3192;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612EFD9" w14:textId="77777777" w:rsidR="003F0DB8" w:rsidRDefault="00000000">
                        <w:pPr>
                          <w:spacing w:after="160" w:line="259" w:lineRule="auto"/>
                          <w:ind w:left="0" w:firstLine="0"/>
                        </w:pPr>
                        <w:r>
                          <w:rPr>
                            <w:sz w:val="24"/>
                          </w:rPr>
                          <w:t xml:space="preserve"> </w:t>
                        </w:r>
                      </w:p>
                    </w:txbxContent>
                  </v:textbox>
                </v:rect>
                <v:rect id="Rectangle 29" o:spid="_x0000_s1030" style="position:absolute;left:18291;top:3192;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4EC7BEA" w14:textId="77777777" w:rsidR="003F0DB8" w:rsidRDefault="00000000">
                        <w:pPr>
                          <w:spacing w:after="160" w:line="259" w:lineRule="auto"/>
                          <w:ind w:left="0" w:firstLine="0"/>
                        </w:pPr>
                        <w:r>
                          <w:rPr>
                            <w:sz w:val="24"/>
                          </w:rPr>
                          <w:t xml:space="preserve"> </w:t>
                        </w:r>
                      </w:p>
                    </w:txbxContent>
                  </v:textbox>
                </v:rect>
                <v:shape id="Shape 37" o:spid="_x0000_s1031" style="position:absolute;left:384;width:30905;height:14160;visibility:visible;mso-wrap-style:square;v-text-anchor:top" coordsize="3090545,141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" path="m,216408c,96901,96876,,216370,l2874137,v119507,,216408,96901,216408,216408l3090545,1199680v,119494,-96901,216370,-216408,216370l216370,1416050c96876,1416050,,1319174,,1199680l,216408xe" filled="f" strokeweight=".5pt">
                  <v:stroke miterlimit="83231f" joinstyle="miter"/>
                  <v:path arrowok="t" textboxrect="0,0,3090545,1416050"/>
                </v:shape>
                <v:rect id="Rectangle 38" o:spid="_x0000_s1032" style="position:absolute;left:3225;top:2760;width:12817;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6F17046" w14:textId="77777777" w:rsidR="003F0DB8" w:rsidRDefault="00000000">
                        <w:pPr>
                          <w:spacing w:after="160" w:line="259" w:lineRule="auto"/>
                          <w:ind w:left="0" w:firstLine="0"/>
                        </w:pPr>
                        <w:r>
                          <w:rPr>
                            <w:b/>
                            <w:sz w:val="24"/>
                          </w:rPr>
                          <w:t xml:space="preserve">Client Name: </w:t>
                        </w:r>
                      </w:p>
                    </w:txbxContent>
                  </v:textbox>
                </v:rect>
                <v:rect id="Rectangle 39" o:spid="_x0000_s1033" style="position:absolute;left:12880;top:2760;width:4026;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5B8641B4" w14:textId="77777777" w:rsidR="003F0DB8" w:rsidRDefault="00000000">
                        <w:pPr>
                          <w:spacing w:after="160" w:line="259" w:lineRule="auto"/>
                          <w:ind w:left="0" w:firstLine="0"/>
                        </w:pPr>
                        <w:r>
                          <w:rPr>
                            <w:sz w:val="24"/>
                          </w:rPr>
                          <w:t>CQC</w:t>
                        </w:r>
                      </w:p>
                    </w:txbxContent>
                  </v:textbox>
                </v:rect>
                <v:rect id="Rectangle 40" o:spid="_x0000_s1034" style="position:absolute;left:15928;top:2760;width:560;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5EA9720C" w14:textId="77777777" w:rsidR="003F0DB8" w:rsidRDefault="00000000">
                        <w:pPr>
                          <w:spacing w:after="160" w:line="259" w:lineRule="auto"/>
                          <w:ind w:left="0" w:firstLine="0"/>
                        </w:pPr>
                        <w:r>
                          <w:rPr>
                            <w:b/>
                            <w:sz w:val="24"/>
                          </w:rPr>
                          <w:t xml:space="preserve"> </w:t>
                        </w:r>
                      </w:p>
                    </w:txbxContent>
                  </v:textbox>
                </v:rect>
                <v:rect id="Rectangle 41" o:spid="_x0000_s1035" style="position:absolute;left:3225;top:5427;width:19465;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196421FE" w14:textId="77777777" w:rsidR="003F0DB8" w:rsidRDefault="00000000">
                        <w:pPr>
                          <w:spacing w:after="160" w:line="259" w:lineRule="auto"/>
                          <w:ind w:left="0" w:firstLine="0"/>
                        </w:pPr>
                        <w:r>
                          <w:rPr>
                            <w:b/>
                            <w:sz w:val="24"/>
                          </w:rPr>
                          <w:t xml:space="preserve">Document Number: </w:t>
                        </w:r>
                      </w:p>
                    </w:txbxContent>
                  </v:textbox>
                </v:rect>
                <v:rect id="Rectangle 42" o:spid="_x0000_s1036" style="position:absolute;left:17884;top:5427;width:1521;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00031D60" w14:textId="77777777" w:rsidR="003F0DB8" w:rsidRDefault="00000000">
                        <w:pPr>
                          <w:spacing w:after="160" w:line="259" w:lineRule="auto"/>
                          <w:ind w:left="0" w:firstLine="0"/>
                        </w:pPr>
                        <w:r>
                          <w:rPr>
                            <w:sz w:val="24"/>
                          </w:rPr>
                          <w:t>0.</w:t>
                        </w:r>
                      </w:p>
                    </w:txbxContent>
                  </v:textbox>
                </v:rect>
                <v:rect id="Rectangle 43" o:spid="_x0000_s1037" style="position:absolute;left:19027;top:5427;width:1093;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6AA89606" w14:textId="77777777" w:rsidR="003F0DB8" w:rsidRDefault="00000000">
                        <w:pPr>
                          <w:spacing w:after="160" w:line="259" w:lineRule="auto"/>
                          <w:ind w:left="0" w:firstLine="0"/>
                        </w:pPr>
                        <w:r>
                          <w:rPr>
                            <w:sz w:val="24"/>
                          </w:rPr>
                          <w:t>1</w:t>
                        </w:r>
                      </w:p>
                    </w:txbxContent>
                  </v:textbox>
                </v:rect>
                <v:rect id="Rectangle 44" o:spid="_x0000_s1038" style="position:absolute;left:19865;top:5427;width:556;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19E5B92A" w14:textId="77777777" w:rsidR="003F0DB8" w:rsidRDefault="00000000">
                        <w:pPr>
                          <w:spacing w:after="160" w:line="259" w:lineRule="auto"/>
                          <w:ind w:left="0" w:firstLine="0"/>
                        </w:pPr>
                        <w:r>
                          <w:rPr>
                            <w:sz w:val="24"/>
                          </w:rPr>
                          <w:t xml:space="preserve"> </w:t>
                        </w:r>
                      </w:p>
                    </w:txbxContent>
                  </v:textbox>
                </v:rect>
                <v:rect id="Rectangle 45" o:spid="_x0000_s1039" style="position:absolute;left:3225;top:8094;width:16968;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38DEC329" w14:textId="77777777" w:rsidR="003F0DB8" w:rsidRDefault="00000000">
                        <w:pPr>
                          <w:spacing w:after="160" w:line="259" w:lineRule="auto"/>
                          <w:ind w:left="0" w:firstLine="0"/>
                        </w:pPr>
                        <w:r>
                          <w:rPr>
                            <w:b/>
                            <w:sz w:val="24"/>
                          </w:rPr>
                          <w:t xml:space="preserve">Submission Date: </w:t>
                        </w:r>
                      </w:p>
                    </w:txbxContent>
                  </v:textbox>
                </v:rect>
                <v:rect id="Rectangle 46" o:spid="_x0000_s1040" style="position:absolute;left:16005;top:8094;width:1092;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59AA811C" w14:textId="77777777" w:rsidR="003F0DB8" w:rsidRDefault="00000000">
                        <w:pPr>
                          <w:spacing w:after="160" w:line="259" w:lineRule="auto"/>
                          <w:ind w:left="0" w:firstLine="0"/>
                        </w:pPr>
                        <w:r>
                          <w:rPr>
                            <w:sz w:val="24"/>
                          </w:rPr>
                          <w:t>9</w:t>
                        </w:r>
                      </w:p>
                    </w:txbxContent>
                  </v:textbox>
                </v:rect>
                <v:rect id="Rectangle 47" o:spid="_x0000_s1041" style="position:absolute;left:16817;top:7880;width:1238;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012292BF" w14:textId="77777777" w:rsidR="003F0DB8" w:rsidRDefault="00000000">
                        <w:pPr>
                          <w:spacing w:after="160" w:line="259" w:lineRule="auto"/>
                          <w:ind w:left="0" w:firstLine="0"/>
                        </w:pPr>
                        <w:r>
                          <w:rPr>
                            <w:sz w:val="16"/>
                          </w:rPr>
                          <w:t>th</w:t>
                        </w:r>
                      </w:p>
                    </w:txbxContent>
                  </v:textbox>
                </v:rect>
                <v:rect id="Rectangle 48" o:spid="_x0000_s1042" style="position:absolute;left:17757;top:8094;width:556;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7287E4C0" w14:textId="77777777" w:rsidR="003F0DB8" w:rsidRDefault="00000000">
                        <w:pPr>
                          <w:spacing w:after="160" w:line="259" w:lineRule="auto"/>
                          <w:ind w:left="0" w:firstLine="0"/>
                        </w:pPr>
                        <w:r>
                          <w:rPr>
                            <w:sz w:val="24"/>
                          </w:rPr>
                          <w:t xml:space="preserve"> </w:t>
                        </w:r>
                      </w:p>
                    </w:txbxContent>
                  </v:textbox>
                </v:rect>
                <v:rect id="Rectangle 49" o:spid="_x0000_s1043" style="position:absolute;left:18164;top:8094;width:4064;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064AA265" w14:textId="77777777" w:rsidR="003F0DB8" w:rsidRDefault="00000000">
                        <w:pPr>
                          <w:spacing w:after="160" w:line="259" w:lineRule="auto"/>
                          <w:ind w:left="0" w:firstLine="0"/>
                        </w:pPr>
                        <w:r>
                          <w:rPr>
                            <w:sz w:val="24"/>
                          </w:rPr>
                          <w:t>June</w:t>
                        </w:r>
                      </w:p>
                    </w:txbxContent>
                  </v:textbox>
                </v:rect>
                <v:rect id="Rectangle 50" o:spid="_x0000_s1044" style="position:absolute;left:21237;top:8094;width:555;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7C3029EC" w14:textId="77777777" w:rsidR="003F0DB8" w:rsidRDefault="00000000">
                        <w:pPr>
                          <w:spacing w:after="160" w:line="259" w:lineRule="auto"/>
                          <w:ind w:left="0" w:firstLine="0"/>
                        </w:pPr>
                        <w:r>
                          <w:rPr>
                            <w:sz w:val="24"/>
                          </w:rPr>
                          <w:t xml:space="preserve"> </w:t>
                        </w:r>
                      </w:p>
                    </w:txbxContent>
                  </v:textbox>
                </v:rect>
                <v:rect id="Rectangle 51" o:spid="_x0000_s1045" style="position:absolute;left:21643;top:8094;width:4366;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F6F50E7" w14:textId="77777777" w:rsidR="003F0DB8" w:rsidRDefault="00000000">
                        <w:pPr>
                          <w:spacing w:after="160" w:line="259" w:lineRule="auto"/>
                          <w:ind w:left="0" w:firstLine="0"/>
                        </w:pPr>
                        <w:r>
                          <w:rPr>
                            <w:sz w:val="24"/>
                          </w:rPr>
                          <w:t>2026</w:t>
                        </w:r>
                      </w:p>
                    </w:txbxContent>
                  </v:textbox>
                </v:rect>
                <v:rect id="Rectangle 52" o:spid="_x0000_s1046" style="position:absolute;left:24945;top:8094;width:556;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42379E48" w14:textId="77777777" w:rsidR="003F0DB8" w:rsidRDefault="00000000">
                        <w:pPr>
                          <w:spacing w:after="160" w:line="259" w:lineRule="auto"/>
                          <w:ind w:left="0" w:firstLine="0"/>
                        </w:pPr>
                        <w:r>
                          <w:rPr>
                            <w:sz w:val="24"/>
                          </w:rPr>
                          <w:t xml:space="preserve"> </w:t>
                        </w:r>
                      </w:p>
                    </w:txbxContent>
                  </v:textbox>
                </v:rect>
                <v:rect id="Rectangle 53" o:spid="_x0000_s1047" style="position:absolute;left:3225;top:10761;width:6940;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61C2AA89" w14:textId="77777777" w:rsidR="003F0DB8" w:rsidRDefault="00000000">
                        <w:pPr>
                          <w:spacing w:after="160" w:line="259" w:lineRule="auto"/>
                          <w:ind w:left="0" w:firstLine="0"/>
                        </w:pPr>
                        <w:r>
                          <w:rPr>
                            <w:b/>
                            <w:sz w:val="24"/>
                          </w:rPr>
                          <w:t xml:space="preserve">Status: </w:t>
                        </w:r>
                      </w:p>
                    </w:txbxContent>
                  </v:textbox>
                </v:rect>
                <v:rect id="Rectangle 54" o:spid="_x0000_s1048" style="position:absolute;left:8458;top:10761;width:5992;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3B8AD7C2" w14:textId="77777777" w:rsidR="003F0DB8" w:rsidRDefault="00000000">
                        <w:pPr>
                          <w:spacing w:after="160" w:line="259" w:lineRule="auto"/>
                          <w:ind w:left="0" w:firstLine="0"/>
                        </w:pPr>
                        <w:r>
                          <w:rPr>
                            <w:sz w:val="24"/>
                          </w:rPr>
                          <w:t>DRAFT</w:t>
                        </w:r>
                      </w:p>
                    </w:txbxContent>
                  </v:textbox>
                </v:rect>
                <v:rect id="Rectangle 55" o:spid="_x0000_s1049" style="position:absolute;left:12982;top:10761;width:555;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58876939" w14:textId="77777777" w:rsidR="003F0DB8" w:rsidRDefault="00000000">
                        <w:pPr>
                          <w:spacing w:after="160" w:line="259" w:lineRule="auto"/>
                          <w:ind w:left="0" w:firstLine="0"/>
                        </w:pPr>
                        <w:r>
                          <w:rPr>
                            <w:sz w:val="24"/>
                          </w:rPr>
                          <w:t xml:space="preserve"> </w:t>
                        </w:r>
                      </w:p>
                    </w:txbxContent>
                  </v:textbox>
                </v:rect>
                <w10:anchorlock/>
              </v:group>
            </w:pict>
          </mc:Fallback>
        </mc:AlternateContent>
      </w:r>
    </w:p>
    <w:sdt>
      <w:sdtPr>
        <w:id w:val="-915017905"/>
        <w:docPartObj>
          <w:docPartGallery w:val="Table of Contents"/>
        </w:docPartObj>
      </w:sdtPr>
      <w:sdtContent>
        <w:p w14:paraId="1B8AF7BE" w14:textId="77777777" w:rsidR="003F0DB8" w:rsidRDefault="00000000">
          <w:pPr>
            <w:spacing w:after="0" w:line="259" w:lineRule="auto"/>
            <w:ind w:left="0" w:firstLine="0"/>
          </w:pPr>
          <w:r>
            <w:rPr>
              <w:rFonts w:ascii="Arial" w:eastAsia="Arial" w:hAnsi="Arial" w:cs="Arial"/>
              <w:b/>
              <w:sz w:val="32"/>
            </w:rPr>
            <w:t xml:space="preserve">Table of Contents </w:t>
          </w:r>
        </w:p>
        <w:p w14:paraId="3D4EF2BD" w14:textId="77777777" w:rsidR="003F0DB8" w:rsidRDefault="00000000">
          <w:pPr>
            <w:pStyle w:val="TOC1"/>
            <w:tabs>
              <w:tab w:val="right" w:leader="dot" w:pos="13859"/>
            </w:tabs>
          </w:pPr>
          <w:r>
            <w:fldChar w:fldCharType="begin"/>
          </w:r>
          <w:r>
            <w:instrText xml:space="preserve"> TOC \o "1-1" \h \z \u </w:instrText>
          </w:r>
          <w:r>
            <w:fldChar w:fldCharType="separate"/>
          </w:r>
          <w:hyperlink w:anchor="_Toc96782">
            <w:r>
              <w:rPr>
                <w:b/>
                <w:sz w:val="24"/>
              </w:rPr>
              <w:t>Introduction</w:t>
            </w:r>
            <w:r>
              <w:tab/>
            </w:r>
            <w:r>
              <w:fldChar w:fldCharType="begin"/>
            </w:r>
            <w:r>
              <w:instrText>PAGEREF _Toc96782 \h</w:instrText>
            </w:r>
            <w:r>
              <w:fldChar w:fldCharType="separate"/>
            </w:r>
            <w:r>
              <w:rPr>
                <w:b/>
                <w:sz w:val="24"/>
              </w:rPr>
              <w:t xml:space="preserve">5 </w:t>
            </w:r>
            <w:r>
              <w:fldChar w:fldCharType="end"/>
            </w:r>
          </w:hyperlink>
        </w:p>
        <w:p w14:paraId="18C317C7" w14:textId="77777777" w:rsidR="003F0DB8" w:rsidRDefault="00000000">
          <w:pPr>
            <w:pStyle w:val="TOC1"/>
            <w:tabs>
              <w:tab w:val="right" w:leader="dot" w:pos="13859"/>
            </w:tabs>
          </w:pPr>
          <w:hyperlink w:anchor="_Toc96783">
            <w:r>
              <w:t>Executive Summary</w:t>
            </w:r>
            <w:r>
              <w:tab/>
            </w:r>
            <w:r>
              <w:fldChar w:fldCharType="begin"/>
            </w:r>
            <w:r>
              <w:instrText>PAGEREF _Toc96783 \h</w:instrText>
            </w:r>
            <w:r>
              <w:fldChar w:fldCharType="separate"/>
            </w:r>
            <w:r>
              <w:t xml:space="preserve">5 </w:t>
            </w:r>
            <w:r>
              <w:fldChar w:fldCharType="end"/>
            </w:r>
          </w:hyperlink>
        </w:p>
        <w:p w14:paraId="0F73DBFA" w14:textId="77777777" w:rsidR="003F0DB8" w:rsidRDefault="00000000">
          <w:pPr>
            <w:pStyle w:val="TOC1"/>
            <w:tabs>
              <w:tab w:val="right" w:leader="dot" w:pos="13859"/>
            </w:tabs>
          </w:pPr>
          <w:hyperlink w:anchor="_Toc96784">
            <w:r>
              <w:t>Assessment Vision</w:t>
            </w:r>
            <w:r>
              <w:tab/>
            </w:r>
            <w:r>
              <w:fldChar w:fldCharType="begin"/>
            </w:r>
            <w:r>
              <w:instrText>PAGEREF _Toc96784 \h</w:instrText>
            </w:r>
            <w:r>
              <w:fldChar w:fldCharType="separate"/>
            </w:r>
            <w:r>
              <w:t xml:space="preserve">6 </w:t>
            </w:r>
            <w:r>
              <w:fldChar w:fldCharType="end"/>
            </w:r>
          </w:hyperlink>
        </w:p>
        <w:p w14:paraId="6ACABF83" w14:textId="77777777" w:rsidR="003F0DB8" w:rsidRDefault="00000000">
          <w:pPr>
            <w:pStyle w:val="TOC1"/>
            <w:tabs>
              <w:tab w:val="right" w:leader="dot" w:pos="13859"/>
            </w:tabs>
          </w:pPr>
          <w:hyperlink w:anchor="_Toc96785">
            <w:r>
              <w:t>Assessment Objectives</w:t>
            </w:r>
            <w:r>
              <w:tab/>
            </w:r>
            <w:r>
              <w:fldChar w:fldCharType="begin"/>
            </w:r>
            <w:r>
              <w:instrText>PAGEREF _Toc96785 \h</w:instrText>
            </w:r>
            <w:r>
              <w:fldChar w:fldCharType="separate"/>
            </w:r>
            <w:r>
              <w:t xml:space="preserve">6 </w:t>
            </w:r>
            <w:r>
              <w:fldChar w:fldCharType="end"/>
            </w:r>
          </w:hyperlink>
        </w:p>
        <w:p w14:paraId="7F21FF8B" w14:textId="77777777" w:rsidR="003F0DB8" w:rsidRDefault="00000000">
          <w:pPr>
            <w:pStyle w:val="TOC1"/>
            <w:tabs>
              <w:tab w:val="right" w:leader="dot" w:pos="13859"/>
            </w:tabs>
          </w:pPr>
          <w:hyperlink w:anchor="_Toc96786">
            <w:r>
              <w:t>Assessment Flow</w:t>
            </w:r>
            <w:r>
              <w:tab/>
            </w:r>
            <w:r>
              <w:fldChar w:fldCharType="begin"/>
            </w:r>
            <w:r>
              <w:instrText>PAGEREF _Toc96786 \h</w:instrText>
            </w:r>
            <w:r>
              <w:fldChar w:fldCharType="separate"/>
            </w:r>
            <w:r>
              <w:t xml:space="preserve">6 </w:t>
            </w:r>
            <w:r>
              <w:fldChar w:fldCharType="end"/>
            </w:r>
          </w:hyperlink>
        </w:p>
        <w:p w14:paraId="56557A8B" w14:textId="77777777" w:rsidR="003F0DB8" w:rsidRDefault="00000000">
          <w:pPr>
            <w:pStyle w:val="TOC1"/>
            <w:tabs>
              <w:tab w:val="right" w:leader="dot" w:pos="13859"/>
            </w:tabs>
          </w:pPr>
          <w:hyperlink w:anchor="_Toc96787">
            <w:r>
              <w:t>Stakeholders</w:t>
            </w:r>
            <w:r>
              <w:tab/>
            </w:r>
            <w:r>
              <w:fldChar w:fldCharType="begin"/>
            </w:r>
            <w:r>
              <w:instrText>PAGEREF _Toc96787 \h</w:instrText>
            </w:r>
            <w:r>
              <w:fldChar w:fldCharType="separate"/>
            </w:r>
            <w:r>
              <w:t xml:space="preserve">6 </w:t>
            </w:r>
            <w:r>
              <w:fldChar w:fldCharType="end"/>
            </w:r>
          </w:hyperlink>
        </w:p>
        <w:p w14:paraId="284B1ADD" w14:textId="77777777" w:rsidR="003F0DB8" w:rsidRDefault="00000000">
          <w:pPr>
            <w:pStyle w:val="TOC1"/>
            <w:tabs>
              <w:tab w:val="right" w:leader="dot" w:pos="13859"/>
            </w:tabs>
          </w:pPr>
          <w:hyperlink w:anchor="_Toc96788">
            <w:r>
              <w:t>Access Granted</w:t>
            </w:r>
            <w:r>
              <w:tab/>
            </w:r>
            <w:r>
              <w:fldChar w:fldCharType="begin"/>
            </w:r>
            <w:r>
              <w:instrText>PAGEREF _Toc96788 \h</w:instrText>
            </w:r>
            <w:r>
              <w:fldChar w:fldCharType="separate"/>
            </w:r>
            <w:r>
              <w:t xml:space="preserve">7 </w:t>
            </w:r>
            <w:r>
              <w:fldChar w:fldCharType="end"/>
            </w:r>
          </w:hyperlink>
        </w:p>
        <w:p w14:paraId="64524721" w14:textId="77777777" w:rsidR="003F0DB8" w:rsidRDefault="00000000">
          <w:pPr>
            <w:pStyle w:val="TOC1"/>
            <w:tabs>
              <w:tab w:val="right" w:leader="dot" w:pos="13859"/>
            </w:tabs>
          </w:pPr>
          <w:hyperlink w:anchor="_Toc96789">
            <w:r>
              <w:rPr>
                <w:b/>
                <w:sz w:val="24"/>
              </w:rPr>
              <w:t>Health Check Conclusions</w:t>
            </w:r>
            <w:r>
              <w:tab/>
            </w:r>
            <w:r>
              <w:fldChar w:fldCharType="begin"/>
            </w:r>
            <w:r>
              <w:instrText>PAGEREF _Toc96789 \h</w:instrText>
            </w:r>
            <w:r>
              <w:fldChar w:fldCharType="separate"/>
            </w:r>
            <w:r>
              <w:rPr>
                <w:b/>
                <w:sz w:val="24"/>
              </w:rPr>
              <w:t xml:space="preserve">8 </w:t>
            </w:r>
            <w:r>
              <w:fldChar w:fldCharType="end"/>
            </w:r>
          </w:hyperlink>
        </w:p>
        <w:p w14:paraId="437FBBB1" w14:textId="77777777" w:rsidR="003F0DB8" w:rsidRDefault="00000000">
          <w:pPr>
            <w:pStyle w:val="TOC1"/>
            <w:tabs>
              <w:tab w:val="right" w:leader="dot" w:pos="13859"/>
            </w:tabs>
          </w:pPr>
          <w:hyperlink w:anchor="_Toc96790">
            <w:r>
              <w:t>HCAF Maturity Scorecard</w:t>
            </w:r>
            <w:r>
              <w:tab/>
            </w:r>
            <w:r>
              <w:fldChar w:fldCharType="begin"/>
            </w:r>
            <w:r>
              <w:instrText>PAGEREF _Toc96790 \h</w:instrText>
            </w:r>
            <w:r>
              <w:fldChar w:fldCharType="separate"/>
            </w:r>
            <w:r>
              <w:t xml:space="preserve">8 </w:t>
            </w:r>
            <w:r>
              <w:fldChar w:fldCharType="end"/>
            </w:r>
          </w:hyperlink>
        </w:p>
        <w:p w14:paraId="16505510" w14:textId="77777777" w:rsidR="003F0DB8" w:rsidRDefault="00000000">
          <w:pPr>
            <w:pStyle w:val="TOC1"/>
            <w:tabs>
              <w:tab w:val="right" w:leader="dot" w:pos="13859"/>
            </w:tabs>
          </w:pPr>
          <w:hyperlink w:anchor="_Toc96791">
            <w:r>
              <w:t>HCAF Maturity Scorecard - Results</w:t>
            </w:r>
            <w:r>
              <w:tab/>
            </w:r>
            <w:r>
              <w:fldChar w:fldCharType="begin"/>
            </w:r>
            <w:r>
              <w:instrText>PAGEREF _Toc96791 \h</w:instrText>
            </w:r>
            <w:r>
              <w:fldChar w:fldCharType="separate"/>
            </w:r>
            <w:r>
              <w:t xml:space="preserve">8 </w:t>
            </w:r>
            <w:r>
              <w:fldChar w:fldCharType="end"/>
            </w:r>
          </w:hyperlink>
        </w:p>
        <w:p w14:paraId="22DBFF89" w14:textId="77777777" w:rsidR="003F0DB8" w:rsidRDefault="00000000">
          <w:pPr>
            <w:pStyle w:val="TOC1"/>
            <w:tabs>
              <w:tab w:val="right" w:leader="dot" w:pos="13859"/>
            </w:tabs>
          </w:pPr>
          <w:hyperlink w:anchor="_Toc96792">
            <w:r>
              <w:rPr>
                <w:b/>
                <w:sz w:val="24"/>
              </w:rPr>
              <w:t>Cloud Strategy Analysis</w:t>
            </w:r>
            <w:r>
              <w:tab/>
            </w:r>
            <w:r>
              <w:fldChar w:fldCharType="begin"/>
            </w:r>
            <w:r>
              <w:instrText>PAGEREF _Toc96792 \h</w:instrText>
            </w:r>
            <w:r>
              <w:fldChar w:fldCharType="separate"/>
            </w:r>
            <w:r>
              <w:rPr>
                <w:b/>
                <w:sz w:val="24"/>
              </w:rPr>
              <w:t xml:space="preserve">10 </w:t>
            </w:r>
            <w:r>
              <w:fldChar w:fldCharType="end"/>
            </w:r>
          </w:hyperlink>
        </w:p>
        <w:p w14:paraId="6CE6F180" w14:textId="77777777" w:rsidR="003F0DB8" w:rsidRDefault="00000000">
          <w:pPr>
            <w:pStyle w:val="TOC1"/>
            <w:tabs>
              <w:tab w:val="right" w:leader="dot" w:pos="13859"/>
            </w:tabs>
          </w:pPr>
          <w:hyperlink w:anchor="_Toc96793">
            <w:r>
              <w:t>Organisational Context</w:t>
            </w:r>
            <w:r>
              <w:tab/>
            </w:r>
            <w:r>
              <w:fldChar w:fldCharType="begin"/>
            </w:r>
            <w:r>
              <w:instrText>PAGEREF _Toc96793 \h</w:instrText>
            </w:r>
            <w:r>
              <w:fldChar w:fldCharType="separate"/>
            </w:r>
            <w:r>
              <w:t xml:space="preserve">10 </w:t>
            </w:r>
            <w:r>
              <w:fldChar w:fldCharType="end"/>
            </w:r>
          </w:hyperlink>
        </w:p>
        <w:p w14:paraId="72CBA752" w14:textId="77777777" w:rsidR="003F0DB8" w:rsidRDefault="00000000">
          <w:pPr>
            <w:pStyle w:val="TOC1"/>
            <w:tabs>
              <w:tab w:val="right" w:leader="dot" w:pos="13859"/>
            </w:tabs>
          </w:pPr>
          <w:hyperlink w:anchor="_Toc96794">
            <w:r>
              <w:t>Drivers, Goals (North Star), Blockers, &amp; Risks</w:t>
            </w:r>
            <w:r>
              <w:tab/>
            </w:r>
            <w:r>
              <w:fldChar w:fldCharType="begin"/>
            </w:r>
            <w:r>
              <w:instrText>PAGEREF _Toc96794 \h</w:instrText>
            </w:r>
            <w:r>
              <w:fldChar w:fldCharType="separate"/>
            </w:r>
            <w:r>
              <w:t xml:space="preserve">11 </w:t>
            </w:r>
            <w:r>
              <w:fldChar w:fldCharType="end"/>
            </w:r>
          </w:hyperlink>
        </w:p>
        <w:p w14:paraId="09DEDD51" w14:textId="77777777" w:rsidR="003F0DB8" w:rsidRDefault="00000000">
          <w:pPr>
            <w:pStyle w:val="TOC1"/>
            <w:tabs>
              <w:tab w:val="right" w:leader="dot" w:pos="13859"/>
            </w:tabs>
          </w:pPr>
          <w:hyperlink w:anchor="_Toc96795">
            <w:r>
              <w:t>Categories of Blockers and Risks</w:t>
            </w:r>
            <w:r>
              <w:tab/>
            </w:r>
            <w:r>
              <w:fldChar w:fldCharType="begin"/>
            </w:r>
            <w:r>
              <w:instrText>PAGEREF _Toc96795 \h</w:instrText>
            </w:r>
            <w:r>
              <w:fldChar w:fldCharType="separate"/>
            </w:r>
            <w:r>
              <w:t xml:space="preserve">13 </w:t>
            </w:r>
            <w:r>
              <w:fldChar w:fldCharType="end"/>
            </w:r>
          </w:hyperlink>
        </w:p>
        <w:p w14:paraId="45DD2EE3" w14:textId="77777777" w:rsidR="003F0DB8" w:rsidRDefault="00000000">
          <w:pPr>
            <w:pStyle w:val="TOC1"/>
            <w:tabs>
              <w:tab w:val="right" w:leader="dot" w:pos="13859"/>
            </w:tabs>
          </w:pPr>
          <w:hyperlink w:anchor="_Toc96796">
            <w:r>
              <w:t>How Might We statements</w:t>
            </w:r>
            <w:r>
              <w:tab/>
            </w:r>
            <w:r>
              <w:fldChar w:fldCharType="begin"/>
            </w:r>
            <w:r>
              <w:instrText>PAGEREF _Toc96796 \h</w:instrText>
            </w:r>
            <w:r>
              <w:fldChar w:fldCharType="separate"/>
            </w:r>
            <w:r>
              <w:t xml:space="preserve">14 </w:t>
            </w:r>
            <w:r>
              <w:fldChar w:fldCharType="end"/>
            </w:r>
          </w:hyperlink>
        </w:p>
        <w:p w14:paraId="515C98B9" w14:textId="77777777" w:rsidR="003F0DB8" w:rsidRDefault="00000000">
          <w:pPr>
            <w:pStyle w:val="TOC1"/>
            <w:tabs>
              <w:tab w:val="right" w:leader="dot" w:pos="13859"/>
            </w:tabs>
          </w:pPr>
          <w:hyperlink w:anchor="_Toc96797">
            <w:r>
              <w:t>Effort Vs Impact</w:t>
            </w:r>
            <w:r>
              <w:tab/>
            </w:r>
            <w:r>
              <w:fldChar w:fldCharType="begin"/>
            </w:r>
            <w:r>
              <w:instrText>PAGEREF _Toc96797 \h</w:instrText>
            </w:r>
            <w:r>
              <w:fldChar w:fldCharType="separate"/>
            </w:r>
            <w:r>
              <w:t xml:space="preserve">15 </w:t>
            </w:r>
            <w:r>
              <w:fldChar w:fldCharType="end"/>
            </w:r>
          </w:hyperlink>
        </w:p>
        <w:p w14:paraId="685BDE60" w14:textId="77777777" w:rsidR="003F0DB8" w:rsidRDefault="00000000">
          <w:pPr>
            <w:pStyle w:val="TOC1"/>
            <w:tabs>
              <w:tab w:val="right" w:leader="dot" w:pos="13859"/>
            </w:tabs>
          </w:pPr>
          <w:hyperlink w:anchor="_Toc96798">
            <w:r>
              <w:t>Readiness Gaps</w:t>
            </w:r>
            <w:r>
              <w:tab/>
            </w:r>
            <w:r>
              <w:fldChar w:fldCharType="begin"/>
            </w:r>
            <w:r>
              <w:instrText>PAGEREF _Toc96798 \h</w:instrText>
            </w:r>
            <w:r>
              <w:fldChar w:fldCharType="separate"/>
            </w:r>
            <w:r>
              <w:t xml:space="preserve">17 </w:t>
            </w:r>
            <w:r>
              <w:fldChar w:fldCharType="end"/>
            </w:r>
          </w:hyperlink>
        </w:p>
        <w:p w14:paraId="276EFBAB" w14:textId="77777777" w:rsidR="003F0DB8" w:rsidRDefault="00000000">
          <w:pPr>
            <w:pStyle w:val="TOC1"/>
            <w:tabs>
              <w:tab w:val="right" w:leader="dot" w:pos="13859"/>
            </w:tabs>
          </w:pPr>
          <w:hyperlink w:anchor="_Toc96799">
            <w:r>
              <w:t>Guard Rails</w:t>
            </w:r>
            <w:r>
              <w:tab/>
            </w:r>
            <w:r>
              <w:fldChar w:fldCharType="begin"/>
            </w:r>
            <w:r>
              <w:instrText>PAGEREF _Toc96799 \h</w:instrText>
            </w:r>
            <w:r>
              <w:fldChar w:fldCharType="separate"/>
            </w:r>
            <w:r>
              <w:t xml:space="preserve">18 </w:t>
            </w:r>
            <w:r>
              <w:fldChar w:fldCharType="end"/>
            </w:r>
          </w:hyperlink>
        </w:p>
        <w:p w14:paraId="67B98D16" w14:textId="77777777" w:rsidR="003F0DB8" w:rsidRDefault="00000000">
          <w:pPr>
            <w:pStyle w:val="TOC1"/>
            <w:tabs>
              <w:tab w:val="right" w:leader="dot" w:pos="13859"/>
            </w:tabs>
          </w:pPr>
          <w:hyperlink w:anchor="_Toc96800">
            <w:r>
              <w:t>Integrated advisory view</w:t>
            </w:r>
            <w:r>
              <w:tab/>
            </w:r>
            <w:r>
              <w:fldChar w:fldCharType="begin"/>
            </w:r>
            <w:r>
              <w:instrText>PAGEREF _Toc96800 \h</w:instrText>
            </w:r>
            <w:r>
              <w:fldChar w:fldCharType="separate"/>
            </w:r>
            <w:r>
              <w:t xml:space="preserve">20 </w:t>
            </w:r>
            <w:r>
              <w:fldChar w:fldCharType="end"/>
            </w:r>
          </w:hyperlink>
        </w:p>
        <w:p w14:paraId="54666726" w14:textId="77777777" w:rsidR="003F0DB8" w:rsidRDefault="00000000">
          <w:pPr>
            <w:pStyle w:val="TOC1"/>
            <w:tabs>
              <w:tab w:val="right" w:leader="dot" w:pos="13859"/>
            </w:tabs>
          </w:pPr>
          <w:hyperlink w:anchor="_Toc96801">
            <w:r>
              <w:rPr>
                <w:b/>
                <w:sz w:val="24"/>
              </w:rPr>
              <w:t>Cloud Governance</w:t>
            </w:r>
            <w:r>
              <w:tab/>
            </w:r>
            <w:r>
              <w:fldChar w:fldCharType="begin"/>
            </w:r>
            <w:r>
              <w:instrText>PAGEREF _Toc96801 \h</w:instrText>
            </w:r>
            <w:r>
              <w:fldChar w:fldCharType="separate"/>
            </w:r>
            <w:r>
              <w:rPr>
                <w:b/>
                <w:sz w:val="24"/>
              </w:rPr>
              <w:t xml:space="preserve">22 </w:t>
            </w:r>
            <w:r>
              <w:fldChar w:fldCharType="end"/>
            </w:r>
          </w:hyperlink>
        </w:p>
        <w:p w14:paraId="778FF4B1" w14:textId="77777777" w:rsidR="003F0DB8" w:rsidRDefault="00000000">
          <w:pPr>
            <w:pStyle w:val="TOC1"/>
            <w:tabs>
              <w:tab w:val="right" w:leader="dot" w:pos="13859"/>
            </w:tabs>
          </w:pPr>
          <w:hyperlink w:anchor="_Toc96802">
            <w:r>
              <w:t>Current State Overview</w:t>
            </w:r>
            <w:r>
              <w:tab/>
            </w:r>
            <w:r>
              <w:fldChar w:fldCharType="begin"/>
            </w:r>
            <w:r>
              <w:instrText>PAGEREF _Toc96802 \h</w:instrText>
            </w:r>
            <w:r>
              <w:fldChar w:fldCharType="separate"/>
            </w:r>
            <w:r>
              <w:t xml:space="preserve">22 </w:t>
            </w:r>
            <w:r>
              <w:fldChar w:fldCharType="end"/>
            </w:r>
          </w:hyperlink>
        </w:p>
        <w:p w14:paraId="68AB2CF9" w14:textId="77777777" w:rsidR="003F0DB8" w:rsidRDefault="00000000">
          <w:pPr>
            <w:pStyle w:val="TOC1"/>
            <w:tabs>
              <w:tab w:val="right" w:leader="dot" w:pos="13859"/>
            </w:tabs>
          </w:pPr>
          <w:hyperlink w:anchor="_Toc96803">
            <w:r>
              <w:t>A. Cloud Structure</w:t>
            </w:r>
            <w:r>
              <w:tab/>
            </w:r>
            <w:r>
              <w:fldChar w:fldCharType="begin"/>
            </w:r>
            <w:r>
              <w:instrText>PAGEREF _Toc96803 \h</w:instrText>
            </w:r>
            <w:r>
              <w:fldChar w:fldCharType="separate"/>
            </w:r>
            <w:r>
              <w:t xml:space="preserve">23 </w:t>
            </w:r>
            <w:r>
              <w:fldChar w:fldCharType="end"/>
            </w:r>
          </w:hyperlink>
        </w:p>
        <w:p w14:paraId="09E94445" w14:textId="77777777" w:rsidR="003F0DB8" w:rsidRDefault="00000000">
          <w:pPr>
            <w:pStyle w:val="TOC1"/>
            <w:tabs>
              <w:tab w:val="right" w:leader="dot" w:pos="13859"/>
            </w:tabs>
          </w:pPr>
          <w:hyperlink w:anchor="_Toc96804">
            <w:r>
              <w:t>B. Cloud Guardrails (Policy &amp; Compliance)</w:t>
            </w:r>
            <w:r>
              <w:tab/>
            </w:r>
            <w:r>
              <w:fldChar w:fldCharType="begin"/>
            </w:r>
            <w:r>
              <w:instrText>PAGEREF _Toc96804 \h</w:instrText>
            </w:r>
            <w:r>
              <w:fldChar w:fldCharType="separate"/>
            </w:r>
            <w:r>
              <w:t xml:space="preserve">25 </w:t>
            </w:r>
            <w:r>
              <w:fldChar w:fldCharType="end"/>
            </w:r>
          </w:hyperlink>
        </w:p>
        <w:p w14:paraId="54ECCF8D" w14:textId="77777777" w:rsidR="003F0DB8" w:rsidRDefault="00000000">
          <w:pPr>
            <w:pStyle w:val="TOC1"/>
            <w:tabs>
              <w:tab w:val="right" w:leader="dot" w:pos="13859"/>
            </w:tabs>
          </w:pPr>
          <w:hyperlink w:anchor="_Toc96805">
            <w:r>
              <w:t>C. Cloud Operating Model &amp; Cloud Onboarding</w:t>
            </w:r>
            <w:r>
              <w:tab/>
            </w:r>
            <w:r>
              <w:fldChar w:fldCharType="begin"/>
            </w:r>
            <w:r>
              <w:instrText>PAGEREF _Toc96805 \h</w:instrText>
            </w:r>
            <w:r>
              <w:fldChar w:fldCharType="separate"/>
            </w:r>
            <w:r>
              <w:t xml:space="preserve">27 </w:t>
            </w:r>
            <w:r>
              <w:fldChar w:fldCharType="end"/>
            </w:r>
          </w:hyperlink>
        </w:p>
        <w:p w14:paraId="1BE32ED0" w14:textId="77777777" w:rsidR="003F0DB8" w:rsidRDefault="00000000">
          <w:pPr>
            <w:pStyle w:val="TOC1"/>
            <w:tabs>
              <w:tab w:val="right" w:leader="dot" w:pos="13859"/>
            </w:tabs>
          </w:pPr>
          <w:hyperlink w:anchor="_Toc96806">
            <w:r>
              <w:t>D. Data Governance</w:t>
            </w:r>
            <w:r>
              <w:tab/>
            </w:r>
            <w:r>
              <w:fldChar w:fldCharType="begin"/>
            </w:r>
            <w:r>
              <w:instrText>PAGEREF _Toc96806 \h</w:instrText>
            </w:r>
            <w:r>
              <w:fldChar w:fldCharType="separate"/>
            </w:r>
            <w:r>
              <w:t xml:space="preserve">30 </w:t>
            </w:r>
            <w:r>
              <w:fldChar w:fldCharType="end"/>
            </w:r>
          </w:hyperlink>
        </w:p>
        <w:p w14:paraId="7587AC30" w14:textId="77777777" w:rsidR="003F0DB8" w:rsidRDefault="00000000">
          <w:pPr>
            <w:pStyle w:val="TOC1"/>
            <w:tabs>
              <w:tab w:val="right" w:leader="dot" w:pos="13859"/>
            </w:tabs>
          </w:pPr>
          <w:hyperlink w:anchor="_Toc96807">
            <w:r>
              <w:t>Recommendations</w:t>
            </w:r>
            <w:r>
              <w:tab/>
            </w:r>
            <w:r>
              <w:fldChar w:fldCharType="begin"/>
            </w:r>
            <w:r>
              <w:instrText>PAGEREF _Toc96807 \h</w:instrText>
            </w:r>
            <w:r>
              <w:fldChar w:fldCharType="separate"/>
            </w:r>
            <w:r>
              <w:t xml:space="preserve">31 </w:t>
            </w:r>
            <w:r>
              <w:fldChar w:fldCharType="end"/>
            </w:r>
          </w:hyperlink>
        </w:p>
        <w:p w14:paraId="70E5AA57" w14:textId="77777777" w:rsidR="003F0DB8" w:rsidRDefault="00000000">
          <w:pPr>
            <w:pStyle w:val="TOC1"/>
            <w:tabs>
              <w:tab w:val="right" w:leader="dot" w:pos="13859"/>
            </w:tabs>
          </w:pPr>
          <w:hyperlink w:anchor="_Toc96808">
            <w:r>
              <w:rPr>
                <w:b/>
                <w:sz w:val="24"/>
              </w:rPr>
              <w:t>Networking and Security</w:t>
            </w:r>
            <w:r>
              <w:tab/>
            </w:r>
            <w:r>
              <w:fldChar w:fldCharType="begin"/>
            </w:r>
            <w:r>
              <w:instrText>PAGEREF _Toc96808 \h</w:instrText>
            </w:r>
            <w:r>
              <w:fldChar w:fldCharType="separate"/>
            </w:r>
            <w:r>
              <w:rPr>
                <w:b/>
                <w:sz w:val="24"/>
              </w:rPr>
              <w:t xml:space="preserve">33 </w:t>
            </w:r>
            <w:r>
              <w:fldChar w:fldCharType="end"/>
            </w:r>
          </w:hyperlink>
        </w:p>
        <w:p w14:paraId="35C4C404" w14:textId="77777777" w:rsidR="003F0DB8" w:rsidRDefault="00000000">
          <w:pPr>
            <w:pStyle w:val="TOC1"/>
            <w:tabs>
              <w:tab w:val="right" w:leader="dot" w:pos="13859"/>
            </w:tabs>
          </w:pPr>
          <w:hyperlink w:anchor="_Toc96809">
            <w:r>
              <w:t>Current State Overview</w:t>
            </w:r>
            <w:r>
              <w:tab/>
            </w:r>
            <w:r>
              <w:fldChar w:fldCharType="begin"/>
            </w:r>
            <w:r>
              <w:instrText>PAGEREF _Toc96809 \h</w:instrText>
            </w:r>
            <w:r>
              <w:fldChar w:fldCharType="separate"/>
            </w:r>
            <w:r>
              <w:t xml:space="preserve">33 </w:t>
            </w:r>
            <w:r>
              <w:fldChar w:fldCharType="end"/>
            </w:r>
          </w:hyperlink>
        </w:p>
        <w:p w14:paraId="58A0A365" w14:textId="77777777" w:rsidR="003F0DB8" w:rsidRDefault="00000000">
          <w:pPr>
            <w:pStyle w:val="TOC1"/>
            <w:tabs>
              <w:tab w:val="right" w:leader="dot" w:pos="13859"/>
            </w:tabs>
          </w:pPr>
          <w:hyperlink w:anchor="_Toc96810">
            <w:r>
              <w:t>Network Topology</w:t>
            </w:r>
            <w:r>
              <w:tab/>
            </w:r>
            <w:r>
              <w:fldChar w:fldCharType="begin"/>
            </w:r>
            <w:r>
              <w:instrText>PAGEREF _Toc96810 \h</w:instrText>
            </w:r>
            <w:r>
              <w:fldChar w:fldCharType="separate"/>
            </w:r>
            <w:r>
              <w:t xml:space="preserve">33 </w:t>
            </w:r>
            <w:r>
              <w:fldChar w:fldCharType="end"/>
            </w:r>
          </w:hyperlink>
        </w:p>
        <w:p w14:paraId="25A940A5" w14:textId="77777777" w:rsidR="003F0DB8" w:rsidRDefault="00000000">
          <w:pPr>
            <w:pStyle w:val="TOC1"/>
            <w:tabs>
              <w:tab w:val="right" w:leader="dot" w:pos="13859"/>
            </w:tabs>
          </w:pPr>
          <w:hyperlink w:anchor="_Toc96811">
            <w:r>
              <w:t>Network Security and Traffic Management</w:t>
            </w:r>
            <w:r>
              <w:tab/>
            </w:r>
            <w:r>
              <w:fldChar w:fldCharType="begin"/>
            </w:r>
            <w:r>
              <w:instrText>PAGEREF _Toc96811 \h</w:instrText>
            </w:r>
            <w:r>
              <w:fldChar w:fldCharType="separate"/>
            </w:r>
            <w:r>
              <w:t xml:space="preserve">34 </w:t>
            </w:r>
            <w:r>
              <w:fldChar w:fldCharType="end"/>
            </w:r>
          </w:hyperlink>
        </w:p>
        <w:p w14:paraId="6921C372" w14:textId="77777777" w:rsidR="003F0DB8" w:rsidRDefault="00000000">
          <w:pPr>
            <w:pStyle w:val="TOC1"/>
            <w:tabs>
              <w:tab w:val="right" w:leader="dot" w:pos="13859"/>
            </w:tabs>
          </w:pPr>
          <w:hyperlink w:anchor="_Toc96812">
            <w:r>
              <w:t>Hybrid Connectivity</w:t>
            </w:r>
            <w:r>
              <w:tab/>
            </w:r>
            <w:r>
              <w:fldChar w:fldCharType="begin"/>
            </w:r>
            <w:r>
              <w:instrText>PAGEREF _Toc96812 \h</w:instrText>
            </w:r>
            <w:r>
              <w:fldChar w:fldCharType="separate"/>
            </w:r>
            <w:r>
              <w:t xml:space="preserve">34 </w:t>
            </w:r>
            <w:r>
              <w:fldChar w:fldCharType="end"/>
            </w:r>
          </w:hyperlink>
        </w:p>
        <w:p w14:paraId="4F53CD85" w14:textId="77777777" w:rsidR="003F0DB8" w:rsidRDefault="00000000">
          <w:pPr>
            <w:pStyle w:val="TOC1"/>
            <w:tabs>
              <w:tab w:val="right" w:leader="dot" w:pos="13859"/>
            </w:tabs>
          </w:pPr>
          <w:hyperlink w:anchor="_Toc96813">
            <w:r>
              <w:t>Core Services</w:t>
            </w:r>
            <w:r>
              <w:tab/>
            </w:r>
            <w:r>
              <w:fldChar w:fldCharType="begin"/>
            </w:r>
            <w:r>
              <w:instrText>PAGEREF _Toc96813 \h</w:instrText>
            </w:r>
            <w:r>
              <w:fldChar w:fldCharType="separate"/>
            </w:r>
            <w:r>
              <w:t xml:space="preserve">35 </w:t>
            </w:r>
            <w:r>
              <w:fldChar w:fldCharType="end"/>
            </w:r>
          </w:hyperlink>
        </w:p>
        <w:p w14:paraId="5D0050BD" w14:textId="77777777" w:rsidR="003F0DB8" w:rsidRDefault="00000000">
          <w:pPr>
            <w:pStyle w:val="TOC1"/>
            <w:tabs>
              <w:tab w:val="right" w:leader="dot" w:pos="13859"/>
            </w:tabs>
          </w:pPr>
          <w:hyperlink w:anchor="_Toc96814">
            <w:r>
              <w:t>Recommendations</w:t>
            </w:r>
            <w:r>
              <w:tab/>
            </w:r>
            <w:r>
              <w:fldChar w:fldCharType="begin"/>
            </w:r>
            <w:r>
              <w:instrText>PAGEREF _Toc96814 \h</w:instrText>
            </w:r>
            <w:r>
              <w:fldChar w:fldCharType="separate"/>
            </w:r>
            <w:r>
              <w:t xml:space="preserve">36 </w:t>
            </w:r>
            <w:r>
              <w:fldChar w:fldCharType="end"/>
            </w:r>
          </w:hyperlink>
        </w:p>
        <w:p w14:paraId="7026524D" w14:textId="77777777" w:rsidR="003F0DB8" w:rsidRDefault="00000000">
          <w:pPr>
            <w:pStyle w:val="TOC1"/>
            <w:tabs>
              <w:tab w:val="right" w:leader="dot" w:pos="13859"/>
            </w:tabs>
          </w:pPr>
          <w:hyperlink w:anchor="_Toc96815">
            <w:r>
              <w:rPr>
                <w:b/>
                <w:sz w:val="24"/>
              </w:rPr>
              <w:t>External Exposure</w:t>
            </w:r>
            <w:r>
              <w:tab/>
            </w:r>
            <w:r>
              <w:fldChar w:fldCharType="begin"/>
            </w:r>
            <w:r>
              <w:instrText>PAGEREF _Toc96815 \h</w:instrText>
            </w:r>
            <w:r>
              <w:fldChar w:fldCharType="separate"/>
            </w:r>
            <w:r>
              <w:rPr>
                <w:b/>
                <w:sz w:val="24"/>
              </w:rPr>
              <w:t xml:space="preserve">38 </w:t>
            </w:r>
            <w:r>
              <w:fldChar w:fldCharType="end"/>
            </w:r>
          </w:hyperlink>
        </w:p>
        <w:p w14:paraId="0930468B" w14:textId="77777777" w:rsidR="003F0DB8" w:rsidRDefault="00000000">
          <w:pPr>
            <w:pStyle w:val="TOC1"/>
            <w:tabs>
              <w:tab w:val="right" w:leader="dot" w:pos="13859"/>
            </w:tabs>
          </w:pPr>
          <w:hyperlink w:anchor="_Toc96816">
            <w:r>
              <w:t>Current State Overview</w:t>
            </w:r>
            <w:r>
              <w:tab/>
            </w:r>
            <w:r>
              <w:fldChar w:fldCharType="begin"/>
            </w:r>
            <w:r>
              <w:instrText>PAGEREF _Toc96816 \h</w:instrText>
            </w:r>
            <w:r>
              <w:fldChar w:fldCharType="separate"/>
            </w:r>
            <w:r>
              <w:t xml:space="preserve">38 </w:t>
            </w:r>
            <w:r>
              <w:fldChar w:fldCharType="end"/>
            </w:r>
          </w:hyperlink>
        </w:p>
        <w:p w14:paraId="1C0EEBA2" w14:textId="77777777" w:rsidR="003F0DB8" w:rsidRDefault="00000000">
          <w:pPr>
            <w:pStyle w:val="TOC1"/>
            <w:tabs>
              <w:tab w:val="right" w:leader="dot" w:pos="13859"/>
            </w:tabs>
          </w:pPr>
          <w:hyperlink w:anchor="_Toc96817">
            <w:r>
              <w:t>No Managed DDoS Protection</w:t>
            </w:r>
            <w:r>
              <w:tab/>
            </w:r>
            <w:r>
              <w:fldChar w:fldCharType="begin"/>
            </w:r>
            <w:r>
              <w:instrText>PAGEREF _Toc96817 \h</w:instrText>
            </w:r>
            <w:r>
              <w:fldChar w:fldCharType="separate"/>
            </w:r>
            <w:r>
              <w:t xml:space="preserve">38 </w:t>
            </w:r>
            <w:r>
              <w:fldChar w:fldCharType="end"/>
            </w:r>
          </w:hyperlink>
        </w:p>
        <w:p w14:paraId="037274FB" w14:textId="77777777" w:rsidR="003F0DB8" w:rsidRDefault="00000000">
          <w:pPr>
            <w:pStyle w:val="TOC1"/>
            <w:tabs>
              <w:tab w:val="right" w:leader="dot" w:pos="13859"/>
            </w:tabs>
          </w:pPr>
          <w:hyperlink w:anchor="_Toc96818">
            <w:r>
              <w:t>Public IP SKU Posture</w:t>
            </w:r>
            <w:r>
              <w:tab/>
            </w:r>
            <w:r>
              <w:fldChar w:fldCharType="begin"/>
            </w:r>
            <w:r>
              <w:instrText>PAGEREF _Toc96818 \h</w:instrText>
            </w:r>
            <w:r>
              <w:fldChar w:fldCharType="separate"/>
            </w:r>
            <w:r>
              <w:t xml:space="preserve">38 </w:t>
            </w:r>
            <w:r>
              <w:fldChar w:fldCharType="end"/>
            </w:r>
          </w:hyperlink>
        </w:p>
        <w:p w14:paraId="58FE6D77" w14:textId="77777777" w:rsidR="003F0DB8" w:rsidRDefault="00000000">
          <w:pPr>
            <w:pStyle w:val="TOC1"/>
            <w:tabs>
              <w:tab w:val="right" w:leader="dot" w:pos="13859"/>
            </w:tabs>
          </w:pPr>
          <w:hyperlink w:anchor="_Toc96819">
            <w:r>
              <w:t>Firewall Tier and Inspection Gap</w:t>
            </w:r>
            <w:r>
              <w:tab/>
            </w:r>
            <w:r>
              <w:fldChar w:fldCharType="begin"/>
            </w:r>
            <w:r>
              <w:instrText>PAGEREF _Toc96819 \h</w:instrText>
            </w:r>
            <w:r>
              <w:fldChar w:fldCharType="separate"/>
            </w:r>
            <w:r>
              <w:t xml:space="preserve">38 </w:t>
            </w:r>
            <w:r>
              <w:fldChar w:fldCharType="end"/>
            </w:r>
          </w:hyperlink>
        </w:p>
        <w:p w14:paraId="33BA557C" w14:textId="77777777" w:rsidR="003F0DB8" w:rsidRDefault="00000000">
          <w:pPr>
            <w:pStyle w:val="TOC1"/>
            <w:tabs>
              <w:tab w:val="right" w:leader="dot" w:pos="13859"/>
            </w:tabs>
          </w:pPr>
          <w:hyperlink w:anchor="_Toc96820">
            <w:r>
              <w:t>Recommendations</w:t>
            </w:r>
            <w:r>
              <w:tab/>
            </w:r>
            <w:r>
              <w:fldChar w:fldCharType="begin"/>
            </w:r>
            <w:r>
              <w:instrText>PAGEREF _Toc96820 \h</w:instrText>
            </w:r>
            <w:r>
              <w:fldChar w:fldCharType="separate"/>
            </w:r>
            <w:r>
              <w:t xml:space="preserve">39 </w:t>
            </w:r>
            <w:r>
              <w:fldChar w:fldCharType="end"/>
            </w:r>
          </w:hyperlink>
        </w:p>
        <w:p w14:paraId="0E6E3511" w14:textId="77777777" w:rsidR="003F0DB8" w:rsidRDefault="00000000">
          <w:pPr>
            <w:pStyle w:val="TOC1"/>
            <w:tabs>
              <w:tab w:val="right" w:leader="dot" w:pos="13859"/>
            </w:tabs>
          </w:pPr>
          <w:hyperlink w:anchor="_Toc96821">
            <w:r>
              <w:rPr>
                <w:b/>
                <w:sz w:val="24"/>
              </w:rPr>
              <w:t>Secret &amp; Key Management</w:t>
            </w:r>
            <w:r>
              <w:tab/>
            </w:r>
            <w:r>
              <w:fldChar w:fldCharType="begin"/>
            </w:r>
            <w:r>
              <w:instrText>PAGEREF _Toc96821 \h</w:instrText>
            </w:r>
            <w:r>
              <w:fldChar w:fldCharType="separate"/>
            </w:r>
            <w:r>
              <w:rPr>
                <w:b/>
                <w:sz w:val="24"/>
              </w:rPr>
              <w:t xml:space="preserve">40 </w:t>
            </w:r>
            <w:r>
              <w:fldChar w:fldCharType="end"/>
            </w:r>
          </w:hyperlink>
        </w:p>
        <w:p w14:paraId="34F67770" w14:textId="77777777" w:rsidR="003F0DB8" w:rsidRDefault="00000000">
          <w:pPr>
            <w:pStyle w:val="TOC1"/>
            <w:tabs>
              <w:tab w:val="right" w:leader="dot" w:pos="13859"/>
            </w:tabs>
          </w:pPr>
          <w:hyperlink w:anchor="_Toc96822">
            <w:r>
              <w:t>Current State Overview</w:t>
            </w:r>
            <w:r>
              <w:tab/>
            </w:r>
            <w:r>
              <w:fldChar w:fldCharType="begin"/>
            </w:r>
            <w:r>
              <w:instrText>PAGEREF _Toc96822 \h</w:instrText>
            </w:r>
            <w:r>
              <w:fldChar w:fldCharType="separate"/>
            </w:r>
            <w:r>
              <w:t xml:space="preserve">40 </w:t>
            </w:r>
            <w:r>
              <w:fldChar w:fldCharType="end"/>
            </w:r>
          </w:hyperlink>
        </w:p>
        <w:p w14:paraId="6E50C83F" w14:textId="77777777" w:rsidR="003F0DB8" w:rsidRDefault="00000000">
          <w:pPr>
            <w:pStyle w:val="TOC1"/>
            <w:tabs>
              <w:tab w:val="right" w:leader="dot" w:pos="13859"/>
            </w:tabs>
          </w:pPr>
          <w:hyperlink w:anchor="_Toc96823">
            <w:r>
              <w:t>Public Network Access by Default</w:t>
            </w:r>
            <w:r>
              <w:tab/>
            </w:r>
            <w:r>
              <w:fldChar w:fldCharType="begin"/>
            </w:r>
            <w:r>
              <w:instrText>PAGEREF _Toc96823 \h</w:instrText>
            </w:r>
            <w:r>
              <w:fldChar w:fldCharType="separate"/>
            </w:r>
            <w:r>
              <w:t xml:space="preserve">40 </w:t>
            </w:r>
            <w:r>
              <w:fldChar w:fldCharType="end"/>
            </w:r>
          </w:hyperlink>
        </w:p>
        <w:p w14:paraId="2C1EFA72" w14:textId="77777777" w:rsidR="003F0DB8" w:rsidRDefault="00000000">
          <w:pPr>
            <w:pStyle w:val="TOC1"/>
            <w:tabs>
              <w:tab w:val="right" w:leader="dot" w:pos="13859"/>
            </w:tabs>
          </w:pPr>
          <w:hyperlink w:anchor="_Toc96824">
            <w:r>
              <w:t>Legacy Authorisation Model</w:t>
            </w:r>
            <w:r>
              <w:tab/>
            </w:r>
            <w:r>
              <w:fldChar w:fldCharType="begin"/>
            </w:r>
            <w:r>
              <w:instrText>PAGEREF _Toc96824 \h</w:instrText>
            </w:r>
            <w:r>
              <w:fldChar w:fldCharType="separate"/>
            </w:r>
            <w:r>
              <w:t xml:space="preserve">40 </w:t>
            </w:r>
            <w:r>
              <w:fldChar w:fldCharType="end"/>
            </w:r>
          </w:hyperlink>
        </w:p>
        <w:p w14:paraId="3B7AAE12" w14:textId="77777777" w:rsidR="003F0DB8" w:rsidRDefault="00000000">
          <w:pPr>
            <w:pStyle w:val="TOC1"/>
            <w:tabs>
              <w:tab w:val="right" w:leader="dot" w:pos="13859"/>
            </w:tabs>
          </w:pPr>
          <w:hyperlink w:anchor="_Toc96825">
            <w:r>
              <w:t>Resilience and Forensic Controls</w:t>
            </w:r>
            <w:r>
              <w:tab/>
            </w:r>
            <w:r>
              <w:fldChar w:fldCharType="begin"/>
            </w:r>
            <w:r>
              <w:instrText>PAGEREF _Toc96825 \h</w:instrText>
            </w:r>
            <w:r>
              <w:fldChar w:fldCharType="separate"/>
            </w:r>
            <w:r>
              <w:t xml:space="preserve">40 </w:t>
            </w:r>
            <w:r>
              <w:fldChar w:fldCharType="end"/>
            </w:r>
          </w:hyperlink>
        </w:p>
        <w:p w14:paraId="6C74CD64" w14:textId="77777777" w:rsidR="003F0DB8" w:rsidRDefault="00000000">
          <w:pPr>
            <w:pStyle w:val="TOC1"/>
            <w:tabs>
              <w:tab w:val="right" w:leader="dot" w:pos="13859"/>
            </w:tabs>
          </w:pPr>
          <w:hyperlink w:anchor="_Toc96826">
            <w:r>
              <w:t>Cross-Environment Vault Linkage</w:t>
            </w:r>
            <w:r>
              <w:tab/>
            </w:r>
            <w:r>
              <w:fldChar w:fldCharType="begin"/>
            </w:r>
            <w:r>
              <w:instrText>PAGEREF _Toc96826 \h</w:instrText>
            </w:r>
            <w:r>
              <w:fldChar w:fldCharType="separate"/>
            </w:r>
            <w:r>
              <w:t xml:space="preserve">41 </w:t>
            </w:r>
            <w:r>
              <w:fldChar w:fldCharType="end"/>
            </w:r>
          </w:hyperlink>
        </w:p>
        <w:p w14:paraId="57F861E6" w14:textId="77777777" w:rsidR="003F0DB8" w:rsidRDefault="00000000">
          <w:pPr>
            <w:pStyle w:val="TOC1"/>
            <w:tabs>
              <w:tab w:val="right" w:leader="dot" w:pos="13859"/>
            </w:tabs>
          </w:pPr>
          <w:hyperlink w:anchor="_Toc96827">
            <w:r>
              <w:t>Recommendations</w:t>
            </w:r>
            <w:r>
              <w:tab/>
            </w:r>
            <w:r>
              <w:fldChar w:fldCharType="begin"/>
            </w:r>
            <w:r>
              <w:instrText>PAGEREF _Toc96827 \h</w:instrText>
            </w:r>
            <w:r>
              <w:fldChar w:fldCharType="separate"/>
            </w:r>
            <w:r>
              <w:t xml:space="preserve">41 </w:t>
            </w:r>
            <w:r>
              <w:fldChar w:fldCharType="end"/>
            </w:r>
          </w:hyperlink>
        </w:p>
        <w:p w14:paraId="6ED09609" w14:textId="77777777" w:rsidR="003F0DB8" w:rsidRDefault="00000000">
          <w:pPr>
            <w:pStyle w:val="TOC1"/>
            <w:tabs>
              <w:tab w:val="right" w:leader="dot" w:pos="13859"/>
            </w:tabs>
          </w:pPr>
          <w:hyperlink w:anchor="_Toc96828">
            <w:r>
              <w:rPr>
                <w:b/>
                <w:sz w:val="24"/>
              </w:rPr>
              <w:t>Identity Management</w:t>
            </w:r>
            <w:r>
              <w:tab/>
            </w:r>
            <w:r>
              <w:fldChar w:fldCharType="begin"/>
            </w:r>
            <w:r>
              <w:instrText>PAGEREF _Toc96828 \h</w:instrText>
            </w:r>
            <w:r>
              <w:fldChar w:fldCharType="separate"/>
            </w:r>
            <w:r>
              <w:rPr>
                <w:b/>
                <w:sz w:val="24"/>
              </w:rPr>
              <w:t xml:space="preserve">42 </w:t>
            </w:r>
            <w:r>
              <w:fldChar w:fldCharType="end"/>
            </w:r>
          </w:hyperlink>
        </w:p>
        <w:p w14:paraId="5318BD2C" w14:textId="77777777" w:rsidR="003F0DB8" w:rsidRDefault="00000000">
          <w:pPr>
            <w:pStyle w:val="TOC1"/>
            <w:tabs>
              <w:tab w:val="right" w:leader="dot" w:pos="13859"/>
            </w:tabs>
          </w:pPr>
          <w:hyperlink w:anchor="_Toc96829">
            <w:r>
              <w:t>Current State Overview</w:t>
            </w:r>
            <w:r>
              <w:tab/>
            </w:r>
            <w:r>
              <w:fldChar w:fldCharType="begin"/>
            </w:r>
            <w:r>
              <w:instrText>PAGEREF _Toc96829 \h</w:instrText>
            </w:r>
            <w:r>
              <w:fldChar w:fldCharType="separate"/>
            </w:r>
            <w:r>
              <w:t xml:space="preserve">42 </w:t>
            </w:r>
            <w:r>
              <w:fldChar w:fldCharType="end"/>
            </w:r>
          </w:hyperlink>
        </w:p>
        <w:p w14:paraId="771E1C05" w14:textId="77777777" w:rsidR="003F0DB8" w:rsidRDefault="00000000">
          <w:pPr>
            <w:pStyle w:val="TOC1"/>
            <w:tabs>
              <w:tab w:val="right" w:leader="dot" w:pos="13859"/>
            </w:tabs>
          </w:pPr>
          <w:hyperlink w:anchor="_Toc96830">
            <w:r>
              <w:t>Identity Infrastructure</w:t>
            </w:r>
            <w:r>
              <w:tab/>
            </w:r>
            <w:r>
              <w:fldChar w:fldCharType="begin"/>
            </w:r>
            <w:r>
              <w:instrText>PAGEREF _Toc96830 \h</w:instrText>
            </w:r>
            <w:r>
              <w:fldChar w:fldCharType="separate"/>
            </w:r>
            <w:r>
              <w:t xml:space="preserve">42 </w:t>
            </w:r>
            <w:r>
              <w:fldChar w:fldCharType="end"/>
            </w:r>
          </w:hyperlink>
        </w:p>
        <w:p w14:paraId="5925E041" w14:textId="77777777" w:rsidR="003F0DB8" w:rsidRDefault="00000000">
          <w:pPr>
            <w:pStyle w:val="TOC1"/>
            <w:tabs>
              <w:tab w:val="right" w:leader="dot" w:pos="13859"/>
            </w:tabs>
          </w:pPr>
          <w:hyperlink w:anchor="_Toc96831">
            <w:r>
              <w:t>Privileged Access</w:t>
            </w:r>
            <w:r>
              <w:tab/>
            </w:r>
            <w:r>
              <w:fldChar w:fldCharType="begin"/>
            </w:r>
            <w:r>
              <w:instrText>PAGEREF _Toc96831 \h</w:instrText>
            </w:r>
            <w:r>
              <w:fldChar w:fldCharType="separate"/>
            </w:r>
            <w:r>
              <w:t xml:space="preserve">42 </w:t>
            </w:r>
            <w:r>
              <w:fldChar w:fldCharType="end"/>
            </w:r>
          </w:hyperlink>
        </w:p>
        <w:p w14:paraId="1D1901F2" w14:textId="77777777" w:rsidR="003F0DB8" w:rsidRDefault="00000000">
          <w:pPr>
            <w:pStyle w:val="TOC1"/>
            <w:tabs>
              <w:tab w:val="right" w:leader="dot" w:pos="13859"/>
            </w:tabs>
          </w:pPr>
          <w:hyperlink w:anchor="_Toc96832">
            <w:r>
              <w:t>Managed Identities and Automation</w:t>
            </w:r>
            <w:r>
              <w:tab/>
            </w:r>
            <w:r>
              <w:fldChar w:fldCharType="begin"/>
            </w:r>
            <w:r>
              <w:instrText>PAGEREF _Toc96832 \h</w:instrText>
            </w:r>
            <w:r>
              <w:fldChar w:fldCharType="separate"/>
            </w:r>
            <w:r>
              <w:t xml:space="preserve">43 </w:t>
            </w:r>
            <w:r>
              <w:fldChar w:fldCharType="end"/>
            </w:r>
          </w:hyperlink>
        </w:p>
        <w:p w14:paraId="636C5CB4" w14:textId="77777777" w:rsidR="003F0DB8" w:rsidRDefault="00000000">
          <w:pPr>
            <w:pStyle w:val="TOC1"/>
            <w:tabs>
              <w:tab w:val="right" w:leader="dot" w:pos="13859"/>
            </w:tabs>
          </w:pPr>
          <w:hyperlink w:anchor="_Toc96833">
            <w:r>
              <w:t>Defender for Cloud and Sentinel</w:t>
            </w:r>
            <w:r>
              <w:tab/>
            </w:r>
            <w:r>
              <w:fldChar w:fldCharType="begin"/>
            </w:r>
            <w:r>
              <w:instrText>PAGEREF _Toc96833 \h</w:instrText>
            </w:r>
            <w:r>
              <w:fldChar w:fldCharType="separate"/>
            </w:r>
            <w:r>
              <w:t xml:space="preserve">43 </w:t>
            </w:r>
            <w:r>
              <w:fldChar w:fldCharType="end"/>
            </w:r>
          </w:hyperlink>
        </w:p>
        <w:p w14:paraId="4F2D63A5" w14:textId="77777777" w:rsidR="003F0DB8" w:rsidRDefault="00000000">
          <w:pPr>
            <w:pStyle w:val="TOC1"/>
            <w:tabs>
              <w:tab w:val="right" w:leader="dot" w:pos="13859"/>
            </w:tabs>
          </w:pPr>
          <w:hyperlink w:anchor="_Toc96834">
            <w:r>
              <w:t>Recommendations</w:t>
            </w:r>
            <w:r>
              <w:tab/>
            </w:r>
            <w:r>
              <w:fldChar w:fldCharType="begin"/>
            </w:r>
            <w:r>
              <w:instrText>PAGEREF _Toc96834 \h</w:instrText>
            </w:r>
            <w:r>
              <w:fldChar w:fldCharType="separate"/>
            </w:r>
            <w:r>
              <w:t xml:space="preserve">44 </w:t>
            </w:r>
            <w:r>
              <w:fldChar w:fldCharType="end"/>
            </w:r>
          </w:hyperlink>
        </w:p>
        <w:p w14:paraId="1B548D41" w14:textId="77777777" w:rsidR="003F0DB8" w:rsidRDefault="00000000">
          <w:pPr>
            <w:pStyle w:val="TOC1"/>
            <w:tabs>
              <w:tab w:val="right" w:leader="dot" w:pos="13859"/>
            </w:tabs>
          </w:pPr>
          <w:hyperlink w:anchor="_Toc96835">
            <w:r>
              <w:rPr>
                <w:b/>
                <w:sz w:val="24"/>
              </w:rPr>
              <w:t>Zero Trust</w:t>
            </w:r>
            <w:r>
              <w:tab/>
            </w:r>
            <w:r>
              <w:fldChar w:fldCharType="begin"/>
            </w:r>
            <w:r>
              <w:instrText>PAGEREF _Toc96835 \h</w:instrText>
            </w:r>
            <w:r>
              <w:fldChar w:fldCharType="separate"/>
            </w:r>
            <w:r>
              <w:rPr>
                <w:b/>
                <w:sz w:val="24"/>
              </w:rPr>
              <w:t xml:space="preserve">46 </w:t>
            </w:r>
            <w:r>
              <w:fldChar w:fldCharType="end"/>
            </w:r>
          </w:hyperlink>
        </w:p>
        <w:p w14:paraId="15BBC810" w14:textId="77777777" w:rsidR="003F0DB8" w:rsidRDefault="00000000">
          <w:pPr>
            <w:pStyle w:val="TOC1"/>
            <w:tabs>
              <w:tab w:val="right" w:leader="dot" w:pos="13859"/>
            </w:tabs>
          </w:pPr>
          <w:hyperlink w:anchor="_Toc96836">
            <w:r>
              <w:t>What Zero Trust Means in This Context</w:t>
            </w:r>
            <w:r>
              <w:tab/>
            </w:r>
            <w:r>
              <w:fldChar w:fldCharType="begin"/>
            </w:r>
            <w:r>
              <w:instrText>PAGEREF _Toc96836 \h</w:instrText>
            </w:r>
            <w:r>
              <w:fldChar w:fldCharType="separate"/>
            </w:r>
            <w:r>
              <w:t xml:space="preserve">46 </w:t>
            </w:r>
            <w:r>
              <w:fldChar w:fldCharType="end"/>
            </w:r>
          </w:hyperlink>
        </w:p>
        <w:p w14:paraId="5FF6D24C" w14:textId="77777777" w:rsidR="003F0DB8" w:rsidRDefault="00000000">
          <w:pPr>
            <w:pStyle w:val="TOC1"/>
            <w:tabs>
              <w:tab w:val="right" w:leader="dot" w:pos="13859"/>
            </w:tabs>
          </w:pPr>
          <w:hyperlink w:anchor="_Toc96837">
            <w:r>
              <w:t>Zero Trust Assessment</w:t>
            </w:r>
            <w:r>
              <w:tab/>
            </w:r>
            <w:r>
              <w:fldChar w:fldCharType="begin"/>
            </w:r>
            <w:r>
              <w:instrText>PAGEREF _Toc96837 \h</w:instrText>
            </w:r>
            <w:r>
              <w:fldChar w:fldCharType="separate"/>
            </w:r>
            <w:r>
              <w:t xml:space="preserve">46 </w:t>
            </w:r>
            <w:r>
              <w:fldChar w:fldCharType="end"/>
            </w:r>
          </w:hyperlink>
        </w:p>
        <w:p w14:paraId="1AEE8833" w14:textId="77777777" w:rsidR="003F0DB8" w:rsidRDefault="00000000">
          <w:pPr>
            <w:pStyle w:val="TOC1"/>
            <w:tabs>
              <w:tab w:val="right" w:leader="dot" w:pos="13859"/>
            </w:tabs>
          </w:pPr>
          <w:hyperlink w:anchor="_Toc96838">
            <w:r>
              <w:rPr>
                <w:b/>
                <w:sz w:val="24"/>
              </w:rPr>
              <w:t>Platform Operations and Observability</w:t>
            </w:r>
            <w:r>
              <w:tab/>
            </w:r>
            <w:r>
              <w:fldChar w:fldCharType="begin"/>
            </w:r>
            <w:r>
              <w:instrText>PAGEREF _Toc96838 \h</w:instrText>
            </w:r>
            <w:r>
              <w:fldChar w:fldCharType="separate"/>
            </w:r>
            <w:r>
              <w:rPr>
                <w:b/>
                <w:sz w:val="24"/>
              </w:rPr>
              <w:t xml:space="preserve">48 </w:t>
            </w:r>
            <w:r>
              <w:fldChar w:fldCharType="end"/>
            </w:r>
          </w:hyperlink>
        </w:p>
        <w:p w14:paraId="4BEBD728" w14:textId="77777777" w:rsidR="003F0DB8" w:rsidRDefault="00000000">
          <w:pPr>
            <w:pStyle w:val="TOC1"/>
            <w:tabs>
              <w:tab w:val="right" w:leader="dot" w:pos="13859"/>
            </w:tabs>
          </w:pPr>
          <w:hyperlink w:anchor="_Toc96839">
            <w:r>
              <w:t>Current State Overview</w:t>
            </w:r>
            <w:r>
              <w:tab/>
            </w:r>
            <w:r>
              <w:fldChar w:fldCharType="begin"/>
            </w:r>
            <w:r>
              <w:instrText>PAGEREF _Toc96839 \h</w:instrText>
            </w:r>
            <w:r>
              <w:fldChar w:fldCharType="separate"/>
            </w:r>
            <w:r>
              <w:t xml:space="preserve">48 </w:t>
            </w:r>
            <w:r>
              <w:fldChar w:fldCharType="end"/>
            </w:r>
          </w:hyperlink>
        </w:p>
        <w:p w14:paraId="31A9F013" w14:textId="77777777" w:rsidR="003F0DB8" w:rsidRDefault="00000000">
          <w:pPr>
            <w:pStyle w:val="TOC1"/>
            <w:tabs>
              <w:tab w:val="right" w:leader="dot" w:pos="13859"/>
            </w:tabs>
          </w:pPr>
          <w:hyperlink w:anchor="_Toc96840">
            <w:r>
              <w:t>Azure Monitor and Log Analytics</w:t>
            </w:r>
            <w:r>
              <w:tab/>
            </w:r>
            <w:r>
              <w:fldChar w:fldCharType="begin"/>
            </w:r>
            <w:r>
              <w:instrText>PAGEREF _Toc96840 \h</w:instrText>
            </w:r>
            <w:r>
              <w:fldChar w:fldCharType="separate"/>
            </w:r>
            <w:r>
              <w:t xml:space="preserve">48 </w:t>
            </w:r>
            <w:r>
              <w:fldChar w:fldCharType="end"/>
            </w:r>
          </w:hyperlink>
        </w:p>
        <w:p w14:paraId="5F6BDADF" w14:textId="77777777" w:rsidR="003F0DB8" w:rsidRDefault="00000000">
          <w:pPr>
            <w:pStyle w:val="TOC1"/>
            <w:tabs>
              <w:tab w:val="right" w:leader="dot" w:pos="13859"/>
            </w:tabs>
          </w:pPr>
          <w:hyperlink w:anchor="_Toc96841">
            <w:r>
              <w:t>Alerting</w:t>
            </w:r>
            <w:r>
              <w:tab/>
            </w:r>
            <w:r>
              <w:fldChar w:fldCharType="begin"/>
            </w:r>
            <w:r>
              <w:instrText>PAGEREF _Toc96841 \h</w:instrText>
            </w:r>
            <w:r>
              <w:fldChar w:fldCharType="separate"/>
            </w:r>
            <w:r>
              <w:t xml:space="preserve">49 </w:t>
            </w:r>
            <w:r>
              <w:fldChar w:fldCharType="end"/>
            </w:r>
          </w:hyperlink>
        </w:p>
        <w:p w14:paraId="47B89246" w14:textId="77777777" w:rsidR="003F0DB8" w:rsidRDefault="00000000">
          <w:pPr>
            <w:pStyle w:val="TOC1"/>
            <w:tabs>
              <w:tab w:val="right" w:leader="dot" w:pos="13859"/>
            </w:tabs>
          </w:pPr>
          <w:hyperlink w:anchor="_Toc96842">
            <w:r>
              <w:t>Workload Monitoring</w:t>
            </w:r>
            <w:r>
              <w:tab/>
            </w:r>
            <w:r>
              <w:fldChar w:fldCharType="begin"/>
            </w:r>
            <w:r>
              <w:instrText>PAGEREF _Toc96842 \h</w:instrText>
            </w:r>
            <w:r>
              <w:fldChar w:fldCharType="separate"/>
            </w:r>
            <w:r>
              <w:t xml:space="preserve">49 </w:t>
            </w:r>
            <w:r>
              <w:fldChar w:fldCharType="end"/>
            </w:r>
          </w:hyperlink>
        </w:p>
        <w:p w14:paraId="0ED06B8A" w14:textId="77777777" w:rsidR="003F0DB8" w:rsidRDefault="00000000">
          <w:pPr>
            <w:pStyle w:val="TOC1"/>
            <w:tabs>
              <w:tab w:val="right" w:leader="dot" w:pos="13859"/>
            </w:tabs>
          </w:pPr>
          <w:hyperlink w:anchor="_Toc96843">
            <w:r>
              <w:t>Security Monitoring</w:t>
            </w:r>
            <w:r>
              <w:tab/>
            </w:r>
            <w:r>
              <w:fldChar w:fldCharType="begin"/>
            </w:r>
            <w:r>
              <w:instrText>PAGEREF _Toc96843 \h</w:instrText>
            </w:r>
            <w:r>
              <w:fldChar w:fldCharType="separate"/>
            </w:r>
            <w:r>
              <w:t xml:space="preserve">50 </w:t>
            </w:r>
            <w:r>
              <w:fldChar w:fldCharType="end"/>
            </w:r>
          </w:hyperlink>
        </w:p>
        <w:p w14:paraId="6CBA3405" w14:textId="77777777" w:rsidR="003F0DB8" w:rsidRDefault="00000000">
          <w:pPr>
            <w:pStyle w:val="TOC1"/>
            <w:tabs>
              <w:tab w:val="right" w:leader="dot" w:pos="13859"/>
            </w:tabs>
          </w:pPr>
          <w:hyperlink w:anchor="_Toc96844">
            <w:r>
              <w:t>Operational Integration</w:t>
            </w:r>
            <w:r>
              <w:tab/>
            </w:r>
            <w:r>
              <w:fldChar w:fldCharType="begin"/>
            </w:r>
            <w:r>
              <w:instrText>PAGEREF _Toc96844 \h</w:instrText>
            </w:r>
            <w:r>
              <w:fldChar w:fldCharType="separate"/>
            </w:r>
            <w:r>
              <w:t xml:space="preserve">50 </w:t>
            </w:r>
            <w:r>
              <w:fldChar w:fldCharType="end"/>
            </w:r>
          </w:hyperlink>
        </w:p>
        <w:p w14:paraId="3E6A8812" w14:textId="77777777" w:rsidR="003F0DB8" w:rsidRDefault="00000000">
          <w:pPr>
            <w:pStyle w:val="TOC1"/>
            <w:tabs>
              <w:tab w:val="right" w:leader="dot" w:pos="13859"/>
            </w:tabs>
          </w:pPr>
          <w:hyperlink w:anchor="_Toc96845">
            <w:r>
              <w:t>Recommendations</w:t>
            </w:r>
            <w:r>
              <w:tab/>
            </w:r>
            <w:r>
              <w:fldChar w:fldCharType="begin"/>
            </w:r>
            <w:r>
              <w:instrText>PAGEREF _Toc96845 \h</w:instrText>
            </w:r>
            <w:r>
              <w:fldChar w:fldCharType="separate"/>
            </w:r>
            <w:r>
              <w:t xml:space="preserve">51 </w:t>
            </w:r>
            <w:r>
              <w:fldChar w:fldCharType="end"/>
            </w:r>
          </w:hyperlink>
        </w:p>
        <w:p w14:paraId="17F2F5E1" w14:textId="77777777" w:rsidR="003F0DB8" w:rsidRDefault="00000000">
          <w:pPr>
            <w:pStyle w:val="TOC1"/>
            <w:tabs>
              <w:tab w:val="right" w:leader="dot" w:pos="13859"/>
            </w:tabs>
          </w:pPr>
          <w:hyperlink w:anchor="_Toc96846">
            <w:r>
              <w:rPr>
                <w:b/>
                <w:sz w:val="24"/>
              </w:rPr>
              <w:t>Workloads</w:t>
            </w:r>
            <w:r>
              <w:tab/>
            </w:r>
            <w:r>
              <w:fldChar w:fldCharType="begin"/>
            </w:r>
            <w:r>
              <w:instrText>PAGEREF _Toc96846 \h</w:instrText>
            </w:r>
            <w:r>
              <w:fldChar w:fldCharType="separate"/>
            </w:r>
            <w:r>
              <w:rPr>
                <w:b/>
                <w:sz w:val="24"/>
              </w:rPr>
              <w:t xml:space="preserve">52 </w:t>
            </w:r>
            <w:r>
              <w:fldChar w:fldCharType="end"/>
            </w:r>
          </w:hyperlink>
        </w:p>
        <w:p w14:paraId="5ECF7C52" w14:textId="77777777" w:rsidR="003F0DB8" w:rsidRDefault="00000000">
          <w:pPr>
            <w:pStyle w:val="TOC1"/>
            <w:tabs>
              <w:tab w:val="right" w:leader="dot" w:pos="13859"/>
            </w:tabs>
          </w:pPr>
          <w:hyperlink w:anchor="_Toc96847">
            <w:r>
              <w:t>Application Services</w:t>
            </w:r>
            <w:r>
              <w:tab/>
            </w:r>
            <w:r>
              <w:fldChar w:fldCharType="begin"/>
            </w:r>
            <w:r>
              <w:instrText>PAGEREF _Toc96847 \h</w:instrText>
            </w:r>
            <w:r>
              <w:fldChar w:fldCharType="separate"/>
            </w:r>
            <w:r>
              <w:t xml:space="preserve">52 </w:t>
            </w:r>
            <w:r>
              <w:fldChar w:fldCharType="end"/>
            </w:r>
          </w:hyperlink>
        </w:p>
        <w:p w14:paraId="58E14FD9" w14:textId="77777777" w:rsidR="003F0DB8" w:rsidRDefault="00000000">
          <w:pPr>
            <w:pStyle w:val="TOC1"/>
            <w:tabs>
              <w:tab w:val="right" w:leader="dot" w:pos="13859"/>
            </w:tabs>
          </w:pPr>
          <w:hyperlink w:anchor="_Toc96848">
            <w:r>
              <w:t>Storage</w:t>
            </w:r>
            <w:r>
              <w:tab/>
            </w:r>
            <w:r>
              <w:fldChar w:fldCharType="begin"/>
            </w:r>
            <w:r>
              <w:instrText>PAGEREF _Toc96848 \h</w:instrText>
            </w:r>
            <w:r>
              <w:fldChar w:fldCharType="separate"/>
            </w:r>
            <w:r>
              <w:t xml:space="preserve">53 </w:t>
            </w:r>
            <w:r>
              <w:fldChar w:fldCharType="end"/>
            </w:r>
          </w:hyperlink>
        </w:p>
        <w:p w14:paraId="56C10D8D" w14:textId="77777777" w:rsidR="003F0DB8" w:rsidRDefault="00000000">
          <w:pPr>
            <w:pStyle w:val="TOC1"/>
            <w:tabs>
              <w:tab w:val="right" w:leader="dot" w:pos="13859"/>
            </w:tabs>
          </w:pPr>
          <w:hyperlink w:anchor="_Toc96849">
            <w:r>
              <w:t>Compute</w:t>
            </w:r>
            <w:r>
              <w:tab/>
            </w:r>
            <w:r>
              <w:fldChar w:fldCharType="begin"/>
            </w:r>
            <w:r>
              <w:instrText>PAGEREF _Toc96849 \h</w:instrText>
            </w:r>
            <w:r>
              <w:fldChar w:fldCharType="separate"/>
            </w:r>
            <w:r>
              <w:t xml:space="preserve">53 </w:t>
            </w:r>
            <w:r>
              <w:fldChar w:fldCharType="end"/>
            </w:r>
          </w:hyperlink>
        </w:p>
        <w:p w14:paraId="4731AC45" w14:textId="77777777" w:rsidR="003F0DB8" w:rsidRDefault="00000000">
          <w:pPr>
            <w:pStyle w:val="TOC1"/>
            <w:tabs>
              <w:tab w:val="right" w:leader="dot" w:pos="13859"/>
            </w:tabs>
          </w:pPr>
          <w:hyperlink w:anchor="_Toc96850">
            <w:r>
              <w:t>Recommendations</w:t>
            </w:r>
            <w:r>
              <w:tab/>
            </w:r>
            <w:r>
              <w:fldChar w:fldCharType="begin"/>
            </w:r>
            <w:r>
              <w:instrText>PAGEREF _Toc96850 \h</w:instrText>
            </w:r>
            <w:r>
              <w:fldChar w:fldCharType="separate"/>
            </w:r>
            <w:r>
              <w:t xml:space="preserve">53 </w:t>
            </w:r>
            <w:r>
              <w:fldChar w:fldCharType="end"/>
            </w:r>
          </w:hyperlink>
        </w:p>
        <w:p w14:paraId="57AAA8EF" w14:textId="77777777" w:rsidR="003F0DB8" w:rsidRDefault="00000000">
          <w:pPr>
            <w:pStyle w:val="TOC1"/>
            <w:tabs>
              <w:tab w:val="right" w:leader="dot" w:pos="13859"/>
            </w:tabs>
          </w:pPr>
          <w:hyperlink w:anchor="_Toc96851">
            <w:r>
              <w:rPr>
                <w:b/>
                <w:sz w:val="24"/>
              </w:rPr>
              <w:t>Cost and Financial Management (FinOps)</w:t>
            </w:r>
            <w:r>
              <w:tab/>
            </w:r>
            <w:r>
              <w:fldChar w:fldCharType="begin"/>
            </w:r>
            <w:r>
              <w:instrText>PAGEREF _Toc96851 \h</w:instrText>
            </w:r>
            <w:r>
              <w:fldChar w:fldCharType="separate"/>
            </w:r>
            <w:r>
              <w:rPr>
                <w:b/>
                <w:sz w:val="24"/>
              </w:rPr>
              <w:t xml:space="preserve">56 </w:t>
            </w:r>
            <w:r>
              <w:fldChar w:fldCharType="end"/>
            </w:r>
          </w:hyperlink>
        </w:p>
        <w:p w14:paraId="491FB8CF" w14:textId="77777777" w:rsidR="003F0DB8" w:rsidRDefault="00000000">
          <w:pPr>
            <w:pStyle w:val="TOC1"/>
            <w:tabs>
              <w:tab w:val="right" w:leader="dot" w:pos="13859"/>
            </w:tabs>
          </w:pPr>
          <w:hyperlink w:anchor="_Toc96852">
            <w:r>
              <w:t>Current State Overview</w:t>
            </w:r>
            <w:r>
              <w:tab/>
            </w:r>
            <w:r>
              <w:fldChar w:fldCharType="begin"/>
            </w:r>
            <w:r>
              <w:instrText>PAGEREF _Toc96852 \h</w:instrText>
            </w:r>
            <w:r>
              <w:fldChar w:fldCharType="separate"/>
            </w:r>
            <w:r>
              <w:t xml:space="preserve">56 </w:t>
            </w:r>
            <w:r>
              <w:fldChar w:fldCharType="end"/>
            </w:r>
          </w:hyperlink>
        </w:p>
        <w:p w14:paraId="6101AAD3" w14:textId="77777777" w:rsidR="003F0DB8" w:rsidRDefault="00000000">
          <w:pPr>
            <w:pStyle w:val="TOC1"/>
            <w:tabs>
              <w:tab w:val="right" w:leader="dot" w:pos="13859"/>
            </w:tabs>
          </w:pPr>
          <w:hyperlink w:anchor="_Toc96853">
            <w:r>
              <w:t>Major Cost Contributors</w:t>
            </w:r>
            <w:r>
              <w:tab/>
            </w:r>
            <w:r>
              <w:fldChar w:fldCharType="begin"/>
            </w:r>
            <w:r>
              <w:instrText>PAGEREF _Toc96853 \h</w:instrText>
            </w:r>
            <w:r>
              <w:fldChar w:fldCharType="separate"/>
            </w:r>
            <w:r>
              <w:t xml:space="preserve">56 </w:t>
            </w:r>
            <w:r>
              <w:fldChar w:fldCharType="end"/>
            </w:r>
          </w:hyperlink>
        </w:p>
        <w:p w14:paraId="18034163" w14:textId="77777777" w:rsidR="003F0DB8" w:rsidRDefault="00000000">
          <w:pPr>
            <w:pStyle w:val="TOC1"/>
            <w:tabs>
              <w:tab w:val="right" w:leader="dot" w:pos="13859"/>
            </w:tabs>
          </w:pPr>
          <w:hyperlink w:anchor="_Toc96854">
            <w:r>
              <w:t>Optimisation Challenges</w:t>
            </w:r>
            <w:r>
              <w:tab/>
            </w:r>
            <w:r>
              <w:fldChar w:fldCharType="begin"/>
            </w:r>
            <w:r>
              <w:instrText>PAGEREF _Toc96854 \h</w:instrText>
            </w:r>
            <w:r>
              <w:fldChar w:fldCharType="separate"/>
            </w:r>
            <w:r>
              <w:t xml:space="preserve">56 </w:t>
            </w:r>
            <w:r>
              <w:fldChar w:fldCharType="end"/>
            </w:r>
          </w:hyperlink>
        </w:p>
        <w:p w14:paraId="4FF0398C" w14:textId="77777777" w:rsidR="003F0DB8" w:rsidRDefault="00000000">
          <w:pPr>
            <w:pStyle w:val="TOC1"/>
            <w:tabs>
              <w:tab w:val="right" w:leader="dot" w:pos="13859"/>
            </w:tabs>
          </w:pPr>
          <w:hyperlink w:anchor="_Toc96855">
            <w:r>
              <w:t>Potential Savings</w:t>
            </w:r>
            <w:r>
              <w:tab/>
            </w:r>
            <w:r>
              <w:fldChar w:fldCharType="begin"/>
            </w:r>
            <w:r>
              <w:instrText>PAGEREF _Toc96855 \h</w:instrText>
            </w:r>
            <w:r>
              <w:fldChar w:fldCharType="separate"/>
            </w:r>
            <w:r>
              <w:t xml:space="preserve">57 </w:t>
            </w:r>
            <w:r>
              <w:fldChar w:fldCharType="end"/>
            </w:r>
          </w:hyperlink>
        </w:p>
        <w:p w14:paraId="4DDC8DBE" w14:textId="77777777" w:rsidR="003F0DB8" w:rsidRDefault="00000000">
          <w:pPr>
            <w:pStyle w:val="TOC1"/>
            <w:tabs>
              <w:tab w:val="right" w:leader="dot" w:pos="13859"/>
            </w:tabs>
          </w:pPr>
          <w:hyperlink w:anchor="_Toc96856">
            <w:r>
              <w:t>Recommendations</w:t>
            </w:r>
            <w:r>
              <w:tab/>
            </w:r>
            <w:r>
              <w:fldChar w:fldCharType="begin"/>
            </w:r>
            <w:r>
              <w:instrText>PAGEREF _Toc96856 \h</w:instrText>
            </w:r>
            <w:r>
              <w:fldChar w:fldCharType="separate"/>
            </w:r>
            <w:r>
              <w:t xml:space="preserve">59 </w:t>
            </w:r>
            <w:r>
              <w:fldChar w:fldCharType="end"/>
            </w:r>
          </w:hyperlink>
        </w:p>
        <w:p w14:paraId="2136A2B8" w14:textId="77777777" w:rsidR="003F0DB8" w:rsidRDefault="00000000">
          <w:pPr>
            <w:pStyle w:val="TOC1"/>
            <w:tabs>
              <w:tab w:val="right" w:leader="dot" w:pos="13859"/>
            </w:tabs>
          </w:pPr>
          <w:hyperlink w:anchor="_Toc96857">
            <w:r>
              <w:rPr>
                <w:b/>
                <w:sz w:val="24"/>
              </w:rPr>
              <w:t>Focus Area: AIS (Application Integration Services)</w:t>
            </w:r>
            <w:r>
              <w:tab/>
            </w:r>
            <w:r>
              <w:fldChar w:fldCharType="begin"/>
            </w:r>
            <w:r>
              <w:instrText>PAGEREF _Toc96857 \h</w:instrText>
            </w:r>
            <w:r>
              <w:fldChar w:fldCharType="separate"/>
            </w:r>
            <w:r>
              <w:rPr>
                <w:b/>
                <w:sz w:val="24"/>
              </w:rPr>
              <w:t xml:space="preserve">60 </w:t>
            </w:r>
            <w:r>
              <w:fldChar w:fldCharType="end"/>
            </w:r>
          </w:hyperlink>
        </w:p>
        <w:p w14:paraId="480D2783" w14:textId="77777777" w:rsidR="003F0DB8" w:rsidRDefault="00000000">
          <w:pPr>
            <w:pStyle w:val="TOC1"/>
            <w:tabs>
              <w:tab w:val="right" w:leader="dot" w:pos="13859"/>
            </w:tabs>
          </w:pPr>
          <w:hyperlink w:anchor="_Toc96858">
            <w:r>
              <w:t>Objective</w:t>
            </w:r>
            <w:r>
              <w:tab/>
            </w:r>
            <w:r>
              <w:fldChar w:fldCharType="begin"/>
            </w:r>
            <w:r>
              <w:instrText>PAGEREF _Toc96858 \h</w:instrText>
            </w:r>
            <w:r>
              <w:fldChar w:fldCharType="separate"/>
            </w:r>
            <w:r>
              <w:t xml:space="preserve">60 </w:t>
            </w:r>
            <w:r>
              <w:fldChar w:fldCharType="end"/>
            </w:r>
          </w:hyperlink>
        </w:p>
        <w:p w14:paraId="3BB1AF0C" w14:textId="77777777" w:rsidR="003F0DB8" w:rsidRDefault="00000000">
          <w:pPr>
            <w:pStyle w:val="TOC1"/>
            <w:tabs>
              <w:tab w:val="right" w:leader="dot" w:pos="13859"/>
            </w:tabs>
          </w:pPr>
          <w:hyperlink w:anchor="_Toc96859">
            <w:r>
              <w:t>Solution Overview</w:t>
            </w:r>
            <w:r>
              <w:tab/>
            </w:r>
            <w:r>
              <w:fldChar w:fldCharType="begin"/>
            </w:r>
            <w:r>
              <w:instrText>PAGEREF _Toc96859 \h</w:instrText>
            </w:r>
            <w:r>
              <w:fldChar w:fldCharType="separate"/>
            </w:r>
            <w:r>
              <w:t xml:space="preserve">60 </w:t>
            </w:r>
            <w:r>
              <w:fldChar w:fldCharType="end"/>
            </w:r>
          </w:hyperlink>
        </w:p>
        <w:p w14:paraId="2A952CC3" w14:textId="77777777" w:rsidR="003F0DB8" w:rsidRDefault="00000000">
          <w:pPr>
            <w:pStyle w:val="TOC1"/>
            <w:tabs>
              <w:tab w:val="right" w:leader="dot" w:pos="13859"/>
            </w:tabs>
          </w:pPr>
          <w:hyperlink w:anchor="_Toc96860">
            <w:r>
              <w:t>Observations - AIS</w:t>
            </w:r>
            <w:r>
              <w:tab/>
            </w:r>
            <w:r>
              <w:fldChar w:fldCharType="begin"/>
            </w:r>
            <w:r>
              <w:instrText>PAGEREF _Toc96860 \h</w:instrText>
            </w:r>
            <w:r>
              <w:fldChar w:fldCharType="separate"/>
            </w:r>
            <w:r>
              <w:t xml:space="preserve">65 </w:t>
            </w:r>
            <w:r>
              <w:fldChar w:fldCharType="end"/>
            </w:r>
          </w:hyperlink>
        </w:p>
        <w:p w14:paraId="37E300AB" w14:textId="77777777" w:rsidR="003F0DB8" w:rsidRDefault="00000000">
          <w:pPr>
            <w:pStyle w:val="TOC1"/>
            <w:tabs>
              <w:tab w:val="right" w:leader="dot" w:pos="13859"/>
            </w:tabs>
          </w:pPr>
          <w:hyperlink w:anchor="_Toc96861">
            <w:r>
              <w:t>Recommendations</w:t>
            </w:r>
            <w:r>
              <w:tab/>
            </w:r>
            <w:r>
              <w:fldChar w:fldCharType="begin"/>
            </w:r>
            <w:r>
              <w:instrText>PAGEREF _Toc96861 \h</w:instrText>
            </w:r>
            <w:r>
              <w:fldChar w:fldCharType="separate"/>
            </w:r>
            <w:r>
              <w:t xml:space="preserve">68 </w:t>
            </w:r>
            <w:r>
              <w:fldChar w:fldCharType="end"/>
            </w:r>
          </w:hyperlink>
        </w:p>
        <w:p w14:paraId="1A9D7312" w14:textId="77777777" w:rsidR="003F0DB8" w:rsidRDefault="00000000">
          <w:pPr>
            <w:pStyle w:val="TOC1"/>
            <w:tabs>
              <w:tab w:val="right" w:leader="dot" w:pos="13859"/>
            </w:tabs>
          </w:pPr>
          <w:hyperlink w:anchor="_Toc96862">
            <w:r>
              <w:t>Appendix: Integration Patterns Example</w:t>
            </w:r>
            <w:r>
              <w:tab/>
            </w:r>
            <w:r>
              <w:fldChar w:fldCharType="begin"/>
            </w:r>
            <w:r>
              <w:instrText>PAGEREF _Toc96862 \h</w:instrText>
            </w:r>
            <w:r>
              <w:fldChar w:fldCharType="separate"/>
            </w:r>
            <w:r>
              <w:t xml:space="preserve">70 </w:t>
            </w:r>
            <w:r>
              <w:fldChar w:fldCharType="end"/>
            </w:r>
          </w:hyperlink>
        </w:p>
        <w:p w14:paraId="25542FF0" w14:textId="77777777" w:rsidR="003F0DB8" w:rsidRDefault="00000000">
          <w:pPr>
            <w:pStyle w:val="TOC1"/>
            <w:tabs>
              <w:tab w:val="right" w:leader="dot" w:pos="13859"/>
            </w:tabs>
          </w:pPr>
          <w:hyperlink w:anchor="_Toc96863">
            <w:r>
              <w:rPr>
                <w:b/>
                <w:sz w:val="24"/>
              </w:rPr>
              <w:t>Focus Area: Data and AI Platforms</w:t>
            </w:r>
            <w:r>
              <w:tab/>
            </w:r>
            <w:r>
              <w:fldChar w:fldCharType="begin"/>
            </w:r>
            <w:r>
              <w:instrText>PAGEREF _Toc96863 \h</w:instrText>
            </w:r>
            <w:r>
              <w:fldChar w:fldCharType="separate"/>
            </w:r>
            <w:r>
              <w:rPr>
                <w:b/>
                <w:sz w:val="24"/>
              </w:rPr>
              <w:t xml:space="preserve">72 </w:t>
            </w:r>
            <w:r>
              <w:fldChar w:fldCharType="end"/>
            </w:r>
          </w:hyperlink>
        </w:p>
        <w:p w14:paraId="29BFDF15" w14:textId="77777777" w:rsidR="003F0DB8" w:rsidRDefault="00000000">
          <w:pPr>
            <w:pStyle w:val="TOC1"/>
            <w:tabs>
              <w:tab w:val="right" w:leader="dot" w:pos="13859"/>
            </w:tabs>
          </w:pPr>
          <w:hyperlink w:anchor="_Toc96864">
            <w:r>
              <w:t>Current State Overview</w:t>
            </w:r>
            <w:r>
              <w:tab/>
            </w:r>
            <w:r>
              <w:fldChar w:fldCharType="begin"/>
            </w:r>
            <w:r>
              <w:instrText>PAGEREF _Toc96864 \h</w:instrText>
            </w:r>
            <w:r>
              <w:fldChar w:fldCharType="separate"/>
            </w:r>
            <w:r>
              <w:t xml:space="preserve">72 </w:t>
            </w:r>
            <w:r>
              <w:fldChar w:fldCharType="end"/>
            </w:r>
          </w:hyperlink>
        </w:p>
        <w:p w14:paraId="40DDFAC0" w14:textId="77777777" w:rsidR="003F0DB8" w:rsidRDefault="00000000">
          <w:pPr>
            <w:pStyle w:val="TOC1"/>
            <w:tabs>
              <w:tab w:val="right" w:leader="dot" w:pos="13859"/>
            </w:tabs>
          </w:pPr>
          <w:hyperlink w:anchor="_Toc96865">
            <w:r>
              <w:t>Observations - Data Platform</w:t>
            </w:r>
            <w:r>
              <w:tab/>
            </w:r>
            <w:r>
              <w:fldChar w:fldCharType="begin"/>
            </w:r>
            <w:r>
              <w:instrText>PAGEREF _Toc96865 \h</w:instrText>
            </w:r>
            <w:r>
              <w:fldChar w:fldCharType="separate"/>
            </w:r>
            <w:r>
              <w:t xml:space="preserve">73 </w:t>
            </w:r>
            <w:r>
              <w:fldChar w:fldCharType="end"/>
            </w:r>
          </w:hyperlink>
        </w:p>
        <w:p w14:paraId="1EE97497" w14:textId="77777777" w:rsidR="003F0DB8" w:rsidRDefault="00000000">
          <w:pPr>
            <w:pStyle w:val="TOC1"/>
            <w:tabs>
              <w:tab w:val="right" w:leader="dot" w:pos="13859"/>
            </w:tabs>
          </w:pPr>
          <w:hyperlink w:anchor="_Toc96866">
            <w:r>
              <w:t>Observations - Data Governance (Purview)</w:t>
            </w:r>
            <w:r>
              <w:tab/>
            </w:r>
            <w:r>
              <w:fldChar w:fldCharType="begin"/>
            </w:r>
            <w:r>
              <w:instrText>PAGEREF _Toc96866 \h</w:instrText>
            </w:r>
            <w:r>
              <w:fldChar w:fldCharType="separate"/>
            </w:r>
            <w:r>
              <w:t xml:space="preserve">74 </w:t>
            </w:r>
            <w:r>
              <w:fldChar w:fldCharType="end"/>
            </w:r>
          </w:hyperlink>
        </w:p>
        <w:p w14:paraId="7D2A7A5A" w14:textId="77777777" w:rsidR="003F0DB8" w:rsidRDefault="00000000">
          <w:pPr>
            <w:pStyle w:val="TOC1"/>
            <w:tabs>
              <w:tab w:val="right" w:leader="dot" w:pos="13859"/>
            </w:tabs>
          </w:pPr>
          <w:hyperlink w:anchor="_Toc96867">
            <w:r>
              <w:t>Observations - AI and ML Operations</w:t>
            </w:r>
            <w:r>
              <w:tab/>
            </w:r>
            <w:r>
              <w:fldChar w:fldCharType="begin"/>
            </w:r>
            <w:r>
              <w:instrText>PAGEREF _Toc96867 \h</w:instrText>
            </w:r>
            <w:r>
              <w:fldChar w:fldCharType="separate"/>
            </w:r>
            <w:r>
              <w:t xml:space="preserve">75 </w:t>
            </w:r>
            <w:r>
              <w:fldChar w:fldCharType="end"/>
            </w:r>
          </w:hyperlink>
        </w:p>
        <w:p w14:paraId="61A4C30F" w14:textId="77777777" w:rsidR="003F0DB8" w:rsidRDefault="00000000">
          <w:pPr>
            <w:pStyle w:val="TOC1"/>
            <w:tabs>
              <w:tab w:val="right" w:leader="dot" w:pos="13859"/>
            </w:tabs>
          </w:pPr>
          <w:hyperlink w:anchor="_Toc96868">
            <w:r>
              <w:t>EDP, Data and AI: Key Risks</w:t>
            </w:r>
            <w:r>
              <w:tab/>
            </w:r>
            <w:r>
              <w:fldChar w:fldCharType="begin"/>
            </w:r>
            <w:r>
              <w:instrText>PAGEREF _Toc96868 \h</w:instrText>
            </w:r>
            <w:r>
              <w:fldChar w:fldCharType="separate"/>
            </w:r>
            <w:r>
              <w:t xml:space="preserve">76 </w:t>
            </w:r>
            <w:r>
              <w:fldChar w:fldCharType="end"/>
            </w:r>
          </w:hyperlink>
        </w:p>
        <w:p w14:paraId="08DBF3BD" w14:textId="77777777" w:rsidR="003F0DB8" w:rsidRDefault="00000000">
          <w:pPr>
            <w:pStyle w:val="TOC1"/>
            <w:tabs>
              <w:tab w:val="right" w:leader="dot" w:pos="13859"/>
            </w:tabs>
          </w:pPr>
          <w:hyperlink w:anchor="_Toc96869">
            <w:r>
              <w:t>Recommendations</w:t>
            </w:r>
            <w:r>
              <w:tab/>
            </w:r>
            <w:r>
              <w:fldChar w:fldCharType="begin"/>
            </w:r>
            <w:r>
              <w:instrText>PAGEREF _Toc96869 \h</w:instrText>
            </w:r>
            <w:r>
              <w:fldChar w:fldCharType="separate"/>
            </w:r>
            <w:r>
              <w:t xml:space="preserve">77 </w:t>
            </w:r>
            <w:r>
              <w:fldChar w:fldCharType="end"/>
            </w:r>
          </w:hyperlink>
        </w:p>
        <w:p w14:paraId="7922529A" w14:textId="77777777" w:rsidR="003F0DB8" w:rsidRDefault="00000000">
          <w:pPr>
            <w:pStyle w:val="TOC1"/>
            <w:tabs>
              <w:tab w:val="right" w:leader="dot" w:pos="13859"/>
            </w:tabs>
          </w:pPr>
          <w:hyperlink w:anchor="_Toc96870">
            <w:r>
              <w:rPr>
                <w:b/>
                <w:sz w:val="24"/>
              </w:rPr>
              <w:t>Consolidated Health Check Recommendations</w:t>
            </w:r>
            <w:r>
              <w:tab/>
            </w:r>
            <w:r>
              <w:fldChar w:fldCharType="begin"/>
            </w:r>
            <w:r>
              <w:instrText>PAGEREF _Toc96870 \h</w:instrText>
            </w:r>
            <w:r>
              <w:fldChar w:fldCharType="separate"/>
            </w:r>
            <w:r>
              <w:rPr>
                <w:b/>
                <w:sz w:val="24"/>
              </w:rPr>
              <w:t xml:space="preserve">79 </w:t>
            </w:r>
            <w:r>
              <w:fldChar w:fldCharType="end"/>
            </w:r>
          </w:hyperlink>
        </w:p>
        <w:p w14:paraId="34C7DFF2" w14:textId="77777777" w:rsidR="003F0DB8" w:rsidRDefault="00000000">
          <w:pPr>
            <w:pStyle w:val="TOC1"/>
            <w:tabs>
              <w:tab w:val="right" w:leader="dot" w:pos="13859"/>
            </w:tabs>
          </w:pPr>
          <w:hyperlink w:anchor="_Toc96871">
            <w:r>
              <w:rPr>
                <w:b/>
                <w:sz w:val="24"/>
              </w:rPr>
              <w:t>Technical Programme Leadership (Individual or group)</w:t>
            </w:r>
            <w:r>
              <w:tab/>
            </w:r>
            <w:r>
              <w:fldChar w:fldCharType="begin"/>
            </w:r>
            <w:r>
              <w:instrText>PAGEREF _Toc96871 \h</w:instrText>
            </w:r>
            <w:r>
              <w:fldChar w:fldCharType="separate"/>
            </w:r>
            <w:r>
              <w:rPr>
                <w:b/>
                <w:sz w:val="24"/>
              </w:rPr>
              <w:t xml:space="preserve">80 </w:t>
            </w:r>
            <w:r>
              <w:fldChar w:fldCharType="end"/>
            </w:r>
          </w:hyperlink>
        </w:p>
        <w:p w14:paraId="72E72672" w14:textId="77777777" w:rsidR="003F0DB8" w:rsidRDefault="00000000">
          <w:pPr>
            <w:pStyle w:val="TOC1"/>
            <w:tabs>
              <w:tab w:val="right" w:leader="dot" w:pos="13859"/>
            </w:tabs>
          </w:pPr>
          <w:hyperlink w:anchor="_Toc96872">
            <w:r>
              <w:rPr>
                <w:b/>
                <w:sz w:val="24"/>
              </w:rPr>
              <w:t>Roadmap</w:t>
            </w:r>
            <w:r>
              <w:tab/>
            </w:r>
            <w:r>
              <w:fldChar w:fldCharType="begin"/>
            </w:r>
            <w:r>
              <w:instrText>PAGEREF _Toc96872 \h</w:instrText>
            </w:r>
            <w:r>
              <w:fldChar w:fldCharType="separate"/>
            </w:r>
            <w:r>
              <w:rPr>
                <w:b/>
                <w:sz w:val="24"/>
              </w:rPr>
              <w:t xml:space="preserve">82 </w:t>
            </w:r>
            <w:r>
              <w:fldChar w:fldCharType="end"/>
            </w:r>
          </w:hyperlink>
        </w:p>
        <w:p w14:paraId="28BAD3F5" w14:textId="77777777" w:rsidR="003F0DB8" w:rsidRDefault="00000000">
          <w:pPr>
            <w:pStyle w:val="TOC1"/>
            <w:tabs>
              <w:tab w:val="right" w:leader="dot" w:pos="13859"/>
            </w:tabs>
          </w:pPr>
          <w:hyperlink w:anchor="_Toc96873">
            <w:r>
              <w:t>From recommendations to delivery: the work package layer</w:t>
            </w:r>
            <w:r>
              <w:tab/>
            </w:r>
            <w:r>
              <w:fldChar w:fldCharType="begin"/>
            </w:r>
            <w:r>
              <w:instrText>PAGEREF _Toc96873 \h</w:instrText>
            </w:r>
            <w:r>
              <w:fldChar w:fldCharType="separate"/>
            </w:r>
            <w:r>
              <w:t xml:space="preserve">83 </w:t>
            </w:r>
            <w:r>
              <w:fldChar w:fldCharType="end"/>
            </w:r>
          </w:hyperlink>
        </w:p>
        <w:p w14:paraId="22623140" w14:textId="77777777" w:rsidR="003F0DB8" w:rsidRDefault="00000000">
          <w:pPr>
            <w:pStyle w:val="TOC1"/>
            <w:tabs>
              <w:tab w:val="right" w:leader="dot" w:pos="13859"/>
            </w:tabs>
          </w:pPr>
          <w:hyperlink w:anchor="_Toc96874">
            <w:r>
              <w:t>Team and Organisation</w:t>
            </w:r>
            <w:r>
              <w:tab/>
            </w:r>
            <w:r>
              <w:fldChar w:fldCharType="begin"/>
            </w:r>
            <w:r>
              <w:instrText>PAGEREF _Toc96874 \h</w:instrText>
            </w:r>
            <w:r>
              <w:fldChar w:fldCharType="separate"/>
            </w:r>
            <w:r>
              <w:t xml:space="preserve">84 </w:t>
            </w:r>
            <w:r>
              <w:fldChar w:fldCharType="end"/>
            </w:r>
          </w:hyperlink>
        </w:p>
        <w:p w14:paraId="2C083686" w14:textId="77777777" w:rsidR="003F0DB8" w:rsidRDefault="00000000">
          <w:pPr>
            <w:pStyle w:val="TOC1"/>
            <w:tabs>
              <w:tab w:val="right" w:leader="dot" w:pos="13859"/>
            </w:tabs>
          </w:pPr>
          <w:hyperlink w:anchor="_Toc96875">
            <w:r>
              <w:t>Phased Delivery</w:t>
            </w:r>
            <w:r>
              <w:tab/>
            </w:r>
            <w:r>
              <w:fldChar w:fldCharType="begin"/>
            </w:r>
            <w:r>
              <w:instrText>PAGEREF _Toc96875 \h</w:instrText>
            </w:r>
            <w:r>
              <w:fldChar w:fldCharType="separate"/>
            </w:r>
            <w:r>
              <w:t xml:space="preserve">85 </w:t>
            </w:r>
            <w:r>
              <w:fldChar w:fldCharType="end"/>
            </w:r>
          </w:hyperlink>
        </w:p>
        <w:p w14:paraId="52207717" w14:textId="77777777" w:rsidR="003F0DB8" w:rsidRDefault="00000000">
          <w:pPr>
            <w:pStyle w:val="TOC1"/>
            <w:tabs>
              <w:tab w:val="right" w:leader="dot" w:pos="13859"/>
            </w:tabs>
          </w:pPr>
          <w:hyperlink w:anchor="_Toc96876">
            <w:r>
              <w:t>Cross-Workstream Dependencies</w:t>
            </w:r>
            <w:r>
              <w:tab/>
            </w:r>
            <w:r>
              <w:fldChar w:fldCharType="begin"/>
            </w:r>
            <w:r>
              <w:instrText>PAGEREF _Toc96876 \h</w:instrText>
            </w:r>
            <w:r>
              <w:fldChar w:fldCharType="separate"/>
            </w:r>
            <w:r>
              <w:t xml:space="preserve">88 </w:t>
            </w:r>
            <w:r>
              <w:fldChar w:fldCharType="end"/>
            </w:r>
          </w:hyperlink>
        </w:p>
        <w:p w14:paraId="428580FA" w14:textId="77777777" w:rsidR="003F0DB8" w:rsidRDefault="00000000">
          <w:pPr>
            <w:pStyle w:val="TOC1"/>
            <w:tabs>
              <w:tab w:val="right" w:leader="dot" w:pos="13859"/>
            </w:tabs>
          </w:pPr>
          <w:hyperlink w:anchor="_Toc96877">
            <w:r>
              <w:rPr>
                <w:b/>
                <w:sz w:val="24"/>
              </w:rPr>
              <w:t>Glossary of Terms</w:t>
            </w:r>
            <w:r>
              <w:tab/>
            </w:r>
            <w:r>
              <w:fldChar w:fldCharType="begin"/>
            </w:r>
            <w:r>
              <w:instrText>PAGEREF _Toc96877 \h</w:instrText>
            </w:r>
            <w:r>
              <w:fldChar w:fldCharType="separate"/>
            </w:r>
            <w:r>
              <w:rPr>
                <w:b/>
                <w:sz w:val="24"/>
              </w:rPr>
              <w:t xml:space="preserve">91 </w:t>
            </w:r>
            <w:r>
              <w:fldChar w:fldCharType="end"/>
            </w:r>
          </w:hyperlink>
        </w:p>
        <w:p w14:paraId="16B1C593" w14:textId="77777777" w:rsidR="003F0DB8" w:rsidRDefault="00000000">
          <w:pPr>
            <w:pStyle w:val="TOC1"/>
            <w:tabs>
              <w:tab w:val="right" w:leader="dot" w:pos="13859"/>
            </w:tabs>
          </w:pPr>
          <w:hyperlink w:anchor="_Toc96878">
            <w:r>
              <w:rPr>
                <w:b/>
                <w:sz w:val="24"/>
              </w:rPr>
              <w:t>Contacts</w:t>
            </w:r>
            <w:r>
              <w:tab/>
            </w:r>
            <w:r>
              <w:fldChar w:fldCharType="begin"/>
            </w:r>
            <w:r>
              <w:instrText>PAGEREF _Toc96878 \h</w:instrText>
            </w:r>
            <w:r>
              <w:fldChar w:fldCharType="separate"/>
            </w:r>
            <w:r>
              <w:rPr>
                <w:b/>
                <w:sz w:val="24"/>
              </w:rPr>
              <w:t xml:space="preserve">93 </w:t>
            </w:r>
            <w:r>
              <w:fldChar w:fldCharType="end"/>
            </w:r>
          </w:hyperlink>
        </w:p>
        <w:p w14:paraId="3CF54835" w14:textId="77777777" w:rsidR="003F0DB8" w:rsidRDefault="00000000">
          <w:r>
            <w:fldChar w:fldCharType="end"/>
          </w:r>
        </w:p>
      </w:sdtContent>
    </w:sdt>
    <w:p w14:paraId="28DFEEC0" w14:textId="77777777" w:rsidR="003F0DB8" w:rsidRDefault="00000000">
      <w:pPr>
        <w:spacing w:after="100"/>
        <w:ind w:left="-5" w:right="4256" w:hanging="10"/>
        <w:jc w:val="both"/>
      </w:pPr>
      <w:r>
        <w:rPr>
          <w:b/>
          <w:sz w:val="24"/>
        </w:rPr>
        <w:t xml:space="preserve"> </w:t>
      </w:r>
    </w:p>
    <w:p w14:paraId="31D6F8E5" w14:textId="77777777" w:rsidR="003F0DB8" w:rsidRDefault="00000000">
      <w:pPr>
        <w:spacing w:after="0" w:line="259" w:lineRule="auto"/>
        <w:ind w:left="0" w:firstLine="0"/>
      </w:pPr>
      <w:r>
        <w:rPr>
          <w:sz w:val="24"/>
        </w:rPr>
        <w:t xml:space="preserve"> </w:t>
      </w:r>
      <w:r>
        <w:rPr>
          <w:sz w:val="24"/>
        </w:rPr>
        <w:tab/>
      </w:r>
      <w:r>
        <w:rPr>
          <w:b/>
          <w:sz w:val="32"/>
        </w:rPr>
        <w:t xml:space="preserve"> </w:t>
      </w:r>
      <w:r>
        <w:br w:type="page"/>
      </w:r>
    </w:p>
    <w:p w14:paraId="1F172510" w14:textId="77777777" w:rsidR="003F0DB8" w:rsidRDefault="00000000">
      <w:pPr>
        <w:pStyle w:val="Heading1"/>
        <w:spacing w:after="86"/>
        <w:ind w:left="-5"/>
      </w:pPr>
      <w:bookmarkStart w:id="0" w:name="_Toc96782"/>
      <w:r>
        <w:rPr>
          <w:sz w:val="32"/>
        </w:rPr>
        <w:lastRenderedPageBreak/>
        <w:t xml:space="preserve">Introduction </w:t>
      </w:r>
      <w:bookmarkEnd w:id="0"/>
    </w:p>
    <w:p w14:paraId="55F58F4F" w14:textId="77777777" w:rsidR="003F0DB8" w:rsidRDefault="00000000">
      <w:pPr>
        <w:pStyle w:val="Heading1"/>
        <w:ind w:left="-5"/>
      </w:pPr>
      <w:bookmarkStart w:id="1" w:name="_Toc96783"/>
      <w:r>
        <w:t xml:space="preserve">Executive Summary </w:t>
      </w:r>
      <w:bookmarkEnd w:id="1"/>
    </w:p>
    <w:p w14:paraId="4887A1E4" w14:textId="77777777" w:rsidR="003F0DB8" w:rsidRDefault="00000000">
      <w:pPr>
        <w:spacing w:after="110" w:line="269" w:lineRule="auto"/>
        <w:ind w:left="10" w:right="3" w:hanging="10"/>
      </w:pPr>
      <w:r>
        <w:rPr>
          <w:sz w:val="24"/>
        </w:rPr>
        <w:t xml:space="preserve">The assessment has established three things. </w:t>
      </w:r>
    </w:p>
    <w:p w14:paraId="165A79A7" w14:textId="77777777" w:rsidR="003F0DB8" w:rsidRDefault="00000000">
      <w:pPr>
        <w:spacing w:after="110" w:line="269" w:lineRule="auto"/>
        <w:ind w:left="10" w:right="3" w:hanging="10"/>
      </w:pPr>
      <w:r>
        <w:rPr>
          <w:sz w:val="24"/>
        </w:rPr>
        <w:t xml:space="preserve">First, CQC's cloud strategy is sound. The target direction is clear: a CAF-aligned landing zone, stronger governance, better observability, cost transparency, and a platform that supports data-driven regulation. The CCoE charter, the cloud strategy paper, and the ambitions expressed across every workshop are all pointing in the same direction. </w:t>
      </w:r>
    </w:p>
    <w:p w14:paraId="27F9BCA2" w14:textId="77777777" w:rsidR="003F0DB8" w:rsidRDefault="00000000">
      <w:pPr>
        <w:spacing w:after="110" w:line="269" w:lineRule="auto"/>
        <w:ind w:left="10" w:right="3" w:hanging="10"/>
      </w:pPr>
      <w:r>
        <w:rPr>
          <w:sz w:val="24"/>
        </w:rPr>
        <w:t xml:space="preserve">Second, the current estate is not yet capable of delivering on that direction. Governance is split across three management-group hierarchies. Policy enforcement varies by subscription placement. Standing privilege is high. Observability is fragmented. Cost attribution is not possible. The legacy estate absorbs disproportionate effort and masks the risks underneath it. Every technical chapter in this document describes a different facet of the same problem: the organisation is trying to move forward while carrying an estate that is not controlled.  </w:t>
      </w:r>
    </w:p>
    <w:p w14:paraId="32C658D6" w14:textId="77777777" w:rsidR="003F0DB8" w:rsidRDefault="00000000">
      <w:pPr>
        <w:spacing w:after="110" w:line="269" w:lineRule="auto"/>
        <w:ind w:left="10" w:right="3" w:hanging="10"/>
      </w:pPr>
      <w:r>
        <w:rPr>
          <w:sz w:val="24"/>
        </w:rPr>
        <w:t xml:space="preserve">Third, work is already underway. CQC is not starting from zero. The platform team is building the new landing zone. Security is improving identity hygiene. FinOps analysis is identifying waste. AIS, EDP and the Regulatory Platform are all evolving. The issue is not a lack of activity. It is a lack of coordination across that activity. Teams are delivering in parallel, but without a single view of what should come first, what depends on what, and who arbitrates when priorities compete. </w:t>
      </w:r>
    </w:p>
    <w:p w14:paraId="7E4AD63E" w14:textId="77777777" w:rsidR="003F0DB8" w:rsidRDefault="00000000">
      <w:pPr>
        <w:spacing w:after="255" w:line="269" w:lineRule="auto"/>
        <w:ind w:left="10" w:right="3" w:hanging="10"/>
      </w:pPr>
      <w:r>
        <w:rPr>
          <w:sz w:val="24"/>
        </w:rPr>
        <w:t xml:space="preserve">The chapters that follow set out the findings and recommendations in detail, domain by domain, and bring them together into a consolidated set of priorities and a sequenced delivery plan. The aim throughout is not to replace the work already underway, but to make it deliberate, sequenced and governed. </w:t>
      </w:r>
    </w:p>
    <w:p w14:paraId="1809F3D3" w14:textId="77777777" w:rsidR="003F0DB8" w:rsidRDefault="00000000">
      <w:pPr>
        <w:spacing w:after="215" w:line="259" w:lineRule="auto"/>
        <w:ind w:left="0" w:firstLine="0"/>
      </w:pPr>
      <w:r>
        <w:rPr>
          <w:b/>
          <w:sz w:val="32"/>
        </w:rPr>
        <w:t xml:space="preserve"> </w:t>
      </w:r>
    </w:p>
    <w:p w14:paraId="50DB9D53" w14:textId="77777777" w:rsidR="003F0DB8" w:rsidRDefault="00000000">
      <w:pPr>
        <w:spacing w:after="0" w:line="259" w:lineRule="auto"/>
        <w:ind w:left="0" w:firstLine="0"/>
      </w:pPr>
      <w:r>
        <w:rPr>
          <w:sz w:val="24"/>
        </w:rPr>
        <w:t xml:space="preserve"> </w:t>
      </w:r>
      <w:r>
        <w:rPr>
          <w:sz w:val="24"/>
        </w:rPr>
        <w:tab/>
      </w:r>
      <w:r>
        <w:rPr>
          <w:b/>
          <w:sz w:val="32"/>
        </w:rPr>
        <w:t xml:space="preserve"> </w:t>
      </w:r>
    </w:p>
    <w:p w14:paraId="142F516C" w14:textId="77777777" w:rsidR="003F0DB8" w:rsidRDefault="00000000">
      <w:pPr>
        <w:pStyle w:val="Heading1"/>
        <w:ind w:left="-5"/>
      </w:pPr>
      <w:bookmarkStart w:id="2" w:name="_Toc96784"/>
      <w:r>
        <w:t xml:space="preserve">Assessment Vision </w:t>
      </w:r>
      <w:bookmarkEnd w:id="2"/>
    </w:p>
    <w:p w14:paraId="76534EA8" w14:textId="77777777" w:rsidR="003F0DB8" w:rsidRDefault="00000000">
      <w:pPr>
        <w:spacing w:after="110" w:line="269" w:lineRule="auto"/>
        <w:ind w:left="10" w:right="3" w:hanging="10"/>
      </w:pPr>
      <w:r>
        <w:rPr>
          <w:sz w:val="24"/>
        </w:rPr>
        <w:t xml:space="preserve">“To establish a secure, scalable, and data-driven cloud platform that enables CQC to deliver smarter regulation, foster innovation, and uphold public trust.” </w:t>
      </w:r>
    </w:p>
    <w:p w14:paraId="74FD8C99" w14:textId="77777777" w:rsidR="003F0DB8" w:rsidRDefault="00000000">
      <w:pPr>
        <w:spacing w:after="210" w:line="269" w:lineRule="auto"/>
        <w:ind w:left="10" w:right="3" w:hanging="10"/>
      </w:pPr>
      <w:r>
        <w:rPr>
          <w:sz w:val="24"/>
        </w:rPr>
        <w:t xml:space="preserve">CQC's stated approach is “cloud-first, but not cloud-only”, retaining flexibility to integrate SaaS and on-premises systems where they remain fit for purpose. The target outcomes are a fully aligned CAF landing zone, automated deployments via IaC and </w:t>
      </w:r>
      <w:r>
        <w:rPr>
          <w:sz w:val="24"/>
        </w:rPr>
        <w:lastRenderedPageBreak/>
        <w:t xml:space="preserve">DevSecOps, self-service through mature processes, Zero Trust across workloads, an established Cloud Centre of Excellence (“CCoE”) with full business buy-in, a resilient platform with tested disaster recovery, and a FinOps practice with cost transparency. </w:t>
      </w:r>
    </w:p>
    <w:p w14:paraId="3E07B64E" w14:textId="77777777" w:rsidR="003F0DB8" w:rsidRDefault="00000000">
      <w:pPr>
        <w:pStyle w:val="Heading1"/>
        <w:ind w:left="-5"/>
      </w:pPr>
      <w:bookmarkStart w:id="3" w:name="_Toc96785"/>
      <w:r>
        <w:t xml:space="preserve">Assessment Objectives </w:t>
      </w:r>
      <w:bookmarkEnd w:id="3"/>
    </w:p>
    <w:p w14:paraId="48E99764" w14:textId="77777777" w:rsidR="003F0DB8" w:rsidRDefault="00000000">
      <w:pPr>
        <w:numPr>
          <w:ilvl w:val="0"/>
          <w:numId w:val="1"/>
        </w:numPr>
        <w:spacing w:after="46"/>
        <w:ind w:right="5" w:hanging="284"/>
      </w:pPr>
      <w:r>
        <w:t xml:space="preserve">Build upon CQC's existing strategy paper and previous cloud assessments. This is not a vanilla assessment; it is bespoke to CQC's regulatory mandate and dual-estate reality. </w:t>
      </w:r>
    </w:p>
    <w:p w14:paraId="4461B4FD" w14:textId="77777777" w:rsidR="003F0DB8" w:rsidRDefault="00000000">
      <w:pPr>
        <w:numPr>
          <w:ilvl w:val="0"/>
          <w:numId w:val="1"/>
        </w:numPr>
        <w:ind w:right="5" w:hanging="284"/>
      </w:pPr>
      <w:r>
        <w:t xml:space="preserve">Address the immediate need for a technical programme owner to “hold the pen” on the digital rebuild. </w:t>
      </w:r>
    </w:p>
    <w:p w14:paraId="736929B2" w14:textId="77777777" w:rsidR="003F0DB8" w:rsidRDefault="00000000">
      <w:pPr>
        <w:numPr>
          <w:ilvl w:val="0"/>
          <w:numId w:val="1"/>
        </w:numPr>
        <w:ind w:right="5" w:hanging="284"/>
      </w:pPr>
      <w:r>
        <w:t xml:space="preserve">Sequence and dependency-map the work in line with the in-flight CCoE charter and cloud strategy. </w:t>
      </w:r>
    </w:p>
    <w:p w14:paraId="24717F10" w14:textId="77777777" w:rsidR="003F0DB8" w:rsidRDefault="00000000">
      <w:pPr>
        <w:numPr>
          <w:ilvl w:val="0"/>
          <w:numId w:val="1"/>
        </w:numPr>
        <w:spacing w:after="41"/>
        <w:ind w:right="5" w:hanging="284"/>
      </w:pPr>
      <w:r>
        <w:t xml:space="preserve">Align to the Microsoft Cloud Adoption Framework (“CAF”) and the Well-Architected Framework (“WAF”), and to GovAssure and NCSC Cyber Assessment Framework obligations. </w:t>
      </w:r>
    </w:p>
    <w:p w14:paraId="312443C8" w14:textId="77777777" w:rsidR="003F0DB8" w:rsidRDefault="00000000">
      <w:pPr>
        <w:numPr>
          <w:ilvl w:val="0"/>
          <w:numId w:val="1"/>
        </w:numPr>
        <w:spacing w:after="182"/>
        <w:ind w:right="5" w:hanging="284"/>
      </w:pPr>
      <w:r>
        <w:t xml:space="preserve">Focus on Zero Trust Architecture, the AIS workload, and the Data and AI estate. </w:t>
      </w:r>
    </w:p>
    <w:p w14:paraId="5749279F" w14:textId="77777777" w:rsidR="003F0DB8" w:rsidRDefault="00000000">
      <w:pPr>
        <w:pStyle w:val="Heading1"/>
        <w:ind w:left="-5"/>
      </w:pPr>
      <w:bookmarkStart w:id="4" w:name="_Toc96786"/>
      <w:r>
        <w:t xml:space="preserve">Assessment Flow </w:t>
      </w:r>
      <w:bookmarkEnd w:id="4"/>
    </w:p>
    <w:p w14:paraId="2C81E20B" w14:textId="77777777" w:rsidR="003F0DB8" w:rsidRDefault="00000000">
      <w:pPr>
        <w:spacing w:after="198" w:line="285" w:lineRule="auto"/>
        <w:ind w:left="-5" w:right="387" w:hanging="10"/>
        <w:jc w:val="both"/>
      </w:pPr>
      <w:r>
        <w:rPr>
          <w:sz w:val="24"/>
        </w:rPr>
        <w:t xml:space="preserve">The assessment was delivered through a structured programme of engagement sessions, supplemented by read-only discovery against CQC's Azure tenant and analysis of stakeholder-supplied documentation. The findings in this document are drawn from that combined evidence base. </w:t>
      </w:r>
    </w:p>
    <w:p w14:paraId="0DC98D53" w14:textId="77777777" w:rsidR="003F0DB8" w:rsidRDefault="00000000">
      <w:pPr>
        <w:pStyle w:val="Heading1"/>
        <w:ind w:left="-5"/>
      </w:pPr>
      <w:bookmarkStart w:id="5" w:name="_Toc96787"/>
      <w:r>
        <w:t xml:space="preserve">Stakeholders </w:t>
      </w:r>
      <w:bookmarkEnd w:id="5"/>
    </w:p>
    <w:p w14:paraId="083F6E04" w14:textId="77777777" w:rsidR="003F0DB8" w:rsidRDefault="00000000">
      <w:pPr>
        <w:spacing w:after="110" w:line="269" w:lineRule="auto"/>
        <w:ind w:left="10" w:right="3" w:hanging="10"/>
      </w:pPr>
      <w:r>
        <w:rPr>
          <w:b/>
          <w:sz w:val="24"/>
        </w:rPr>
        <w:t>External and partner references:</w:t>
      </w:r>
      <w:r>
        <w:rPr>
          <w:sz w:val="24"/>
        </w:rPr>
        <w:t xml:space="preserve"> DHSC (parent department, cyber strategy alignment), CDIO (accountable owner for scope and ownership decisions), Little Fish (managed-service partner for identity administration and the legacy firewall), KPMG (legacy implementation partner), Avanade (ARA framework and AI HLD/LLD), Node 4 (ARA support contract), Infosys (Siebel CRM operations), NHS CSOC via Azure Lighthouse, Vodafone (public DNS hosting). </w:t>
      </w:r>
    </w:p>
    <w:p w14:paraId="046C4029" w14:textId="77777777" w:rsidR="003F0DB8" w:rsidRDefault="00000000">
      <w:pPr>
        <w:spacing w:after="229" w:line="259" w:lineRule="auto"/>
        <w:ind w:left="0" w:firstLine="0"/>
      </w:pPr>
      <w:r>
        <w:rPr>
          <w:sz w:val="24"/>
        </w:rPr>
        <w:t xml:space="preserve"> </w:t>
      </w:r>
    </w:p>
    <w:p w14:paraId="47E61AEB" w14:textId="77777777" w:rsidR="003F0DB8" w:rsidRDefault="00000000">
      <w:pPr>
        <w:pStyle w:val="Heading1"/>
        <w:ind w:left="-5"/>
      </w:pPr>
      <w:bookmarkStart w:id="6" w:name="_Toc96788"/>
      <w:r>
        <w:t xml:space="preserve">Access Granted </w:t>
      </w:r>
      <w:bookmarkEnd w:id="6"/>
    </w:p>
    <w:p w14:paraId="61A381C9" w14:textId="77777777" w:rsidR="003F0DB8" w:rsidRDefault="00000000">
      <w:pPr>
        <w:spacing w:after="260" w:line="269" w:lineRule="auto"/>
        <w:ind w:left="10" w:right="3" w:hanging="10"/>
      </w:pPr>
      <w:r>
        <w:rPr>
          <w:sz w:val="24"/>
        </w:rPr>
        <w:t xml:space="preserve">Hitachi Solutions was granted Reader access across the platform and decommissioned subscriptions, Owner on legacy workload subscriptions, and Specified Access on the newer landing-zone subscriptions. Stakeholders and SMEs were made available throughout the engagement, and CQC shared the relevant policies, standards and roadmap material. </w:t>
      </w:r>
    </w:p>
    <w:p w14:paraId="58B6E2BF" w14:textId="77777777" w:rsidR="003F0DB8" w:rsidRDefault="00000000">
      <w:pPr>
        <w:spacing w:after="0" w:line="259" w:lineRule="auto"/>
        <w:ind w:left="0" w:firstLine="0"/>
      </w:pPr>
      <w:r>
        <w:rPr>
          <w:sz w:val="24"/>
        </w:rPr>
        <w:t xml:space="preserve"> </w:t>
      </w:r>
      <w:r>
        <w:rPr>
          <w:sz w:val="24"/>
        </w:rPr>
        <w:tab/>
      </w:r>
      <w:r>
        <w:rPr>
          <w:b/>
          <w:sz w:val="32"/>
        </w:rPr>
        <w:t xml:space="preserve"> </w:t>
      </w:r>
      <w:r>
        <w:br w:type="page"/>
      </w:r>
    </w:p>
    <w:p w14:paraId="7B259459" w14:textId="77777777" w:rsidR="003F0DB8" w:rsidRDefault="00000000">
      <w:pPr>
        <w:pStyle w:val="Heading1"/>
        <w:spacing w:after="86"/>
        <w:ind w:left="-5"/>
      </w:pPr>
      <w:bookmarkStart w:id="7" w:name="_Toc96789"/>
      <w:r>
        <w:rPr>
          <w:sz w:val="32"/>
        </w:rPr>
        <w:lastRenderedPageBreak/>
        <w:t xml:space="preserve">Health Check Conclusions </w:t>
      </w:r>
      <w:bookmarkEnd w:id="7"/>
    </w:p>
    <w:p w14:paraId="6BB907CD" w14:textId="77777777" w:rsidR="003F0DB8" w:rsidRDefault="00000000">
      <w:pPr>
        <w:pStyle w:val="Heading1"/>
        <w:ind w:left="-5"/>
      </w:pPr>
      <w:bookmarkStart w:id="8" w:name="_Toc96790"/>
      <w:r>
        <w:t xml:space="preserve">HCAF Maturity Scorecard </w:t>
      </w:r>
      <w:bookmarkEnd w:id="8"/>
    </w:p>
    <w:p w14:paraId="346D2BD9" w14:textId="77777777" w:rsidR="003F0DB8" w:rsidRDefault="00000000">
      <w:pPr>
        <w:spacing w:after="110" w:line="269" w:lineRule="auto"/>
        <w:ind w:left="10" w:right="3" w:hanging="10"/>
      </w:pPr>
      <w:r>
        <w:rPr>
          <w:sz w:val="24"/>
        </w:rPr>
        <w:t xml:space="preserve">The scorecard below summarises the current and target maturity state for each HCAF pillar.  </w:t>
      </w:r>
    </w:p>
    <w:p w14:paraId="5B37FEB8" w14:textId="77777777" w:rsidR="003F0DB8" w:rsidRDefault="00000000">
      <w:pPr>
        <w:spacing w:after="0" w:line="269" w:lineRule="auto"/>
        <w:ind w:left="10" w:right="3" w:hanging="10"/>
      </w:pPr>
      <w:r>
        <w:rPr>
          <w:sz w:val="24"/>
        </w:rPr>
        <w:t xml:space="preserve">The maturity model is a 5-level scale: </w:t>
      </w:r>
    </w:p>
    <w:tbl>
      <w:tblPr>
        <w:tblStyle w:val="TableGrid"/>
        <w:tblW w:w="1770" w:type="dxa"/>
        <w:tblInd w:w="7" w:type="dxa"/>
        <w:tblCellMar>
          <w:top w:w="0" w:type="dxa"/>
          <w:left w:w="105" w:type="dxa"/>
          <w:bottom w:w="0" w:type="dxa"/>
          <w:right w:w="56" w:type="dxa"/>
        </w:tblCellMar>
        <w:tblLook w:val="04A0" w:firstRow="1" w:lastRow="0" w:firstColumn="1" w:lastColumn="0" w:noHBand="0" w:noVBand="1"/>
      </w:tblPr>
      <w:tblGrid>
        <w:gridCol w:w="649"/>
        <w:gridCol w:w="1121"/>
      </w:tblGrid>
      <w:tr w:rsidR="003F0DB8" w14:paraId="2F63F2CD" w14:textId="77777777">
        <w:trPr>
          <w:trHeight w:val="443"/>
        </w:trPr>
        <w:tc>
          <w:tcPr>
            <w:tcW w:w="649" w:type="dxa"/>
            <w:tcBorders>
              <w:top w:val="single" w:sz="3" w:space="0" w:color="000000"/>
              <w:left w:val="single" w:sz="3" w:space="0" w:color="000000"/>
              <w:bottom w:val="single" w:sz="2" w:space="0" w:color="FFFFFF"/>
              <w:right w:val="single" w:sz="3" w:space="0" w:color="000000"/>
            </w:tcBorders>
            <w:shd w:val="clear" w:color="auto" w:fill="1F3864"/>
            <w:vAlign w:val="center"/>
          </w:tcPr>
          <w:p w14:paraId="0E33BF59" w14:textId="77777777" w:rsidR="003F0DB8" w:rsidRDefault="00000000">
            <w:pPr>
              <w:spacing w:after="0" w:line="259" w:lineRule="auto"/>
              <w:ind w:left="0" w:firstLine="0"/>
            </w:pPr>
            <w:r>
              <w:rPr>
                <w:b/>
                <w:color w:val="FFFFFF"/>
                <w:sz w:val="18"/>
              </w:rPr>
              <w:t xml:space="preserve">Level </w:t>
            </w:r>
          </w:p>
        </w:tc>
        <w:tc>
          <w:tcPr>
            <w:tcW w:w="1121" w:type="dxa"/>
            <w:tcBorders>
              <w:top w:val="single" w:sz="3" w:space="0" w:color="000000"/>
              <w:left w:val="single" w:sz="3" w:space="0" w:color="000000"/>
              <w:bottom w:val="single" w:sz="2" w:space="0" w:color="FFFFFF"/>
              <w:right w:val="single" w:sz="3" w:space="0" w:color="000000"/>
            </w:tcBorders>
            <w:shd w:val="clear" w:color="auto" w:fill="1F3864"/>
            <w:vAlign w:val="center"/>
          </w:tcPr>
          <w:p w14:paraId="72407F63" w14:textId="77777777" w:rsidR="003F0DB8" w:rsidRDefault="00000000">
            <w:pPr>
              <w:spacing w:after="0" w:line="259" w:lineRule="auto"/>
              <w:ind w:left="3" w:firstLine="0"/>
            </w:pPr>
            <w:r>
              <w:rPr>
                <w:b/>
                <w:color w:val="FFFFFF"/>
                <w:sz w:val="18"/>
              </w:rPr>
              <w:t xml:space="preserve">Name </w:t>
            </w:r>
          </w:p>
        </w:tc>
      </w:tr>
      <w:tr w:rsidR="003F0DB8" w14:paraId="0471E3FD" w14:textId="77777777">
        <w:trPr>
          <w:trHeight w:val="449"/>
        </w:trPr>
        <w:tc>
          <w:tcPr>
            <w:tcW w:w="649" w:type="dxa"/>
            <w:tcBorders>
              <w:top w:val="single" w:sz="2" w:space="0" w:color="FFFFFF"/>
              <w:left w:val="single" w:sz="3" w:space="0" w:color="000000"/>
              <w:bottom w:val="single" w:sz="2" w:space="0" w:color="FFFFFF"/>
              <w:right w:val="single" w:sz="3" w:space="0" w:color="000000"/>
            </w:tcBorders>
            <w:vAlign w:val="center"/>
          </w:tcPr>
          <w:p w14:paraId="28666370" w14:textId="77777777" w:rsidR="003F0DB8" w:rsidRDefault="00000000">
            <w:pPr>
              <w:spacing w:after="0" w:line="259" w:lineRule="auto"/>
              <w:ind w:left="0" w:firstLine="0"/>
            </w:pPr>
            <w:r>
              <w:rPr>
                <w:sz w:val="18"/>
              </w:rPr>
              <w:t xml:space="preserve">1 </w:t>
            </w:r>
          </w:p>
        </w:tc>
        <w:tc>
          <w:tcPr>
            <w:tcW w:w="1121" w:type="dxa"/>
            <w:tcBorders>
              <w:top w:val="single" w:sz="2" w:space="0" w:color="FFFFFF"/>
              <w:left w:val="single" w:sz="3" w:space="0" w:color="000000"/>
              <w:bottom w:val="single" w:sz="2" w:space="0" w:color="FFFFFF"/>
              <w:right w:val="single" w:sz="3" w:space="0" w:color="000000"/>
            </w:tcBorders>
            <w:vAlign w:val="center"/>
          </w:tcPr>
          <w:p w14:paraId="7B0185AB" w14:textId="77777777" w:rsidR="003F0DB8" w:rsidRDefault="00000000">
            <w:pPr>
              <w:spacing w:after="0" w:line="259" w:lineRule="auto"/>
              <w:ind w:left="3" w:firstLine="0"/>
            </w:pPr>
            <w:r>
              <w:rPr>
                <w:sz w:val="18"/>
              </w:rPr>
              <w:t xml:space="preserve">Initial </w:t>
            </w:r>
          </w:p>
        </w:tc>
      </w:tr>
      <w:tr w:rsidR="003F0DB8" w14:paraId="5F8F7005" w14:textId="77777777">
        <w:trPr>
          <w:trHeight w:val="448"/>
        </w:trPr>
        <w:tc>
          <w:tcPr>
            <w:tcW w:w="649" w:type="dxa"/>
            <w:tcBorders>
              <w:top w:val="single" w:sz="2" w:space="0" w:color="FFFFFF"/>
              <w:left w:val="single" w:sz="3" w:space="0" w:color="000000"/>
              <w:bottom w:val="single" w:sz="2" w:space="0" w:color="FFFFFF"/>
              <w:right w:val="single" w:sz="3" w:space="0" w:color="000000"/>
            </w:tcBorders>
            <w:vAlign w:val="center"/>
          </w:tcPr>
          <w:p w14:paraId="204425EC" w14:textId="77777777" w:rsidR="003F0DB8" w:rsidRDefault="00000000">
            <w:pPr>
              <w:spacing w:after="0" w:line="259" w:lineRule="auto"/>
              <w:ind w:left="0" w:firstLine="0"/>
            </w:pPr>
            <w:r>
              <w:rPr>
                <w:sz w:val="18"/>
              </w:rPr>
              <w:t xml:space="preserve">2 </w:t>
            </w:r>
          </w:p>
        </w:tc>
        <w:tc>
          <w:tcPr>
            <w:tcW w:w="1121" w:type="dxa"/>
            <w:tcBorders>
              <w:top w:val="single" w:sz="2" w:space="0" w:color="FFFFFF"/>
              <w:left w:val="single" w:sz="3" w:space="0" w:color="000000"/>
              <w:bottom w:val="single" w:sz="2" w:space="0" w:color="FFFFFF"/>
              <w:right w:val="single" w:sz="3" w:space="0" w:color="000000"/>
            </w:tcBorders>
            <w:vAlign w:val="center"/>
          </w:tcPr>
          <w:p w14:paraId="716F8D5F" w14:textId="77777777" w:rsidR="003F0DB8" w:rsidRDefault="00000000">
            <w:pPr>
              <w:spacing w:after="0" w:line="259" w:lineRule="auto"/>
              <w:ind w:left="3" w:firstLine="0"/>
            </w:pPr>
            <w:r>
              <w:rPr>
                <w:sz w:val="18"/>
              </w:rPr>
              <w:t xml:space="preserve">Developing </w:t>
            </w:r>
          </w:p>
        </w:tc>
      </w:tr>
      <w:tr w:rsidR="003F0DB8" w14:paraId="55651AA7" w14:textId="77777777">
        <w:trPr>
          <w:trHeight w:val="448"/>
        </w:trPr>
        <w:tc>
          <w:tcPr>
            <w:tcW w:w="649" w:type="dxa"/>
            <w:tcBorders>
              <w:top w:val="single" w:sz="2" w:space="0" w:color="FFFFFF"/>
              <w:left w:val="single" w:sz="3" w:space="0" w:color="000000"/>
              <w:bottom w:val="single" w:sz="2" w:space="0" w:color="FFFFFF"/>
              <w:right w:val="single" w:sz="3" w:space="0" w:color="000000"/>
            </w:tcBorders>
            <w:vAlign w:val="center"/>
          </w:tcPr>
          <w:p w14:paraId="1CC9490F" w14:textId="77777777" w:rsidR="003F0DB8" w:rsidRDefault="00000000">
            <w:pPr>
              <w:spacing w:after="0" w:line="259" w:lineRule="auto"/>
              <w:ind w:left="0" w:firstLine="0"/>
            </w:pPr>
            <w:r>
              <w:rPr>
                <w:sz w:val="18"/>
              </w:rPr>
              <w:t xml:space="preserve">3 </w:t>
            </w:r>
          </w:p>
        </w:tc>
        <w:tc>
          <w:tcPr>
            <w:tcW w:w="1121" w:type="dxa"/>
            <w:tcBorders>
              <w:top w:val="single" w:sz="2" w:space="0" w:color="FFFFFF"/>
              <w:left w:val="single" w:sz="3" w:space="0" w:color="000000"/>
              <w:bottom w:val="single" w:sz="2" w:space="0" w:color="FFFFFF"/>
              <w:right w:val="single" w:sz="3" w:space="0" w:color="000000"/>
            </w:tcBorders>
            <w:vAlign w:val="center"/>
          </w:tcPr>
          <w:p w14:paraId="710484BC" w14:textId="77777777" w:rsidR="003F0DB8" w:rsidRDefault="00000000">
            <w:pPr>
              <w:spacing w:after="0" w:line="259" w:lineRule="auto"/>
              <w:ind w:left="3" w:firstLine="0"/>
            </w:pPr>
            <w:r>
              <w:rPr>
                <w:sz w:val="18"/>
              </w:rPr>
              <w:t xml:space="preserve">Defined </w:t>
            </w:r>
          </w:p>
        </w:tc>
      </w:tr>
      <w:tr w:rsidR="003F0DB8" w14:paraId="3910D82D" w14:textId="77777777">
        <w:trPr>
          <w:trHeight w:val="448"/>
        </w:trPr>
        <w:tc>
          <w:tcPr>
            <w:tcW w:w="649" w:type="dxa"/>
            <w:tcBorders>
              <w:top w:val="single" w:sz="2" w:space="0" w:color="FFFFFF"/>
              <w:left w:val="single" w:sz="3" w:space="0" w:color="000000"/>
              <w:bottom w:val="single" w:sz="2" w:space="0" w:color="FFFFFF"/>
              <w:right w:val="single" w:sz="3" w:space="0" w:color="000000"/>
            </w:tcBorders>
            <w:vAlign w:val="center"/>
          </w:tcPr>
          <w:p w14:paraId="22BC6A56" w14:textId="77777777" w:rsidR="003F0DB8" w:rsidRDefault="00000000">
            <w:pPr>
              <w:spacing w:after="0" w:line="259" w:lineRule="auto"/>
              <w:ind w:left="0" w:firstLine="0"/>
            </w:pPr>
            <w:r>
              <w:rPr>
                <w:sz w:val="18"/>
              </w:rPr>
              <w:t xml:space="preserve">4 </w:t>
            </w:r>
          </w:p>
        </w:tc>
        <w:tc>
          <w:tcPr>
            <w:tcW w:w="1121" w:type="dxa"/>
            <w:tcBorders>
              <w:top w:val="single" w:sz="2" w:space="0" w:color="FFFFFF"/>
              <w:left w:val="single" w:sz="3" w:space="0" w:color="000000"/>
              <w:bottom w:val="single" w:sz="2" w:space="0" w:color="FFFFFF"/>
              <w:right w:val="single" w:sz="3" w:space="0" w:color="000000"/>
            </w:tcBorders>
            <w:vAlign w:val="center"/>
          </w:tcPr>
          <w:p w14:paraId="31482DC6" w14:textId="77777777" w:rsidR="003F0DB8" w:rsidRDefault="00000000">
            <w:pPr>
              <w:spacing w:after="0" w:line="259" w:lineRule="auto"/>
              <w:ind w:left="3" w:firstLine="0"/>
            </w:pPr>
            <w:r>
              <w:rPr>
                <w:sz w:val="18"/>
              </w:rPr>
              <w:t xml:space="preserve">Managed </w:t>
            </w:r>
          </w:p>
        </w:tc>
      </w:tr>
      <w:tr w:rsidR="003F0DB8" w14:paraId="57AEEB9A" w14:textId="77777777">
        <w:trPr>
          <w:trHeight w:val="442"/>
        </w:trPr>
        <w:tc>
          <w:tcPr>
            <w:tcW w:w="649" w:type="dxa"/>
            <w:tcBorders>
              <w:top w:val="single" w:sz="2" w:space="0" w:color="FFFFFF"/>
              <w:left w:val="single" w:sz="3" w:space="0" w:color="000000"/>
              <w:bottom w:val="single" w:sz="3" w:space="0" w:color="000000"/>
              <w:right w:val="single" w:sz="3" w:space="0" w:color="000000"/>
            </w:tcBorders>
            <w:vAlign w:val="center"/>
          </w:tcPr>
          <w:p w14:paraId="5642089E" w14:textId="77777777" w:rsidR="003F0DB8" w:rsidRDefault="00000000">
            <w:pPr>
              <w:spacing w:after="0" w:line="259" w:lineRule="auto"/>
              <w:ind w:left="0" w:firstLine="0"/>
            </w:pPr>
            <w:r>
              <w:rPr>
                <w:sz w:val="18"/>
              </w:rPr>
              <w:t xml:space="preserve">5 </w:t>
            </w:r>
          </w:p>
        </w:tc>
        <w:tc>
          <w:tcPr>
            <w:tcW w:w="1121" w:type="dxa"/>
            <w:tcBorders>
              <w:top w:val="single" w:sz="2" w:space="0" w:color="FFFFFF"/>
              <w:left w:val="single" w:sz="3" w:space="0" w:color="000000"/>
              <w:bottom w:val="single" w:sz="3" w:space="0" w:color="000000"/>
              <w:right w:val="single" w:sz="3" w:space="0" w:color="000000"/>
            </w:tcBorders>
            <w:vAlign w:val="center"/>
          </w:tcPr>
          <w:p w14:paraId="3E51802C" w14:textId="77777777" w:rsidR="003F0DB8" w:rsidRDefault="00000000">
            <w:pPr>
              <w:spacing w:after="0" w:line="259" w:lineRule="auto"/>
              <w:ind w:left="3" w:firstLine="0"/>
            </w:pPr>
            <w:r>
              <w:rPr>
                <w:sz w:val="18"/>
              </w:rPr>
              <w:t xml:space="preserve">Optimised </w:t>
            </w:r>
          </w:p>
        </w:tc>
      </w:tr>
    </w:tbl>
    <w:p w14:paraId="6C91680E" w14:textId="77777777" w:rsidR="003F0DB8" w:rsidRDefault="00000000">
      <w:pPr>
        <w:pStyle w:val="Heading1"/>
        <w:spacing w:after="0"/>
        <w:ind w:left="-5"/>
      </w:pPr>
      <w:bookmarkStart w:id="9" w:name="_Toc96791"/>
      <w:r>
        <w:t xml:space="preserve">HCAF Maturity Scorecard - Results </w:t>
      </w:r>
      <w:bookmarkEnd w:id="9"/>
    </w:p>
    <w:tbl>
      <w:tblPr>
        <w:tblStyle w:val="TableGrid"/>
        <w:tblW w:w="9358" w:type="dxa"/>
        <w:tblInd w:w="7" w:type="dxa"/>
        <w:tblCellMar>
          <w:top w:w="106" w:type="dxa"/>
          <w:left w:w="105" w:type="dxa"/>
          <w:bottom w:w="0" w:type="dxa"/>
          <w:right w:w="79" w:type="dxa"/>
        </w:tblCellMar>
        <w:tblLook w:val="04A0" w:firstRow="1" w:lastRow="0" w:firstColumn="1" w:lastColumn="0" w:noHBand="0" w:noVBand="1"/>
      </w:tblPr>
      <w:tblGrid>
        <w:gridCol w:w="2400"/>
        <w:gridCol w:w="1400"/>
        <w:gridCol w:w="1401"/>
        <w:gridCol w:w="4157"/>
      </w:tblGrid>
      <w:tr w:rsidR="003F0DB8" w14:paraId="45E16970" w14:textId="77777777">
        <w:trPr>
          <w:trHeight w:val="330"/>
        </w:trPr>
        <w:tc>
          <w:tcPr>
            <w:tcW w:w="2400" w:type="dxa"/>
            <w:tcBorders>
              <w:top w:val="single" w:sz="3" w:space="0" w:color="000000"/>
              <w:left w:val="single" w:sz="3" w:space="0" w:color="000000"/>
              <w:bottom w:val="single" w:sz="2" w:space="0" w:color="FFFFFF"/>
              <w:right w:val="single" w:sz="3" w:space="0" w:color="000000"/>
            </w:tcBorders>
            <w:shd w:val="clear" w:color="auto" w:fill="1F3864"/>
          </w:tcPr>
          <w:p w14:paraId="2151DD9E" w14:textId="77777777" w:rsidR="003F0DB8" w:rsidRDefault="00000000">
            <w:pPr>
              <w:spacing w:after="0" w:line="259" w:lineRule="auto"/>
              <w:ind w:left="0" w:firstLine="0"/>
            </w:pPr>
            <w:r>
              <w:rPr>
                <w:b/>
                <w:color w:val="FFFFFF"/>
                <w:sz w:val="18"/>
              </w:rPr>
              <w:t xml:space="preserve">Pillar </w:t>
            </w:r>
          </w:p>
        </w:tc>
        <w:tc>
          <w:tcPr>
            <w:tcW w:w="1400" w:type="dxa"/>
            <w:tcBorders>
              <w:top w:val="single" w:sz="3" w:space="0" w:color="000000"/>
              <w:left w:val="single" w:sz="3" w:space="0" w:color="000000"/>
              <w:bottom w:val="single" w:sz="2" w:space="0" w:color="FFFFFF"/>
              <w:right w:val="single" w:sz="3" w:space="0" w:color="000000"/>
            </w:tcBorders>
            <w:shd w:val="clear" w:color="auto" w:fill="1F3864"/>
          </w:tcPr>
          <w:p w14:paraId="5CAFCC0A" w14:textId="77777777" w:rsidR="003F0DB8" w:rsidRDefault="00000000">
            <w:pPr>
              <w:spacing w:after="0" w:line="259" w:lineRule="auto"/>
              <w:ind w:left="1" w:firstLine="0"/>
            </w:pPr>
            <w:r>
              <w:rPr>
                <w:b/>
                <w:color w:val="FFFFFF"/>
                <w:sz w:val="18"/>
              </w:rPr>
              <w:t xml:space="preserve">Current Level </w:t>
            </w:r>
          </w:p>
        </w:tc>
        <w:tc>
          <w:tcPr>
            <w:tcW w:w="1401" w:type="dxa"/>
            <w:tcBorders>
              <w:top w:val="single" w:sz="3" w:space="0" w:color="000000"/>
              <w:left w:val="single" w:sz="3" w:space="0" w:color="000000"/>
              <w:bottom w:val="single" w:sz="2" w:space="0" w:color="FFFFFF"/>
              <w:right w:val="single" w:sz="3" w:space="0" w:color="000000"/>
            </w:tcBorders>
            <w:shd w:val="clear" w:color="auto" w:fill="1F3864"/>
          </w:tcPr>
          <w:p w14:paraId="5F338D13" w14:textId="77777777" w:rsidR="003F0DB8" w:rsidRDefault="00000000">
            <w:pPr>
              <w:spacing w:after="0" w:line="259" w:lineRule="auto"/>
              <w:ind w:left="1" w:firstLine="0"/>
            </w:pPr>
            <w:r>
              <w:rPr>
                <w:b/>
                <w:color w:val="FFFFFF"/>
                <w:sz w:val="18"/>
              </w:rPr>
              <w:t xml:space="preserve">Target Level </w:t>
            </w:r>
          </w:p>
        </w:tc>
        <w:tc>
          <w:tcPr>
            <w:tcW w:w="4158" w:type="dxa"/>
            <w:tcBorders>
              <w:top w:val="single" w:sz="3" w:space="0" w:color="000000"/>
              <w:left w:val="single" w:sz="3" w:space="0" w:color="000000"/>
              <w:bottom w:val="single" w:sz="2" w:space="0" w:color="FFFFFF"/>
              <w:right w:val="single" w:sz="3" w:space="0" w:color="000000"/>
            </w:tcBorders>
            <w:shd w:val="clear" w:color="auto" w:fill="1F3864"/>
          </w:tcPr>
          <w:p w14:paraId="57B7EBE4" w14:textId="77777777" w:rsidR="003F0DB8" w:rsidRDefault="00000000">
            <w:pPr>
              <w:spacing w:after="0" w:line="259" w:lineRule="auto"/>
              <w:ind w:left="1" w:firstLine="0"/>
            </w:pPr>
            <w:r>
              <w:rPr>
                <w:b/>
                <w:color w:val="FFFFFF"/>
                <w:sz w:val="18"/>
              </w:rPr>
              <w:t xml:space="preserve">Evidence </w:t>
            </w:r>
          </w:p>
        </w:tc>
      </w:tr>
      <w:tr w:rsidR="003F0DB8" w14:paraId="25C76A02" w14:textId="77777777">
        <w:trPr>
          <w:trHeight w:val="1045"/>
        </w:trPr>
        <w:tc>
          <w:tcPr>
            <w:tcW w:w="2400" w:type="dxa"/>
            <w:tcBorders>
              <w:top w:val="single" w:sz="2" w:space="0" w:color="FFFFFF"/>
              <w:left w:val="single" w:sz="3" w:space="0" w:color="000000"/>
              <w:bottom w:val="single" w:sz="2" w:space="0" w:color="FFFFFF"/>
              <w:right w:val="single" w:sz="3" w:space="0" w:color="000000"/>
            </w:tcBorders>
          </w:tcPr>
          <w:p w14:paraId="7396BED5" w14:textId="77777777" w:rsidR="003F0DB8" w:rsidRDefault="00000000">
            <w:pPr>
              <w:spacing w:after="0" w:line="259" w:lineRule="auto"/>
              <w:ind w:left="0" w:firstLine="0"/>
            </w:pPr>
            <w:r>
              <w:rPr>
                <w:b/>
                <w:sz w:val="18"/>
              </w:rPr>
              <w:t>Cloud Governance</w:t>
            </w:r>
            <w:r>
              <w:rPr>
                <w:sz w:val="18"/>
              </w:rPr>
              <w:t xml:space="preserve"> </w:t>
            </w:r>
          </w:p>
        </w:tc>
        <w:tc>
          <w:tcPr>
            <w:tcW w:w="1400" w:type="dxa"/>
            <w:tcBorders>
              <w:top w:val="single" w:sz="2" w:space="0" w:color="FFFFFF"/>
              <w:left w:val="single" w:sz="3" w:space="0" w:color="000000"/>
              <w:bottom w:val="single" w:sz="2" w:space="0" w:color="FFFFFF"/>
              <w:right w:val="single" w:sz="3" w:space="0" w:color="000000"/>
            </w:tcBorders>
          </w:tcPr>
          <w:p w14:paraId="7923E6B7" w14:textId="77777777" w:rsidR="003F0DB8" w:rsidRDefault="00000000">
            <w:pPr>
              <w:spacing w:after="0" w:line="259" w:lineRule="auto"/>
              <w:ind w:left="1" w:firstLine="0"/>
            </w:pPr>
            <w:r>
              <w:rPr>
                <w:sz w:val="18"/>
              </w:rPr>
              <w:t xml:space="preserve">(2) Developing </w:t>
            </w:r>
          </w:p>
        </w:tc>
        <w:tc>
          <w:tcPr>
            <w:tcW w:w="1401" w:type="dxa"/>
            <w:tcBorders>
              <w:top w:val="single" w:sz="2" w:space="0" w:color="FFFFFF"/>
              <w:left w:val="single" w:sz="3" w:space="0" w:color="000000"/>
              <w:bottom w:val="single" w:sz="2" w:space="0" w:color="FFFFFF"/>
              <w:right w:val="single" w:sz="3" w:space="0" w:color="000000"/>
            </w:tcBorders>
          </w:tcPr>
          <w:p w14:paraId="7156E5B3" w14:textId="77777777" w:rsidR="003F0DB8" w:rsidRDefault="00000000">
            <w:pPr>
              <w:spacing w:after="0" w:line="259" w:lineRule="auto"/>
              <w:ind w:left="1" w:firstLine="0"/>
            </w:pPr>
            <w:r>
              <w:rPr>
                <w:sz w:val="18"/>
              </w:rPr>
              <w:t xml:space="preserve">Managed </w:t>
            </w:r>
          </w:p>
        </w:tc>
        <w:tc>
          <w:tcPr>
            <w:tcW w:w="4158" w:type="dxa"/>
            <w:tcBorders>
              <w:top w:val="single" w:sz="2" w:space="0" w:color="FFFFFF"/>
              <w:left w:val="single" w:sz="3" w:space="0" w:color="000000"/>
              <w:bottom w:val="single" w:sz="2" w:space="0" w:color="FFFFFF"/>
              <w:right w:val="single" w:sz="3" w:space="0" w:color="000000"/>
            </w:tcBorders>
          </w:tcPr>
          <w:p w14:paraId="2DB70189" w14:textId="77777777" w:rsidR="003F0DB8" w:rsidRDefault="00000000">
            <w:pPr>
              <w:spacing w:after="0" w:line="239" w:lineRule="auto"/>
              <w:ind w:left="1" w:firstLine="0"/>
            </w:pPr>
            <w:r>
              <w:rPr>
                <w:sz w:val="18"/>
              </w:rPr>
              <w:t xml:space="preserve">Three parallel Management Group hierarchies in flight; 19 subscriptions sitting directly under mgcqc-legacy; two subscriptions bypassing all </w:t>
            </w:r>
          </w:p>
          <w:p w14:paraId="60C2A1D6" w14:textId="77777777" w:rsidR="003F0DB8" w:rsidRDefault="00000000">
            <w:pPr>
              <w:spacing w:after="0" w:line="259" w:lineRule="auto"/>
              <w:ind w:left="1" w:firstLine="0"/>
            </w:pPr>
            <w:r>
              <w:rPr>
                <w:sz w:val="18"/>
              </w:rPr>
              <w:t xml:space="preserve">Management Group policy </w:t>
            </w:r>
          </w:p>
        </w:tc>
      </w:tr>
      <w:tr w:rsidR="003F0DB8" w14:paraId="153891BC" w14:textId="77777777">
        <w:trPr>
          <w:trHeight w:val="809"/>
        </w:trPr>
        <w:tc>
          <w:tcPr>
            <w:tcW w:w="2400" w:type="dxa"/>
            <w:tcBorders>
              <w:top w:val="single" w:sz="2" w:space="0" w:color="FFFFFF"/>
              <w:left w:val="single" w:sz="3" w:space="0" w:color="000000"/>
              <w:bottom w:val="single" w:sz="2" w:space="0" w:color="FFFFFF"/>
              <w:right w:val="single" w:sz="3" w:space="0" w:color="000000"/>
            </w:tcBorders>
          </w:tcPr>
          <w:p w14:paraId="6E3A8B57" w14:textId="77777777" w:rsidR="003F0DB8" w:rsidRDefault="00000000">
            <w:pPr>
              <w:spacing w:after="0" w:line="259" w:lineRule="auto"/>
              <w:ind w:left="0" w:firstLine="0"/>
            </w:pPr>
            <w:r>
              <w:rPr>
                <w:b/>
                <w:sz w:val="18"/>
              </w:rPr>
              <w:t xml:space="preserve">FinOps and Cost </w:t>
            </w:r>
          </w:p>
          <w:p w14:paraId="570086C9" w14:textId="77777777" w:rsidR="003F0DB8" w:rsidRDefault="00000000">
            <w:pPr>
              <w:spacing w:after="0" w:line="259" w:lineRule="auto"/>
              <w:ind w:left="0" w:firstLine="0"/>
            </w:pPr>
            <w:r>
              <w:rPr>
                <w:b/>
                <w:sz w:val="18"/>
              </w:rPr>
              <w:t>Management</w:t>
            </w:r>
            <w:r>
              <w:rPr>
                <w:sz w:val="18"/>
              </w:rPr>
              <w:t xml:space="preserve"> </w:t>
            </w:r>
          </w:p>
        </w:tc>
        <w:tc>
          <w:tcPr>
            <w:tcW w:w="1400" w:type="dxa"/>
            <w:tcBorders>
              <w:top w:val="single" w:sz="2" w:space="0" w:color="FFFFFF"/>
              <w:left w:val="single" w:sz="3" w:space="0" w:color="000000"/>
              <w:bottom w:val="single" w:sz="2" w:space="0" w:color="FFFFFF"/>
              <w:right w:val="single" w:sz="3" w:space="0" w:color="000000"/>
            </w:tcBorders>
          </w:tcPr>
          <w:p w14:paraId="4A3FA25D" w14:textId="77777777" w:rsidR="003F0DB8" w:rsidRDefault="00000000">
            <w:pPr>
              <w:spacing w:after="0" w:line="259" w:lineRule="auto"/>
              <w:ind w:left="1" w:firstLine="0"/>
            </w:pPr>
            <w:r>
              <w:rPr>
                <w:sz w:val="18"/>
              </w:rPr>
              <w:t xml:space="preserve">(2) Developing </w:t>
            </w:r>
          </w:p>
        </w:tc>
        <w:tc>
          <w:tcPr>
            <w:tcW w:w="1401" w:type="dxa"/>
            <w:tcBorders>
              <w:top w:val="single" w:sz="2" w:space="0" w:color="FFFFFF"/>
              <w:left w:val="single" w:sz="3" w:space="0" w:color="000000"/>
              <w:bottom w:val="single" w:sz="2" w:space="0" w:color="FFFFFF"/>
              <w:right w:val="single" w:sz="3" w:space="0" w:color="000000"/>
            </w:tcBorders>
          </w:tcPr>
          <w:p w14:paraId="06449F5B" w14:textId="77777777" w:rsidR="003F0DB8" w:rsidRDefault="00000000">
            <w:pPr>
              <w:spacing w:after="0" w:line="259" w:lineRule="auto"/>
              <w:ind w:left="1" w:firstLine="0"/>
            </w:pPr>
            <w:r>
              <w:rPr>
                <w:sz w:val="18"/>
              </w:rPr>
              <w:t xml:space="preserve">Defined </w:t>
            </w:r>
          </w:p>
        </w:tc>
        <w:tc>
          <w:tcPr>
            <w:tcW w:w="4158" w:type="dxa"/>
            <w:tcBorders>
              <w:top w:val="single" w:sz="2" w:space="0" w:color="FFFFFF"/>
              <w:left w:val="single" w:sz="3" w:space="0" w:color="000000"/>
              <w:bottom w:val="single" w:sz="2" w:space="0" w:color="FFFFFF"/>
              <w:right w:val="single" w:sz="3" w:space="0" w:color="000000"/>
            </w:tcBorders>
          </w:tcPr>
          <w:p w14:paraId="11A22A2C" w14:textId="77777777" w:rsidR="003F0DB8" w:rsidRDefault="00000000">
            <w:pPr>
              <w:spacing w:after="0" w:line="259" w:lineRule="auto"/>
              <w:ind w:left="1" w:right="148" w:firstLine="0"/>
              <w:jc w:val="both"/>
            </w:pPr>
            <w:r>
              <w:rPr>
                <w:sz w:val="18"/>
              </w:rPr>
              <w:t xml:space="preserve">£2.185M annualised spend with zero CostCenter or BusinessOwner tag coverage; no budgets configured at Management Group level </w:t>
            </w:r>
          </w:p>
        </w:tc>
      </w:tr>
      <w:tr w:rsidR="003F0DB8" w14:paraId="62B8B2B3" w14:textId="77777777">
        <w:trPr>
          <w:trHeight w:val="812"/>
        </w:trPr>
        <w:tc>
          <w:tcPr>
            <w:tcW w:w="2400" w:type="dxa"/>
            <w:tcBorders>
              <w:top w:val="single" w:sz="2" w:space="0" w:color="FFFFFF"/>
              <w:left w:val="single" w:sz="3" w:space="0" w:color="000000"/>
              <w:bottom w:val="single" w:sz="2" w:space="0" w:color="FFFFFF"/>
              <w:right w:val="single" w:sz="3" w:space="0" w:color="000000"/>
            </w:tcBorders>
          </w:tcPr>
          <w:p w14:paraId="363B922B" w14:textId="77777777" w:rsidR="003F0DB8" w:rsidRDefault="00000000">
            <w:pPr>
              <w:spacing w:after="0" w:line="259" w:lineRule="auto"/>
              <w:ind w:left="0" w:firstLine="0"/>
            </w:pPr>
            <w:r>
              <w:rPr>
                <w:b/>
                <w:sz w:val="18"/>
              </w:rPr>
              <w:t xml:space="preserve">Management and </w:t>
            </w:r>
          </w:p>
          <w:p w14:paraId="2663504B" w14:textId="77777777" w:rsidR="003F0DB8" w:rsidRDefault="00000000">
            <w:pPr>
              <w:spacing w:after="0" w:line="259" w:lineRule="auto"/>
              <w:ind w:left="0" w:firstLine="0"/>
            </w:pPr>
            <w:r>
              <w:rPr>
                <w:b/>
                <w:sz w:val="18"/>
              </w:rPr>
              <w:t>Monitoring</w:t>
            </w:r>
            <w:r>
              <w:rPr>
                <w:sz w:val="18"/>
              </w:rPr>
              <w:t xml:space="preserve"> </w:t>
            </w:r>
          </w:p>
        </w:tc>
        <w:tc>
          <w:tcPr>
            <w:tcW w:w="1400" w:type="dxa"/>
            <w:tcBorders>
              <w:top w:val="single" w:sz="2" w:space="0" w:color="FFFFFF"/>
              <w:left w:val="single" w:sz="3" w:space="0" w:color="000000"/>
              <w:bottom w:val="single" w:sz="2" w:space="0" w:color="FFFFFF"/>
              <w:right w:val="single" w:sz="3" w:space="0" w:color="000000"/>
            </w:tcBorders>
          </w:tcPr>
          <w:p w14:paraId="4B0C0A76" w14:textId="77777777" w:rsidR="003F0DB8" w:rsidRDefault="00000000">
            <w:pPr>
              <w:spacing w:after="0" w:line="259" w:lineRule="auto"/>
              <w:ind w:left="1" w:firstLine="0"/>
            </w:pPr>
            <w:r>
              <w:rPr>
                <w:sz w:val="18"/>
              </w:rPr>
              <w:t xml:space="preserve">(1) Initial </w:t>
            </w:r>
          </w:p>
        </w:tc>
        <w:tc>
          <w:tcPr>
            <w:tcW w:w="1401" w:type="dxa"/>
            <w:tcBorders>
              <w:top w:val="single" w:sz="2" w:space="0" w:color="FFFFFF"/>
              <w:left w:val="single" w:sz="3" w:space="0" w:color="000000"/>
              <w:bottom w:val="single" w:sz="2" w:space="0" w:color="FFFFFF"/>
              <w:right w:val="single" w:sz="3" w:space="0" w:color="000000"/>
            </w:tcBorders>
          </w:tcPr>
          <w:p w14:paraId="27FA3A11" w14:textId="77777777" w:rsidR="003F0DB8" w:rsidRDefault="00000000">
            <w:pPr>
              <w:spacing w:after="0" w:line="259" w:lineRule="auto"/>
              <w:ind w:left="1" w:firstLine="0"/>
            </w:pPr>
            <w:r>
              <w:rPr>
                <w:sz w:val="18"/>
              </w:rPr>
              <w:t xml:space="preserve">Defined </w:t>
            </w:r>
          </w:p>
        </w:tc>
        <w:tc>
          <w:tcPr>
            <w:tcW w:w="4158" w:type="dxa"/>
            <w:tcBorders>
              <w:top w:val="single" w:sz="2" w:space="0" w:color="FFFFFF"/>
              <w:left w:val="single" w:sz="3" w:space="0" w:color="000000"/>
              <w:bottom w:val="single" w:sz="2" w:space="0" w:color="FFFFFF"/>
              <w:right w:val="single" w:sz="3" w:space="0" w:color="000000"/>
            </w:tcBorders>
          </w:tcPr>
          <w:p w14:paraId="459278EA" w14:textId="77777777" w:rsidR="003F0DB8" w:rsidRDefault="00000000">
            <w:pPr>
              <w:spacing w:after="0" w:line="239" w:lineRule="auto"/>
              <w:ind w:left="1" w:firstLine="0"/>
            </w:pPr>
            <w:r>
              <w:rPr>
                <w:sz w:val="18"/>
              </w:rPr>
              <w:t xml:space="preserve">296 monitoring resources but 100% of inspected resources have no diagnostic forwarding; mean </w:t>
            </w:r>
          </w:p>
          <w:p w14:paraId="1F358193" w14:textId="77777777" w:rsidR="003F0DB8" w:rsidRDefault="00000000">
            <w:pPr>
              <w:spacing w:after="0" w:line="259" w:lineRule="auto"/>
              <w:ind w:left="1" w:firstLine="0"/>
            </w:pPr>
            <w:r>
              <w:rPr>
                <w:sz w:val="18"/>
              </w:rPr>
              <w:t xml:space="preserve">Secure Score 59.8% against 75% target </w:t>
            </w:r>
          </w:p>
        </w:tc>
      </w:tr>
      <w:tr w:rsidR="003F0DB8" w14:paraId="1E2A6484" w14:textId="77777777">
        <w:trPr>
          <w:trHeight w:val="802"/>
        </w:trPr>
        <w:tc>
          <w:tcPr>
            <w:tcW w:w="2400" w:type="dxa"/>
            <w:tcBorders>
              <w:top w:val="single" w:sz="2" w:space="0" w:color="FFFFFF"/>
              <w:left w:val="single" w:sz="3" w:space="0" w:color="000000"/>
              <w:bottom w:val="single" w:sz="3" w:space="0" w:color="000000"/>
              <w:right w:val="single" w:sz="3" w:space="0" w:color="000000"/>
            </w:tcBorders>
          </w:tcPr>
          <w:p w14:paraId="62AC761C" w14:textId="77777777" w:rsidR="003F0DB8" w:rsidRDefault="00000000">
            <w:pPr>
              <w:spacing w:after="0" w:line="259" w:lineRule="auto"/>
              <w:ind w:left="0" w:firstLine="0"/>
            </w:pPr>
            <w:r>
              <w:rPr>
                <w:b/>
                <w:sz w:val="18"/>
              </w:rPr>
              <w:t xml:space="preserve">Identity and Access </w:t>
            </w:r>
          </w:p>
          <w:p w14:paraId="0D3BFE65" w14:textId="77777777" w:rsidR="003F0DB8" w:rsidRDefault="00000000">
            <w:pPr>
              <w:spacing w:after="0" w:line="259" w:lineRule="auto"/>
              <w:ind w:left="0" w:firstLine="0"/>
            </w:pPr>
            <w:r>
              <w:rPr>
                <w:b/>
                <w:sz w:val="18"/>
              </w:rPr>
              <w:t>Management</w:t>
            </w:r>
            <w:r>
              <w:rPr>
                <w:sz w:val="18"/>
              </w:rPr>
              <w:t xml:space="preserve"> </w:t>
            </w:r>
          </w:p>
        </w:tc>
        <w:tc>
          <w:tcPr>
            <w:tcW w:w="1400" w:type="dxa"/>
            <w:tcBorders>
              <w:top w:val="single" w:sz="2" w:space="0" w:color="FFFFFF"/>
              <w:left w:val="single" w:sz="3" w:space="0" w:color="000000"/>
              <w:bottom w:val="single" w:sz="3" w:space="0" w:color="000000"/>
              <w:right w:val="single" w:sz="3" w:space="0" w:color="000000"/>
            </w:tcBorders>
          </w:tcPr>
          <w:p w14:paraId="519B2396" w14:textId="77777777" w:rsidR="003F0DB8" w:rsidRDefault="00000000">
            <w:pPr>
              <w:spacing w:after="0" w:line="259" w:lineRule="auto"/>
              <w:ind w:left="1" w:firstLine="0"/>
            </w:pPr>
            <w:r>
              <w:rPr>
                <w:sz w:val="18"/>
              </w:rPr>
              <w:t xml:space="preserve">(1) Initial </w:t>
            </w:r>
          </w:p>
        </w:tc>
        <w:tc>
          <w:tcPr>
            <w:tcW w:w="1401" w:type="dxa"/>
            <w:tcBorders>
              <w:top w:val="single" w:sz="2" w:space="0" w:color="FFFFFF"/>
              <w:left w:val="single" w:sz="3" w:space="0" w:color="000000"/>
              <w:bottom w:val="single" w:sz="3" w:space="0" w:color="000000"/>
              <w:right w:val="single" w:sz="3" w:space="0" w:color="000000"/>
            </w:tcBorders>
          </w:tcPr>
          <w:p w14:paraId="47B1027D" w14:textId="77777777" w:rsidR="003F0DB8" w:rsidRDefault="00000000">
            <w:pPr>
              <w:spacing w:after="0" w:line="259" w:lineRule="auto"/>
              <w:ind w:left="1" w:firstLine="0"/>
            </w:pPr>
            <w:r>
              <w:rPr>
                <w:sz w:val="18"/>
              </w:rPr>
              <w:t xml:space="preserve">Defined </w:t>
            </w:r>
          </w:p>
        </w:tc>
        <w:tc>
          <w:tcPr>
            <w:tcW w:w="4158" w:type="dxa"/>
            <w:tcBorders>
              <w:top w:val="single" w:sz="2" w:space="0" w:color="FFFFFF"/>
              <w:left w:val="single" w:sz="3" w:space="0" w:color="000000"/>
              <w:bottom w:val="single" w:sz="3" w:space="0" w:color="000000"/>
              <w:right w:val="single" w:sz="3" w:space="0" w:color="000000"/>
            </w:tcBorders>
          </w:tcPr>
          <w:p w14:paraId="6CB95CCF" w14:textId="77777777" w:rsidR="003F0DB8" w:rsidRDefault="00000000">
            <w:pPr>
              <w:spacing w:after="0" w:line="259" w:lineRule="auto"/>
              <w:ind w:left="1" w:right="353" w:firstLine="0"/>
              <w:jc w:val="both"/>
            </w:pPr>
            <w:r>
              <w:rPr>
                <w:sz w:val="18"/>
              </w:rPr>
              <w:t xml:space="preserve">1,116 service principals holding 2,955 role assignments; 163 Classic Administrator grants persisting; only 30% of grants via groups </w:t>
            </w:r>
          </w:p>
        </w:tc>
      </w:tr>
      <w:tr w:rsidR="003F0DB8" w14:paraId="12DC78D3" w14:textId="77777777">
        <w:trPr>
          <w:trHeight w:val="808"/>
        </w:trPr>
        <w:tc>
          <w:tcPr>
            <w:tcW w:w="2400" w:type="dxa"/>
            <w:tcBorders>
              <w:top w:val="single" w:sz="3" w:space="0" w:color="000000"/>
              <w:left w:val="single" w:sz="3" w:space="0" w:color="000000"/>
              <w:bottom w:val="single" w:sz="2" w:space="0" w:color="FFFFFF"/>
              <w:right w:val="single" w:sz="3" w:space="0" w:color="000000"/>
            </w:tcBorders>
          </w:tcPr>
          <w:p w14:paraId="5B5EE468" w14:textId="77777777" w:rsidR="003F0DB8" w:rsidRDefault="00000000">
            <w:pPr>
              <w:spacing w:after="0" w:line="259" w:lineRule="auto"/>
              <w:ind w:left="0" w:firstLine="0"/>
            </w:pPr>
            <w:r>
              <w:rPr>
                <w:b/>
                <w:sz w:val="18"/>
              </w:rPr>
              <w:t>Network Security</w:t>
            </w:r>
            <w:r>
              <w:rPr>
                <w:sz w:val="18"/>
              </w:rPr>
              <w:t xml:space="preserve"> </w:t>
            </w:r>
          </w:p>
        </w:tc>
        <w:tc>
          <w:tcPr>
            <w:tcW w:w="1400" w:type="dxa"/>
            <w:tcBorders>
              <w:top w:val="single" w:sz="3" w:space="0" w:color="000000"/>
              <w:left w:val="single" w:sz="3" w:space="0" w:color="000000"/>
              <w:bottom w:val="single" w:sz="2" w:space="0" w:color="FFFFFF"/>
              <w:right w:val="single" w:sz="3" w:space="0" w:color="000000"/>
            </w:tcBorders>
          </w:tcPr>
          <w:p w14:paraId="626D5C6B" w14:textId="77777777" w:rsidR="003F0DB8" w:rsidRDefault="00000000">
            <w:pPr>
              <w:spacing w:after="0" w:line="259" w:lineRule="auto"/>
              <w:ind w:left="0" w:firstLine="0"/>
            </w:pPr>
            <w:r>
              <w:rPr>
                <w:sz w:val="18"/>
              </w:rPr>
              <w:t xml:space="preserve">(2) Developing </w:t>
            </w:r>
          </w:p>
        </w:tc>
        <w:tc>
          <w:tcPr>
            <w:tcW w:w="1401" w:type="dxa"/>
            <w:tcBorders>
              <w:top w:val="single" w:sz="3" w:space="0" w:color="000000"/>
              <w:left w:val="single" w:sz="3" w:space="0" w:color="000000"/>
              <w:bottom w:val="single" w:sz="2" w:space="0" w:color="FFFFFF"/>
              <w:right w:val="single" w:sz="3" w:space="0" w:color="000000"/>
            </w:tcBorders>
          </w:tcPr>
          <w:p w14:paraId="187F71A1" w14:textId="77777777" w:rsidR="003F0DB8" w:rsidRDefault="00000000">
            <w:pPr>
              <w:spacing w:after="0" w:line="259" w:lineRule="auto"/>
              <w:ind w:left="0" w:firstLine="0"/>
            </w:pPr>
            <w:r>
              <w:rPr>
                <w:sz w:val="18"/>
              </w:rPr>
              <w:t xml:space="preserve">Managed </w:t>
            </w:r>
          </w:p>
        </w:tc>
        <w:tc>
          <w:tcPr>
            <w:tcW w:w="4158" w:type="dxa"/>
            <w:tcBorders>
              <w:top w:val="single" w:sz="3" w:space="0" w:color="000000"/>
              <w:left w:val="single" w:sz="3" w:space="0" w:color="000000"/>
              <w:bottom w:val="single" w:sz="2" w:space="0" w:color="FFFFFF"/>
              <w:right w:val="single" w:sz="3" w:space="0" w:color="000000"/>
            </w:tcBorders>
          </w:tcPr>
          <w:p w14:paraId="6C36F185" w14:textId="77777777" w:rsidR="003F0DB8" w:rsidRDefault="00000000">
            <w:pPr>
              <w:spacing w:after="0" w:line="259" w:lineRule="auto"/>
              <w:ind w:left="0" w:firstLine="0"/>
            </w:pPr>
            <w:r>
              <w:rPr>
                <w:sz w:val="18"/>
              </w:rPr>
              <w:t xml:space="preserve">32% average NSG coverage across VNets; 34 isolated VNets outside the centrally governed hub; hub-and-spoke partially realised </w:t>
            </w:r>
          </w:p>
        </w:tc>
      </w:tr>
      <w:tr w:rsidR="003F0DB8" w14:paraId="4FD569DF" w14:textId="77777777">
        <w:trPr>
          <w:trHeight w:val="809"/>
        </w:trPr>
        <w:tc>
          <w:tcPr>
            <w:tcW w:w="2400" w:type="dxa"/>
            <w:tcBorders>
              <w:top w:val="single" w:sz="2" w:space="0" w:color="FFFFFF"/>
              <w:left w:val="single" w:sz="3" w:space="0" w:color="000000"/>
              <w:bottom w:val="single" w:sz="2" w:space="0" w:color="FFFFFF"/>
              <w:right w:val="single" w:sz="3" w:space="0" w:color="000000"/>
            </w:tcBorders>
          </w:tcPr>
          <w:p w14:paraId="2F13F3B8" w14:textId="77777777" w:rsidR="003F0DB8" w:rsidRDefault="00000000">
            <w:pPr>
              <w:spacing w:after="0" w:line="259" w:lineRule="auto"/>
              <w:ind w:left="0" w:firstLine="0"/>
            </w:pPr>
            <w:r>
              <w:rPr>
                <w:b/>
                <w:sz w:val="18"/>
              </w:rPr>
              <w:lastRenderedPageBreak/>
              <w:t>External Exposure</w:t>
            </w:r>
            <w:r>
              <w:rPr>
                <w:sz w:val="18"/>
              </w:rPr>
              <w:t xml:space="preserve"> </w:t>
            </w:r>
          </w:p>
        </w:tc>
        <w:tc>
          <w:tcPr>
            <w:tcW w:w="1400" w:type="dxa"/>
            <w:tcBorders>
              <w:top w:val="single" w:sz="2" w:space="0" w:color="FFFFFF"/>
              <w:left w:val="single" w:sz="3" w:space="0" w:color="000000"/>
              <w:bottom w:val="single" w:sz="2" w:space="0" w:color="FFFFFF"/>
              <w:right w:val="single" w:sz="3" w:space="0" w:color="000000"/>
            </w:tcBorders>
          </w:tcPr>
          <w:p w14:paraId="2B79B51C" w14:textId="77777777" w:rsidR="003F0DB8" w:rsidRDefault="00000000">
            <w:pPr>
              <w:spacing w:after="0" w:line="259" w:lineRule="auto"/>
              <w:ind w:left="0" w:firstLine="0"/>
            </w:pPr>
            <w:r>
              <w:rPr>
                <w:sz w:val="18"/>
              </w:rPr>
              <w:t xml:space="preserve">(2) Developing </w:t>
            </w:r>
          </w:p>
        </w:tc>
        <w:tc>
          <w:tcPr>
            <w:tcW w:w="1401" w:type="dxa"/>
            <w:tcBorders>
              <w:top w:val="single" w:sz="2" w:space="0" w:color="FFFFFF"/>
              <w:left w:val="single" w:sz="3" w:space="0" w:color="000000"/>
              <w:bottom w:val="single" w:sz="2" w:space="0" w:color="FFFFFF"/>
              <w:right w:val="single" w:sz="3" w:space="0" w:color="000000"/>
            </w:tcBorders>
          </w:tcPr>
          <w:p w14:paraId="7725AFC9" w14:textId="77777777" w:rsidR="003F0DB8" w:rsidRDefault="00000000">
            <w:pPr>
              <w:spacing w:after="0" w:line="259" w:lineRule="auto"/>
              <w:ind w:left="0" w:firstLine="0"/>
            </w:pPr>
            <w:r>
              <w:rPr>
                <w:sz w:val="18"/>
              </w:rPr>
              <w:t xml:space="preserve">Managed </w:t>
            </w:r>
          </w:p>
        </w:tc>
        <w:tc>
          <w:tcPr>
            <w:tcW w:w="4158" w:type="dxa"/>
            <w:tcBorders>
              <w:top w:val="single" w:sz="2" w:space="0" w:color="FFFFFF"/>
              <w:left w:val="single" w:sz="3" w:space="0" w:color="000000"/>
              <w:bottom w:val="single" w:sz="2" w:space="0" w:color="FFFFFF"/>
              <w:right w:val="single" w:sz="3" w:space="0" w:color="000000"/>
            </w:tcBorders>
          </w:tcPr>
          <w:p w14:paraId="7BD5B032" w14:textId="77777777" w:rsidR="003F0DB8" w:rsidRDefault="00000000">
            <w:pPr>
              <w:spacing w:after="0" w:line="259" w:lineRule="auto"/>
              <w:ind w:left="0" w:firstLine="0"/>
            </w:pPr>
            <w:r>
              <w:rPr>
                <w:sz w:val="18"/>
              </w:rPr>
              <w:t xml:space="preserve">Zero DDoS Standard protection across 40 Public IPs; 2 of 7 WAF policies in Detection mode; 5 unsupported Basic SKU Public IPs </w:t>
            </w:r>
          </w:p>
        </w:tc>
      </w:tr>
      <w:tr w:rsidR="003F0DB8" w14:paraId="7DFCD2F4" w14:textId="77777777">
        <w:trPr>
          <w:trHeight w:val="808"/>
        </w:trPr>
        <w:tc>
          <w:tcPr>
            <w:tcW w:w="2400" w:type="dxa"/>
            <w:tcBorders>
              <w:top w:val="single" w:sz="2" w:space="0" w:color="FFFFFF"/>
              <w:left w:val="single" w:sz="3" w:space="0" w:color="000000"/>
              <w:bottom w:val="single" w:sz="2" w:space="0" w:color="FFFFFF"/>
              <w:right w:val="single" w:sz="3" w:space="0" w:color="000000"/>
            </w:tcBorders>
          </w:tcPr>
          <w:p w14:paraId="494B65A8" w14:textId="77777777" w:rsidR="003F0DB8" w:rsidRDefault="00000000">
            <w:pPr>
              <w:spacing w:after="0" w:line="259" w:lineRule="auto"/>
              <w:ind w:left="0" w:firstLine="0"/>
            </w:pPr>
            <w:r>
              <w:rPr>
                <w:b/>
                <w:sz w:val="18"/>
              </w:rPr>
              <w:t xml:space="preserve">Secret and Key </w:t>
            </w:r>
          </w:p>
          <w:p w14:paraId="6C87A91B" w14:textId="77777777" w:rsidR="003F0DB8" w:rsidRDefault="00000000">
            <w:pPr>
              <w:spacing w:after="0" w:line="259" w:lineRule="auto"/>
              <w:ind w:left="0" w:firstLine="0"/>
            </w:pPr>
            <w:r>
              <w:rPr>
                <w:b/>
                <w:sz w:val="18"/>
              </w:rPr>
              <w:t>Management</w:t>
            </w:r>
            <w:r>
              <w:rPr>
                <w:sz w:val="18"/>
              </w:rPr>
              <w:t xml:space="preserve"> </w:t>
            </w:r>
          </w:p>
        </w:tc>
        <w:tc>
          <w:tcPr>
            <w:tcW w:w="1400" w:type="dxa"/>
            <w:tcBorders>
              <w:top w:val="single" w:sz="2" w:space="0" w:color="FFFFFF"/>
              <w:left w:val="single" w:sz="3" w:space="0" w:color="000000"/>
              <w:bottom w:val="single" w:sz="2" w:space="0" w:color="FFFFFF"/>
              <w:right w:val="single" w:sz="3" w:space="0" w:color="000000"/>
            </w:tcBorders>
          </w:tcPr>
          <w:p w14:paraId="2B6F712A" w14:textId="77777777" w:rsidR="003F0DB8" w:rsidRDefault="00000000">
            <w:pPr>
              <w:spacing w:after="0" w:line="259" w:lineRule="auto"/>
              <w:ind w:left="0" w:firstLine="0"/>
            </w:pPr>
            <w:r>
              <w:rPr>
                <w:sz w:val="18"/>
              </w:rPr>
              <w:t xml:space="preserve">(1) Initial </w:t>
            </w:r>
          </w:p>
        </w:tc>
        <w:tc>
          <w:tcPr>
            <w:tcW w:w="1401" w:type="dxa"/>
            <w:tcBorders>
              <w:top w:val="single" w:sz="2" w:space="0" w:color="FFFFFF"/>
              <w:left w:val="single" w:sz="3" w:space="0" w:color="000000"/>
              <w:bottom w:val="single" w:sz="2" w:space="0" w:color="FFFFFF"/>
              <w:right w:val="single" w:sz="3" w:space="0" w:color="000000"/>
            </w:tcBorders>
          </w:tcPr>
          <w:p w14:paraId="6D551193" w14:textId="77777777" w:rsidR="003F0DB8" w:rsidRDefault="00000000">
            <w:pPr>
              <w:spacing w:after="0" w:line="259" w:lineRule="auto"/>
              <w:ind w:left="0" w:firstLine="0"/>
            </w:pPr>
            <w:r>
              <w:rPr>
                <w:sz w:val="18"/>
              </w:rPr>
              <w:t xml:space="preserve">Managed </w:t>
            </w:r>
          </w:p>
        </w:tc>
        <w:tc>
          <w:tcPr>
            <w:tcW w:w="4158" w:type="dxa"/>
            <w:tcBorders>
              <w:top w:val="single" w:sz="2" w:space="0" w:color="FFFFFF"/>
              <w:left w:val="single" w:sz="3" w:space="0" w:color="000000"/>
              <w:bottom w:val="single" w:sz="2" w:space="0" w:color="FFFFFF"/>
              <w:right w:val="single" w:sz="3" w:space="0" w:color="000000"/>
            </w:tcBorders>
          </w:tcPr>
          <w:p w14:paraId="739032E1" w14:textId="77777777" w:rsidR="003F0DB8" w:rsidRDefault="00000000">
            <w:pPr>
              <w:spacing w:after="0" w:line="259" w:lineRule="auto"/>
              <w:ind w:left="0" w:right="564" w:firstLine="0"/>
              <w:jc w:val="both"/>
            </w:pPr>
            <w:r>
              <w:rPr>
                <w:sz w:val="18"/>
              </w:rPr>
              <w:t xml:space="preserve">107 of 118 Key Vaults allow public network access; 86 still on legacy Access Policies; 66 without Purge Protection </w:t>
            </w:r>
          </w:p>
        </w:tc>
      </w:tr>
      <w:tr w:rsidR="003F0DB8" w14:paraId="733CFF66" w14:textId="77777777">
        <w:trPr>
          <w:trHeight w:val="808"/>
        </w:trPr>
        <w:tc>
          <w:tcPr>
            <w:tcW w:w="2400" w:type="dxa"/>
            <w:tcBorders>
              <w:top w:val="single" w:sz="2" w:space="0" w:color="FFFFFF"/>
              <w:left w:val="single" w:sz="3" w:space="0" w:color="000000"/>
              <w:bottom w:val="single" w:sz="2" w:space="0" w:color="FFFFFF"/>
              <w:right w:val="single" w:sz="3" w:space="0" w:color="000000"/>
            </w:tcBorders>
          </w:tcPr>
          <w:p w14:paraId="6735C629" w14:textId="77777777" w:rsidR="003F0DB8" w:rsidRDefault="00000000">
            <w:pPr>
              <w:spacing w:after="0" w:line="259" w:lineRule="auto"/>
              <w:ind w:left="0" w:firstLine="0"/>
            </w:pPr>
            <w:r>
              <w:rPr>
                <w:b/>
                <w:sz w:val="18"/>
              </w:rPr>
              <w:t>Data Services</w:t>
            </w:r>
            <w:r>
              <w:rPr>
                <w:sz w:val="18"/>
              </w:rPr>
              <w:t xml:space="preserve"> </w:t>
            </w:r>
          </w:p>
        </w:tc>
        <w:tc>
          <w:tcPr>
            <w:tcW w:w="1400" w:type="dxa"/>
            <w:tcBorders>
              <w:top w:val="single" w:sz="2" w:space="0" w:color="FFFFFF"/>
              <w:left w:val="single" w:sz="3" w:space="0" w:color="000000"/>
              <w:bottom w:val="single" w:sz="2" w:space="0" w:color="FFFFFF"/>
              <w:right w:val="single" w:sz="3" w:space="0" w:color="000000"/>
            </w:tcBorders>
          </w:tcPr>
          <w:p w14:paraId="150005EA" w14:textId="77777777" w:rsidR="003F0DB8" w:rsidRDefault="00000000">
            <w:pPr>
              <w:spacing w:after="0" w:line="259" w:lineRule="auto"/>
              <w:ind w:left="0" w:firstLine="0"/>
            </w:pPr>
            <w:r>
              <w:rPr>
                <w:sz w:val="18"/>
              </w:rPr>
              <w:t xml:space="preserve">(2) Developing </w:t>
            </w:r>
          </w:p>
        </w:tc>
        <w:tc>
          <w:tcPr>
            <w:tcW w:w="1401" w:type="dxa"/>
            <w:tcBorders>
              <w:top w:val="single" w:sz="2" w:space="0" w:color="FFFFFF"/>
              <w:left w:val="single" w:sz="3" w:space="0" w:color="000000"/>
              <w:bottom w:val="single" w:sz="2" w:space="0" w:color="FFFFFF"/>
              <w:right w:val="single" w:sz="3" w:space="0" w:color="000000"/>
            </w:tcBorders>
          </w:tcPr>
          <w:p w14:paraId="3CEF8E84" w14:textId="77777777" w:rsidR="003F0DB8" w:rsidRDefault="00000000">
            <w:pPr>
              <w:spacing w:after="0" w:line="259" w:lineRule="auto"/>
              <w:ind w:left="0" w:firstLine="0"/>
            </w:pPr>
            <w:r>
              <w:rPr>
                <w:sz w:val="18"/>
              </w:rPr>
              <w:t xml:space="preserve">Defined </w:t>
            </w:r>
          </w:p>
        </w:tc>
        <w:tc>
          <w:tcPr>
            <w:tcW w:w="4158" w:type="dxa"/>
            <w:tcBorders>
              <w:top w:val="single" w:sz="2" w:space="0" w:color="FFFFFF"/>
              <w:left w:val="single" w:sz="3" w:space="0" w:color="000000"/>
              <w:bottom w:val="single" w:sz="2" w:space="0" w:color="FFFFFF"/>
              <w:right w:val="single" w:sz="3" w:space="0" w:color="000000"/>
            </w:tcBorders>
          </w:tcPr>
          <w:p w14:paraId="4D3B33BF" w14:textId="77777777" w:rsidR="003F0DB8" w:rsidRDefault="00000000">
            <w:pPr>
              <w:spacing w:after="0" w:line="259" w:lineRule="auto"/>
              <w:ind w:left="0" w:firstLine="0"/>
            </w:pPr>
            <w:r>
              <w:rPr>
                <w:sz w:val="18"/>
              </w:rPr>
              <w:t xml:space="preserve">7 SQL Servers running on Virtual Machines; 32 data services with public network access; database-level tag coverage sparse </w:t>
            </w:r>
          </w:p>
        </w:tc>
      </w:tr>
      <w:tr w:rsidR="003F0DB8" w14:paraId="0FD5DAA9" w14:textId="77777777">
        <w:trPr>
          <w:trHeight w:val="812"/>
        </w:trPr>
        <w:tc>
          <w:tcPr>
            <w:tcW w:w="2400" w:type="dxa"/>
            <w:tcBorders>
              <w:top w:val="single" w:sz="2" w:space="0" w:color="FFFFFF"/>
              <w:left w:val="single" w:sz="3" w:space="0" w:color="000000"/>
              <w:bottom w:val="single" w:sz="3" w:space="0" w:color="000000"/>
              <w:right w:val="single" w:sz="3" w:space="0" w:color="000000"/>
            </w:tcBorders>
          </w:tcPr>
          <w:p w14:paraId="061EE42B" w14:textId="77777777" w:rsidR="003F0DB8" w:rsidRDefault="00000000">
            <w:pPr>
              <w:spacing w:after="0" w:line="259" w:lineRule="auto"/>
              <w:ind w:left="0" w:firstLine="0"/>
            </w:pPr>
            <w:r>
              <w:rPr>
                <w:b/>
                <w:sz w:val="18"/>
              </w:rPr>
              <w:t>Compute</w:t>
            </w:r>
            <w:r>
              <w:rPr>
                <w:sz w:val="18"/>
              </w:rPr>
              <w:t xml:space="preserve"> </w:t>
            </w:r>
          </w:p>
        </w:tc>
        <w:tc>
          <w:tcPr>
            <w:tcW w:w="1400" w:type="dxa"/>
            <w:tcBorders>
              <w:top w:val="single" w:sz="2" w:space="0" w:color="FFFFFF"/>
              <w:left w:val="single" w:sz="3" w:space="0" w:color="000000"/>
              <w:bottom w:val="single" w:sz="3" w:space="0" w:color="000000"/>
              <w:right w:val="single" w:sz="3" w:space="0" w:color="000000"/>
            </w:tcBorders>
          </w:tcPr>
          <w:p w14:paraId="6A23FFB0" w14:textId="77777777" w:rsidR="003F0DB8" w:rsidRDefault="00000000">
            <w:pPr>
              <w:spacing w:after="0" w:line="259" w:lineRule="auto"/>
              <w:ind w:left="0" w:firstLine="0"/>
            </w:pPr>
            <w:r>
              <w:rPr>
                <w:sz w:val="18"/>
              </w:rPr>
              <w:t xml:space="preserve">(3) Defined </w:t>
            </w:r>
          </w:p>
        </w:tc>
        <w:tc>
          <w:tcPr>
            <w:tcW w:w="1401" w:type="dxa"/>
            <w:tcBorders>
              <w:top w:val="single" w:sz="2" w:space="0" w:color="FFFFFF"/>
              <w:left w:val="single" w:sz="3" w:space="0" w:color="000000"/>
              <w:bottom w:val="single" w:sz="3" w:space="0" w:color="000000"/>
              <w:right w:val="single" w:sz="3" w:space="0" w:color="000000"/>
            </w:tcBorders>
          </w:tcPr>
          <w:p w14:paraId="0214FA61" w14:textId="77777777" w:rsidR="003F0DB8" w:rsidRDefault="00000000">
            <w:pPr>
              <w:spacing w:after="0" w:line="259" w:lineRule="auto"/>
              <w:ind w:left="0" w:firstLine="0"/>
            </w:pPr>
            <w:r>
              <w:rPr>
                <w:sz w:val="18"/>
              </w:rPr>
              <w:t xml:space="preserve">Managed </w:t>
            </w:r>
          </w:p>
        </w:tc>
        <w:tc>
          <w:tcPr>
            <w:tcW w:w="4158" w:type="dxa"/>
            <w:tcBorders>
              <w:top w:val="single" w:sz="2" w:space="0" w:color="FFFFFF"/>
              <w:left w:val="single" w:sz="3" w:space="0" w:color="000000"/>
              <w:bottom w:val="single" w:sz="3" w:space="0" w:color="000000"/>
              <w:right w:val="single" w:sz="3" w:space="0" w:color="000000"/>
            </w:tcBorders>
          </w:tcPr>
          <w:p w14:paraId="79D5FCE1" w14:textId="77777777" w:rsidR="003F0DB8" w:rsidRDefault="00000000">
            <w:pPr>
              <w:spacing w:after="0" w:line="239" w:lineRule="auto"/>
              <w:ind w:left="0" w:firstLine="0"/>
            </w:pPr>
            <w:r>
              <w:rPr>
                <w:sz w:val="18"/>
              </w:rPr>
              <w:t xml:space="preserve">100% OS disk encryption; 55 legacy SKU VMs awaiting modernisation; 154 of 194 VMs with </w:t>
            </w:r>
          </w:p>
          <w:p w14:paraId="215332F0" w14:textId="77777777" w:rsidR="003F0DB8" w:rsidRDefault="00000000">
            <w:pPr>
              <w:spacing w:after="0" w:line="259" w:lineRule="auto"/>
              <w:ind w:left="0" w:firstLine="0"/>
            </w:pPr>
            <w:r>
              <w:rPr>
                <w:sz w:val="18"/>
              </w:rPr>
              <w:t xml:space="preserve">VMTier = Unknown </w:t>
            </w:r>
          </w:p>
        </w:tc>
      </w:tr>
      <w:tr w:rsidR="003F0DB8" w14:paraId="1547A019" w14:textId="77777777">
        <w:trPr>
          <w:trHeight w:val="808"/>
        </w:trPr>
        <w:tc>
          <w:tcPr>
            <w:tcW w:w="2400" w:type="dxa"/>
            <w:tcBorders>
              <w:top w:val="single" w:sz="3" w:space="0" w:color="000000"/>
              <w:left w:val="single" w:sz="3" w:space="0" w:color="000000"/>
              <w:bottom w:val="single" w:sz="3" w:space="0" w:color="000000"/>
              <w:right w:val="single" w:sz="3" w:space="0" w:color="000000"/>
            </w:tcBorders>
          </w:tcPr>
          <w:p w14:paraId="1A324516" w14:textId="77777777" w:rsidR="003F0DB8" w:rsidRDefault="00000000">
            <w:pPr>
              <w:spacing w:after="0" w:line="259" w:lineRule="auto"/>
              <w:ind w:left="0" w:firstLine="0"/>
            </w:pPr>
            <w:r>
              <w:rPr>
                <w:b/>
                <w:sz w:val="18"/>
              </w:rPr>
              <w:t>Application Services</w:t>
            </w:r>
            <w:r>
              <w:rPr>
                <w:sz w:val="18"/>
              </w:rPr>
              <w:t xml:space="preserve"> </w:t>
            </w:r>
          </w:p>
        </w:tc>
        <w:tc>
          <w:tcPr>
            <w:tcW w:w="1400" w:type="dxa"/>
            <w:tcBorders>
              <w:top w:val="single" w:sz="3" w:space="0" w:color="000000"/>
              <w:left w:val="single" w:sz="3" w:space="0" w:color="000000"/>
              <w:bottom w:val="single" w:sz="3" w:space="0" w:color="000000"/>
              <w:right w:val="single" w:sz="3" w:space="0" w:color="000000"/>
            </w:tcBorders>
          </w:tcPr>
          <w:p w14:paraId="15911F9B" w14:textId="77777777" w:rsidR="003F0DB8" w:rsidRDefault="00000000">
            <w:pPr>
              <w:spacing w:after="0" w:line="259" w:lineRule="auto"/>
              <w:ind w:left="0" w:firstLine="0"/>
            </w:pPr>
            <w:r>
              <w:rPr>
                <w:sz w:val="18"/>
              </w:rPr>
              <w:t xml:space="preserve">(1) Initial </w:t>
            </w:r>
          </w:p>
        </w:tc>
        <w:tc>
          <w:tcPr>
            <w:tcW w:w="1401" w:type="dxa"/>
            <w:tcBorders>
              <w:top w:val="single" w:sz="3" w:space="0" w:color="000000"/>
              <w:left w:val="single" w:sz="3" w:space="0" w:color="000000"/>
              <w:bottom w:val="single" w:sz="3" w:space="0" w:color="000000"/>
              <w:right w:val="single" w:sz="3" w:space="0" w:color="000000"/>
            </w:tcBorders>
          </w:tcPr>
          <w:p w14:paraId="7B764323" w14:textId="77777777" w:rsidR="003F0DB8" w:rsidRDefault="00000000">
            <w:pPr>
              <w:spacing w:after="0" w:line="259" w:lineRule="auto"/>
              <w:ind w:left="0" w:firstLine="0"/>
            </w:pPr>
            <w:r>
              <w:rPr>
                <w:sz w:val="18"/>
              </w:rPr>
              <w:t xml:space="preserve">Defined </w:t>
            </w:r>
          </w:p>
        </w:tc>
        <w:tc>
          <w:tcPr>
            <w:tcW w:w="4158" w:type="dxa"/>
            <w:tcBorders>
              <w:top w:val="single" w:sz="3" w:space="0" w:color="000000"/>
              <w:left w:val="single" w:sz="3" w:space="0" w:color="000000"/>
              <w:bottom w:val="single" w:sz="3" w:space="0" w:color="000000"/>
              <w:right w:val="single" w:sz="3" w:space="0" w:color="000000"/>
            </w:tcBorders>
          </w:tcPr>
          <w:p w14:paraId="02FAA103" w14:textId="77777777" w:rsidR="003F0DB8" w:rsidRDefault="00000000">
            <w:pPr>
              <w:spacing w:after="0" w:line="259" w:lineRule="auto"/>
              <w:ind w:left="0" w:firstLine="0"/>
            </w:pPr>
            <w:r>
              <w:rPr>
                <w:sz w:val="18"/>
              </w:rPr>
              <w:t xml:space="preserve">All 12 APIM instances allow public access; 0 of </w:t>
            </w:r>
          </w:p>
          <w:p w14:paraId="63FF96FA" w14:textId="77777777" w:rsidR="003F0DB8" w:rsidRDefault="00000000">
            <w:pPr>
              <w:spacing w:after="0" w:line="259" w:lineRule="auto"/>
              <w:ind w:left="0" w:firstLine="0"/>
            </w:pPr>
            <w:r>
              <w:rPr>
                <w:sz w:val="18"/>
              </w:rPr>
              <w:t xml:space="preserve">161 Function Apps enforce authentication; 6 </w:t>
            </w:r>
          </w:p>
          <w:p w14:paraId="5F4FD913" w14:textId="77777777" w:rsidR="003F0DB8" w:rsidRDefault="00000000">
            <w:pPr>
              <w:spacing w:after="0" w:line="259" w:lineRule="auto"/>
              <w:ind w:left="0" w:firstLine="0"/>
            </w:pPr>
            <w:r>
              <w:rPr>
                <w:sz w:val="18"/>
              </w:rPr>
              <w:t xml:space="preserve">Developer SKU APIM instances in non-trial use </w:t>
            </w:r>
          </w:p>
        </w:tc>
      </w:tr>
      <w:tr w:rsidR="003F0DB8" w14:paraId="13C03C68" w14:textId="77777777">
        <w:trPr>
          <w:trHeight w:val="808"/>
        </w:trPr>
        <w:tc>
          <w:tcPr>
            <w:tcW w:w="2400" w:type="dxa"/>
            <w:tcBorders>
              <w:top w:val="single" w:sz="3" w:space="0" w:color="000000"/>
              <w:left w:val="single" w:sz="3" w:space="0" w:color="000000"/>
              <w:bottom w:val="single" w:sz="2" w:space="0" w:color="FFFFFF"/>
              <w:right w:val="single" w:sz="3" w:space="0" w:color="000000"/>
            </w:tcBorders>
          </w:tcPr>
          <w:p w14:paraId="77D58BA9" w14:textId="77777777" w:rsidR="003F0DB8" w:rsidRDefault="00000000">
            <w:pPr>
              <w:spacing w:after="0" w:line="259" w:lineRule="auto"/>
              <w:ind w:left="0" w:firstLine="0"/>
            </w:pPr>
            <w:r>
              <w:rPr>
                <w:b/>
                <w:sz w:val="18"/>
              </w:rPr>
              <w:t>Storage</w:t>
            </w:r>
            <w:r>
              <w:rPr>
                <w:sz w:val="18"/>
              </w:rPr>
              <w:t xml:space="preserve"> </w:t>
            </w:r>
          </w:p>
        </w:tc>
        <w:tc>
          <w:tcPr>
            <w:tcW w:w="1400" w:type="dxa"/>
            <w:tcBorders>
              <w:top w:val="single" w:sz="3" w:space="0" w:color="000000"/>
              <w:left w:val="single" w:sz="3" w:space="0" w:color="000000"/>
              <w:bottom w:val="single" w:sz="2" w:space="0" w:color="FFFFFF"/>
              <w:right w:val="single" w:sz="3" w:space="0" w:color="000000"/>
            </w:tcBorders>
          </w:tcPr>
          <w:p w14:paraId="565BD585" w14:textId="77777777" w:rsidR="003F0DB8" w:rsidRDefault="00000000">
            <w:pPr>
              <w:spacing w:after="0" w:line="259" w:lineRule="auto"/>
              <w:ind w:left="0" w:firstLine="0"/>
            </w:pPr>
            <w:r>
              <w:rPr>
                <w:sz w:val="18"/>
              </w:rPr>
              <w:t xml:space="preserve">(2) Developing </w:t>
            </w:r>
          </w:p>
        </w:tc>
        <w:tc>
          <w:tcPr>
            <w:tcW w:w="1401" w:type="dxa"/>
            <w:tcBorders>
              <w:top w:val="single" w:sz="3" w:space="0" w:color="000000"/>
              <w:left w:val="single" w:sz="3" w:space="0" w:color="000000"/>
              <w:bottom w:val="single" w:sz="2" w:space="0" w:color="FFFFFF"/>
              <w:right w:val="single" w:sz="3" w:space="0" w:color="000000"/>
            </w:tcBorders>
          </w:tcPr>
          <w:p w14:paraId="1C1B245D" w14:textId="77777777" w:rsidR="003F0DB8" w:rsidRDefault="00000000">
            <w:pPr>
              <w:spacing w:after="0" w:line="259" w:lineRule="auto"/>
              <w:ind w:left="0" w:firstLine="0"/>
            </w:pPr>
            <w:r>
              <w:rPr>
                <w:sz w:val="18"/>
              </w:rPr>
              <w:t xml:space="preserve">Managed </w:t>
            </w:r>
          </w:p>
        </w:tc>
        <w:tc>
          <w:tcPr>
            <w:tcW w:w="4158" w:type="dxa"/>
            <w:tcBorders>
              <w:top w:val="single" w:sz="3" w:space="0" w:color="000000"/>
              <w:left w:val="single" w:sz="3" w:space="0" w:color="000000"/>
              <w:bottom w:val="single" w:sz="2" w:space="0" w:color="FFFFFF"/>
              <w:right w:val="single" w:sz="3" w:space="0" w:color="000000"/>
            </w:tcBorders>
          </w:tcPr>
          <w:p w14:paraId="584EBD7B" w14:textId="77777777" w:rsidR="003F0DB8" w:rsidRDefault="00000000">
            <w:pPr>
              <w:spacing w:after="0" w:line="239" w:lineRule="auto"/>
              <w:ind w:left="0" w:firstLine="0"/>
            </w:pPr>
            <w:r>
              <w:rPr>
                <w:sz w:val="18"/>
              </w:rPr>
              <w:t xml:space="preserve">70.4% of accounts allow shared-key authentication; 58% allow public network access; </w:t>
            </w:r>
          </w:p>
          <w:p w14:paraId="5FC7EC47" w14:textId="77777777" w:rsidR="003F0DB8" w:rsidRDefault="00000000">
            <w:pPr>
              <w:spacing w:after="0" w:line="259" w:lineRule="auto"/>
              <w:ind w:left="0" w:firstLine="0"/>
            </w:pPr>
            <w:r>
              <w:rPr>
                <w:sz w:val="18"/>
              </w:rPr>
              <w:t xml:space="preserve">17.1% allow anonymous blob access </w:t>
            </w:r>
          </w:p>
        </w:tc>
      </w:tr>
      <w:tr w:rsidR="003F0DB8" w14:paraId="1587F386" w14:textId="77777777">
        <w:trPr>
          <w:trHeight w:val="1042"/>
        </w:trPr>
        <w:tc>
          <w:tcPr>
            <w:tcW w:w="2400" w:type="dxa"/>
            <w:tcBorders>
              <w:top w:val="single" w:sz="2" w:space="0" w:color="FFFFFF"/>
              <w:left w:val="single" w:sz="3" w:space="0" w:color="000000"/>
              <w:bottom w:val="single" w:sz="3" w:space="0" w:color="000000"/>
              <w:right w:val="single" w:sz="3" w:space="0" w:color="000000"/>
            </w:tcBorders>
          </w:tcPr>
          <w:p w14:paraId="50DA28BD" w14:textId="77777777" w:rsidR="003F0DB8" w:rsidRDefault="00000000">
            <w:pPr>
              <w:spacing w:after="0" w:line="259" w:lineRule="auto"/>
              <w:ind w:left="0" w:firstLine="0"/>
            </w:pPr>
            <w:r>
              <w:rPr>
                <w:b/>
                <w:sz w:val="18"/>
              </w:rPr>
              <w:t>Operations and Backup</w:t>
            </w:r>
            <w:r>
              <w:rPr>
                <w:sz w:val="18"/>
              </w:rPr>
              <w:t xml:space="preserve"> </w:t>
            </w:r>
          </w:p>
        </w:tc>
        <w:tc>
          <w:tcPr>
            <w:tcW w:w="1400" w:type="dxa"/>
            <w:tcBorders>
              <w:top w:val="single" w:sz="2" w:space="0" w:color="FFFFFF"/>
              <w:left w:val="single" w:sz="3" w:space="0" w:color="000000"/>
              <w:bottom w:val="single" w:sz="3" w:space="0" w:color="000000"/>
              <w:right w:val="single" w:sz="3" w:space="0" w:color="000000"/>
            </w:tcBorders>
          </w:tcPr>
          <w:p w14:paraId="5C59B506" w14:textId="77777777" w:rsidR="003F0DB8" w:rsidRDefault="00000000">
            <w:pPr>
              <w:spacing w:after="0" w:line="259" w:lineRule="auto"/>
              <w:ind w:left="0" w:firstLine="0"/>
            </w:pPr>
            <w:r>
              <w:rPr>
                <w:sz w:val="18"/>
              </w:rPr>
              <w:t xml:space="preserve">(2) Developing </w:t>
            </w:r>
          </w:p>
        </w:tc>
        <w:tc>
          <w:tcPr>
            <w:tcW w:w="1401" w:type="dxa"/>
            <w:tcBorders>
              <w:top w:val="single" w:sz="2" w:space="0" w:color="FFFFFF"/>
              <w:left w:val="single" w:sz="3" w:space="0" w:color="000000"/>
              <w:bottom w:val="single" w:sz="3" w:space="0" w:color="000000"/>
              <w:right w:val="single" w:sz="3" w:space="0" w:color="000000"/>
            </w:tcBorders>
          </w:tcPr>
          <w:p w14:paraId="78828343" w14:textId="77777777" w:rsidR="003F0DB8" w:rsidRDefault="00000000">
            <w:pPr>
              <w:spacing w:after="0" w:line="259" w:lineRule="auto"/>
              <w:ind w:left="0" w:firstLine="0"/>
            </w:pPr>
            <w:r>
              <w:rPr>
                <w:sz w:val="18"/>
              </w:rPr>
              <w:t xml:space="preserve">Managed </w:t>
            </w:r>
          </w:p>
        </w:tc>
        <w:tc>
          <w:tcPr>
            <w:tcW w:w="4158" w:type="dxa"/>
            <w:tcBorders>
              <w:top w:val="single" w:sz="2" w:space="0" w:color="FFFFFF"/>
              <w:left w:val="single" w:sz="3" w:space="0" w:color="000000"/>
              <w:bottom w:val="single" w:sz="3" w:space="0" w:color="000000"/>
              <w:right w:val="single" w:sz="3" w:space="0" w:color="000000"/>
            </w:tcBorders>
          </w:tcPr>
          <w:p w14:paraId="41F2AA9C" w14:textId="77777777" w:rsidR="003F0DB8" w:rsidRDefault="00000000">
            <w:pPr>
              <w:spacing w:after="0" w:line="259" w:lineRule="auto"/>
              <w:ind w:left="0" w:firstLine="0"/>
            </w:pPr>
            <w:r>
              <w:rPr>
                <w:sz w:val="18"/>
              </w:rPr>
              <w:t xml:space="preserve">547 alert rules and 110 action groups deployed but zero ITSM integration; Cross-Region Restore disabled on all 20 RSVs; 41% of backup items not actively protected </w:t>
            </w:r>
          </w:p>
        </w:tc>
      </w:tr>
    </w:tbl>
    <w:p w14:paraId="1B960EC9" w14:textId="77777777" w:rsidR="003F0DB8" w:rsidRDefault="00000000">
      <w:pPr>
        <w:spacing w:after="0" w:line="259" w:lineRule="auto"/>
        <w:ind w:left="0" w:firstLine="0"/>
        <w:jc w:val="both"/>
      </w:pPr>
      <w:r>
        <w:rPr>
          <w:sz w:val="24"/>
        </w:rPr>
        <w:t xml:space="preserve"> </w:t>
      </w:r>
      <w:r>
        <w:rPr>
          <w:sz w:val="24"/>
        </w:rPr>
        <w:tab/>
      </w:r>
      <w:r>
        <w:rPr>
          <w:b/>
          <w:sz w:val="32"/>
        </w:rPr>
        <w:t xml:space="preserve"> </w:t>
      </w:r>
    </w:p>
    <w:p w14:paraId="66C1E3D9" w14:textId="77777777" w:rsidR="003F0DB8" w:rsidRDefault="00000000">
      <w:pPr>
        <w:pStyle w:val="Heading1"/>
        <w:spacing w:after="86"/>
        <w:ind w:left="-5"/>
      </w:pPr>
      <w:bookmarkStart w:id="10" w:name="_Toc96792"/>
      <w:r>
        <w:rPr>
          <w:sz w:val="32"/>
        </w:rPr>
        <w:lastRenderedPageBreak/>
        <w:t xml:space="preserve">Cloud Strategy Analysis </w:t>
      </w:r>
      <w:bookmarkEnd w:id="10"/>
    </w:p>
    <w:p w14:paraId="374EE9D4" w14:textId="77777777" w:rsidR="003F0DB8" w:rsidRDefault="00000000">
      <w:pPr>
        <w:pStyle w:val="Heading1"/>
        <w:spacing w:after="0"/>
        <w:ind w:left="-5"/>
      </w:pPr>
      <w:bookmarkStart w:id="11" w:name="_Toc96793"/>
      <w:r>
        <w:t xml:space="preserve">Organisational Context </w:t>
      </w:r>
      <w:bookmarkEnd w:id="11"/>
    </w:p>
    <w:p w14:paraId="696D365E" w14:textId="77777777" w:rsidR="003F0DB8" w:rsidRDefault="00000000">
      <w:pPr>
        <w:spacing w:after="0" w:line="259" w:lineRule="auto"/>
        <w:ind w:left="-1" w:right="4011" w:firstLine="0"/>
        <w:jc w:val="center"/>
      </w:pPr>
      <w:r>
        <w:rPr>
          <w:noProof/>
        </w:rPr>
        <w:drawing>
          <wp:inline distT="0" distB="0" distL="0" distR="0" wp14:anchorId="3ECF3FAD" wp14:editId="2FCA95D5">
            <wp:extent cx="6203950" cy="3689350"/>
            <wp:effectExtent l="0" t="0" r="0" b="0"/>
            <wp:docPr id="2196" name="Picture 2196"/>
            <wp:cNvGraphicFramePr/>
            <a:graphic xmlns:a="http://schemas.openxmlformats.org/drawingml/2006/main">
              <a:graphicData uri="http://schemas.openxmlformats.org/drawingml/2006/picture">
                <pic:pic xmlns:pic="http://schemas.openxmlformats.org/drawingml/2006/picture">
                  <pic:nvPicPr>
                    <pic:cNvPr id="2196" name="Picture 2196"/>
                    <pic:cNvPicPr/>
                  </pic:nvPicPr>
                  <pic:blipFill>
                    <a:blip r:embed="rId8"/>
                    <a:stretch>
                      <a:fillRect/>
                    </a:stretch>
                  </pic:blipFill>
                  <pic:spPr>
                    <a:xfrm>
                      <a:off x="0" y="0"/>
                      <a:ext cx="6203950" cy="3689350"/>
                    </a:xfrm>
                    <a:prstGeom prst="rect">
                      <a:avLst/>
                    </a:prstGeom>
                  </pic:spPr>
                </pic:pic>
              </a:graphicData>
            </a:graphic>
          </wp:inline>
        </w:drawing>
      </w:r>
      <w:r>
        <w:rPr>
          <w:sz w:val="24"/>
        </w:rPr>
        <w:t xml:space="preserve"> </w:t>
      </w:r>
    </w:p>
    <w:p w14:paraId="1DCB9183" w14:textId="77777777" w:rsidR="003F0DB8" w:rsidRDefault="00000000">
      <w:pPr>
        <w:spacing w:after="123"/>
        <w:ind w:left="0" w:right="5" w:firstLine="0"/>
      </w:pPr>
      <w:r>
        <w:t xml:space="preserve">CQC is under pressure from several directions at once: previous transformation failure, an inspection backlog, ageing systems, delivery friction, workforce strain, and scrutiny of its regulatory effectiveness. The cloud estate sits inside that problem. Where systems are hard to change, hard to monitor, weakly owned or inconsistently governed, they add drag to an organisation that already has little headroom. </w:t>
      </w:r>
    </w:p>
    <w:p w14:paraId="259A0E81" w14:textId="77777777" w:rsidR="003F0DB8" w:rsidRDefault="00000000">
      <w:pPr>
        <w:spacing w:after="175"/>
        <w:ind w:left="0" w:right="5" w:firstLine="0"/>
      </w:pPr>
      <w:r>
        <w:t xml:space="preserve">The issue is therefore not platform modernisation alone. It is whether CQC can improve the speed, consistency and confidence of regulation while supporting inspectors and operational teams. That depends as much on the operating model as on the technology. Workshops returned repeatedly to the same gaps: </w:t>
      </w:r>
    </w:p>
    <w:p w14:paraId="222B4262" w14:textId="77777777" w:rsidR="003F0DB8" w:rsidRDefault="00000000">
      <w:pPr>
        <w:numPr>
          <w:ilvl w:val="0"/>
          <w:numId w:val="2"/>
        </w:numPr>
        <w:ind w:right="5" w:hanging="284"/>
      </w:pPr>
      <w:r>
        <w:t xml:space="preserve">Service ownership and accountability </w:t>
      </w:r>
    </w:p>
    <w:p w14:paraId="709E6312" w14:textId="77777777" w:rsidR="003F0DB8" w:rsidRDefault="00000000">
      <w:pPr>
        <w:numPr>
          <w:ilvl w:val="0"/>
          <w:numId w:val="2"/>
        </w:numPr>
        <w:ind w:right="5" w:hanging="284"/>
      </w:pPr>
      <w:r>
        <w:t xml:space="preserve">Approval routes and escalation paths </w:t>
      </w:r>
    </w:p>
    <w:p w14:paraId="074B8F98" w14:textId="77777777" w:rsidR="003F0DB8" w:rsidRDefault="00000000">
      <w:pPr>
        <w:numPr>
          <w:ilvl w:val="0"/>
          <w:numId w:val="2"/>
        </w:numPr>
        <w:ind w:right="5" w:hanging="284"/>
      </w:pPr>
      <w:r>
        <w:t xml:space="preserve">Support readiness and operational handoffs </w:t>
      </w:r>
    </w:p>
    <w:p w14:paraId="78D07CFA" w14:textId="77777777" w:rsidR="003F0DB8" w:rsidRDefault="00000000">
      <w:pPr>
        <w:numPr>
          <w:ilvl w:val="0"/>
          <w:numId w:val="2"/>
        </w:numPr>
        <w:spacing w:after="34"/>
        <w:ind w:right="5" w:hanging="284"/>
      </w:pPr>
      <w:r>
        <w:t xml:space="preserve">Decision-making authority </w:t>
      </w:r>
    </w:p>
    <w:p w14:paraId="71577CF3" w14:textId="77777777" w:rsidR="003F0DB8" w:rsidRDefault="00000000">
      <w:pPr>
        <w:spacing w:after="180"/>
        <w:ind w:left="0" w:right="5" w:firstLine="0"/>
      </w:pPr>
      <w:r>
        <w:t xml:space="preserve">Two points shape the rest of this analysis: </w:t>
      </w:r>
    </w:p>
    <w:p w14:paraId="4461797A" w14:textId="77777777" w:rsidR="003F0DB8" w:rsidRDefault="00000000">
      <w:pPr>
        <w:numPr>
          <w:ilvl w:val="0"/>
          <w:numId w:val="2"/>
        </w:numPr>
        <w:spacing w:after="46"/>
        <w:ind w:right="5" w:hanging="284"/>
      </w:pPr>
      <w:r>
        <w:rPr>
          <w:b/>
        </w:rPr>
        <w:lastRenderedPageBreak/>
        <w:t>Transition, not destination.</w:t>
      </w:r>
      <w:r>
        <w:t xml:space="preserve"> Newer cloud patterns are emerging, but the legacy estate remains harder to govern, document and support. CQC must improve while carrying a mixed environment, not pause to redesign from scratch. This is a sequencing and control-maturity challenge. </w:t>
      </w:r>
    </w:p>
    <w:p w14:paraId="6A7E1941" w14:textId="77777777" w:rsidR="003F0DB8" w:rsidRDefault="00000000">
      <w:pPr>
        <w:numPr>
          <w:ilvl w:val="0"/>
          <w:numId w:val="2"/>
        </w:numPr>
        <w:spacing w:after="92"/>
        <w:ind w:right="5" w:hanging="284"/>
      </w:pPr>
      <w:r>
        <w:rPr>
          <w:b/>
        </w:rPr>
        <w:t>Supportability from day one.</w:t>
      </w:r>
      <w:r>
        <w:t xml:space="preserve"> Observability, resilience, disaster recovery and service support are foundational, not optional. A platform that works in principle but cannot be supported, monitored and governed in practice will not restore regulatory confidence. </w:t>
      </w:r>
    </w:p>
    <w:p w14:paraId="029BCDF3" w14:textId="77777777" w:rsidR="003F0DB8" w:rsidRDefault="00000000">
      <w:pPr>
        <w:spacing w:after="268" w:line="259" w:lineRule="auto"/>
        <w:ind w:left="0" w:firstLine="0"/>
      </w:pPr>
      <w:r>
        <w:t xml:space="preserve"> </w:t>
      </w:r>
    </w:p>
    <w:p w14:paraId="2E389601" w14:textId="77777777" w:rsidR="003F0DB8" w:rsidRDefault="00000000">
      <w:pPr>
        <w:pStyle w:val="Heading1"/>
        <w:spacing w:after="0"/>
        <w:ind w:left="-5"/>
      </w:pPr>
      <w:bookmarkStart w:id="12" w:name="_Toc96794"/>
      <w:r>
        <w:t xml:space="preserve">Drivers, Goals (North Star), Blockers, &amp; Risks </w:t>
      </w:r>
      <w:bookmarkEnd w:id="12"/>
    </w:p>
    <w:p w14:paraId="4BDF7D15" w14:textId="77777777" w:rsidR="003F0DB8" w:rsidRDefault="00000000">
      <w:pPr>
        <w:spacing w:after="65" w:line="259" w:lineRule="auto"/>
        <w:ind w:left="-1" w:right="4063" w:firstLine="0"/>
        <w:jc w:val="center"/>
      </w:pPr>
      <w:r>
        <w:rPr>
          <w:noProof/>
        </w:rPr>
        <w:drawing>
          <wp:inline distT="0" distB="0" distL="0" distR="0" wp14:anchorId="09E2E459" wp14:editId="605EE73F">
            <wp:extent cx="6178550" cy="3117850"/>
            <wp:effectExtent l="0" t="0" r="0" b="0"/>
            <wp:docPr id="2240" name="Picture 2240"/>
            <wp:cNvGraphicFramePr/>
            <a:graphic xmlns:a="http://schemas.openxmlformats.org/drawingml/2006/main">
              <a:graphicData uri="http://schemas.openxmlformats.org/drawingml/2006/picture">
                <pic:pic xmlns:pic="http://schemas.openxmlformats.org/drawingml/2006/picture">
                  <pic:nvPicPr>
                    <pic:cNvPr id="2240" name="Picture 2240"/>
                    <pic:cNvPicPr/>
                  </pic:nvPicPr>
                  <pic:blipFill>
                    <a:blip r:embed="rId9"/>
                    <a:stretch>
                      <a:fillRect/>
                    </a:stretch>
                  </pic:blipFill>
                  <pic:spPr>
                    <a:xfrm>
                      <a:off x="0" y="0"/>
                      <a:ext cx="6178550" cy="3117850"/>
                    </a:xfrm>
                    <a:prstGeom prst="rect">
                      <a:avLst/>
                    </a:prstGeom>
                  </pic:spPr>
                </pic:pic>
              </a:graphicData>
            </a:graphic>
          </wp:inline>
        </w:drawing>
      </w:r>
      <w:r>
        <w:rPr>
          <w:sz w:val="24"/>
        </w:rPr>
        <w:t xml:space="preserve"> </w:t>
      </w:r>
    </w:p>
    <w:p w14:paraId="57CE5B81" w14:textId="77777777" w:rsidR="003F0DB8" w:rsidRDefault="00000000">
      <w:pPr>
        <w:spacing w:after="110" w:line="269" w:lineRule="auto"/>
        <w:ind w:left="10" w:right="3" w:hanging="10"/>
      </w:pPr>
      <w:r>
        <w:rPr>
          <w:sz w:val="24"/>
        </w:rPr>
        <w:t xml:space="preserve">The drivers behind the strategy are strategic, operational and regulatory rather than technical. Cloud is treated as a mechanism for becoming more resilient, more governable and better able to support the regulatory mission, not as an end in itself. </w:t>
      </w:r>
    </w:p>
    <w:p w14:paraId="22994BA4" w14:textId="77777777" w:rsidR="003F0DB8" w:rsidRDefault="00000000">
      <w:pPr>
        <w:spacing w:after="110" w:line="269" w:lineRule="auto"/>
        <w:ind w:left="10" w:right="3" w:hanging="10"/>
      </w:pPr>
      <w:r>
        <w:rPr>
          <w:sz w:val="24"/>
        </w:rPr>
        <w:t xml:space="preserve">The North Star that emerged is defined by control, consistency and self-sufficiency: </w:t>
      </w:r>
    </w:p>
    <w:p w14:paraId="6DF79C01" w14:textId="77777777" w:rsidR="003F0DB8" w:rsidRDefault="00000000">
      <w:pPr>
        <w:numPr>
          <w:ilvl w:val="0"/>
          <w:numId w:val="3"/>
        </w:numPr>
        <w:ind w:right="5" w:hanging="284"/>
      </w:pPr>
      <w:r>
        <w:t xml:space="preserve">Clearer landing zones </w:t>
      </w:r>
    </w:p>
    <w:p w14:paraId="4F28D2DD" w14:textId="77777777" w:rsidR="003F0DB8" w:rsidRDefault="00000000">
      <w:pPr>
        <w:numPr>
          <w:ilvl w:val="0"/>
          <w:numId w:val="3"/>
        </w:numPr>
        <w:ind w:right="5" w:hanging="284"/>
      </w:pPr>
      <w:r>
        <w:t xml:space="preserve">Stronger identity governance </w:t>
      </w:r>
    </w:p>
    <w:p w14:paraId="6C2E55E7" w14:textId="77777777" w:rsidR="003F0DB8" w:rsidRDefault="00000000">
      <w:pPr>
        <w:numPr>
          <w:ilvl w:val="0"/>
          <w:numId w:val="3"/>
        </w:numPr>
        <w:ind w:right="5" w:hanging="284"/>
      </w:pPr>
      <w:r>
        <w:t xml:space="preserve">Reusable engineering patterns </w:t>
      </w:r>
    </w:p>
    <w:p w14:paraId="48A27528" w14:textId="77777777" w:rsidR="003F0DB8" w:rsidRDefault="00000000">
      <w:pPr>
        <w:numPr>
          <w:ilvl w:val="0"/>
          <w:numId w:val="3"/>
        </w:numPr>
        <w:ind w:right="5" w:hanging="284"/>
      </w:pPr>
      <w:r>
        <w:t xml:space="preserve">Better observability and supportability </w:t>
      </w:r>
    </w:p>
    <w:p w14:paraId="1B754B49" w14:textId="77777777" w:rsidR="003F0DB8" w:rsidRDefault="00000000">
      <w:pPr>
        <w:numPr>
          <w:ilvl w:val="0"/>
          <w:numId w:val="3"/>
        </w:numPr>
        <w:spacing w:after="78"/>
        <w:ind w:right="5" w:hanging="284"/>
      </w:pPr>
      <w:r>
        <w:t xml:space="preserve">Less dependence on manual workarounds </w:t>
      </w:r>
    </w:p>
    <w:p w14:paraId="7DD5FB7E" w14:textId="77777777" w:rsidR="003F0DB8" w:rsidRDefault="00000000">
      <w:pPr>
        <w:spacing w:after="110" w:line="269" w:lineRule="auto"/>
        <w:ind w:left="10" w:right="3" w:hanging="10"/>
      </w:pPr>
      <w:r>
        <w:rPr>
          <w:sz w:val="24"/>
        </w:rPr>
        <w:lastRenderedPageBreak/>
        <w:t xml:space="preserve">The blockers form a connected pattern, not a set of isolated gaps: unclear ownership, inconsistent governance, fragmented monitoring, incomplete integration patterns, weak automation, and uneven maturity between the legacy and new-world environments. Each of CQC's goals, from stronger service delivery to more credible regulation, depends on the same condition: the ability to execute change in a disciplined, governed and supportable way. That execution layer is where the most important work now sits. Trust is not only an external outcome. It is built internally through consistent ownership, stronger observability and repeatable delivery, so the strategy's softer goals of confidence and credibility rest on the harder mechanics of platform discipline. </w:t>
      </w:r>
    </w:p>
    <w:p w14:paraId="151E1806" w14:textId="77777777" w:rsidR="003F0DB8" w:rsidRDefault="00000000">
      <w:pPr>
        <w:spacing w:after="126" w:line="259" w:lineRule="auto"/>
        <w:ind w:left="0" w:firstLine="0"/>
      </w:pPr>
      <w:r>
        <w:rPr>
          <w:sz w:val="24"/>
        </w:rPr>
        <w:t xml:space="preserve"> </w:t>
      </w:r>
    </w:p>
    <w:p w14:paraId="3E8C4C69" w14:textId="77777777" w:rsidR="003F0DB8" w:rsidRDefault="00000000">
      <w:pPr>
        <w:spacing w:after="0" w:line="259" w:lineRule="auto"/>
        <w:ind w:left="0" w:firstLine="0"/>
      </w:pPr>
      <w:r>
        <w:rPr>
          <w:sz w:val="24"/>
        </w:rPr>
        <w:t xml:space="preserve"> </w:t>
      </w:r>
      <w:r>
        <w:br w:type="page"/>
      </w:r>
    </w:p>
    <w:p w14:paraId="275C34C2" w14:textId="77777777" w:rsidR="003F0DB8" w:rsidRDefault="00000000">
      <w:pPr>
        <w:pStyle w:val="Heading1"/>
        <w:ind w:left="-5"/>
      </w:pPr>
      <w:bookmarkStart w:id="13" w:name="_Toc96795"/>
      <w:r>
        <w:lastRenderedPageBreak/>
        <w:t xml:space="preserve">Categories of Blockers and Risks </w:t>
      </w:r>
      <w:bookmarkEnd w:id="13"/>
    </w:p>
    <w:p w14:paraId="1760BD70" w14:textId="77777777" w:rsidR="003F0DB8" w:rsidRDefault="00000000">
      <w:pPr>
        <w:spacing w:after="9" w:line="269" w:lineRule="auto"/>
        <w:ind w:left="10" w:right="3" w:hanging="10"/>
      </w:pPr>
      <w:r>
        <w:rPr>
          <w:noProof/>
        </w:rPr>
        <w:drawing>
          <wp:anchor distT="0" distB="0" distL="114300" distR="114300" simplePos="0" relativeHeight="251659264" behindDoc="0" locked="0" layoutInCell="1" allowOverlap="0" wp14:anchorId="33DA4F94" wp14:editId="592BA5A0">
            <wp:simplePos x="0" y="0"/>
            <wp:positionH relativeFrom="column">
              <wp:posOffset>-242887</wp:posOffset>
            </wp:positionH>
            <wp:positionV relativeFrom="paragraph">
              <wp:posOffset>-102026</wp:posOffset>
            </wp:positionV>
            <wp:extent cx="6826250" cy="4013200"/>
            <wp:effectExtent l="0" t="0" r="0" b="0"/>
            <wp:wrapSquare wrapText="bothSides"/>
            <wp:docPr id="2334" name="Picture 2334"/>
            <wp:cNvGraphicFramePr/>
            <a:graphic xmlns:a="http://schemas.openxmlformats.org/drawingml/2006/main">
              <a:graphicData uri="http://schemas.openxmlformats.org/drawingml/2006/picture">
                <pic:pic xmlns:pic="http://schemas.openxmlformats.org/drawingml/2006/picture">
                  <pic:nvPicPr>
                    <pic:cNvPr id="2334" name="Picture 2334"/>
                    <pic:cNvPicPr/>
                  </pic:nvPicPr>
                  <pic:blipFill>
                    <a:blip r:embed="rId10"/>
                    <a:stretch>
                      <a:fillRect/>
                    </a:stretch>
                  </pic:blipFill>
                  <pic:spPr>
                    <a:xfrm>
                      <a:off x="0" y="0"/>
                      <a:ext cx="6826250" cy="4013200"/>
                    </a:xfrm>
                    <a:prstGeom prst="rect">
                      <a:avLst/>
                    </a:prstGeom>
                  </pic:spPr>
                </pic:pic>
              </a:graphicData>
            </a:graphic>
          </wp:anchor>
        </w:drawing>
      </w:r>
      <w:r>
        <w:rPr>
          <w:sz w:val="24"/>
        </w:rPr>
        <w:t xml:space="preserve">The assessment grouped the blockers into eight categories: </w:t>
      </w:r>
    </w:p>
    <w:p w14:paraId="755025AF" w14:textId="77777777" w:rsidR="003F0DB8" w:rsidRDefault="00000000">
      <w:pPr>
        <w:spacing w:after="16" w:line="269" w:lineRule="auto"/>
        <w:ind w:left="10" w:right="3" w:hanging="10"/>
      </w:pPr>
      <w:r>
        <w:rPr>
          <w:sz w:val="24"/>
        </w:rPr>
        <w:t xml:space="preserve">Priority, Capacity, Ownership, </w:t>
      </w:r>
    </w:p>
    <w:p w14:paraId="1EC2AD07" w14:textId="77777777" w:rsidR="003F0DB8" w:rsidRDefault="00000000">
      <w:pPr>
        <w:spacing w:after="12" w:line="269" w:lineRule="auto"/>
        <w:ind w:left="10" w:right="3" w:hanging="10"/>
      </w:pPr>
      <w:r>
        <w:rPr>
          <w:sz w:val="24"/>
        </w:rPr>
        <w:t xml:space="preserve">Capability, Automation, </w:t>
      </w:r>
    </w:p>
    <w:p w14:paraId="2D74A229" w14:textId="77777777" w:rsidR="003F0DB8" w:rsidRDefault="00000000">
      <w:pPr>
        <w:spacing w:after="16" w:line="269" w:lineRule="auto"/>
        <w:ind w:left="10" w:right="3" w:hanging="10"/>
      </w:pPr>
      <w:r>
        <w:rPr>
          <w:sz w:val="24"/>
        </w:rPr>
        <w:t xml:space="preserve">Strategy, Governance and </w:t>
      </w:r>
    </w:p>
    <w:p w14:paraId="6E7DD6B5" w14:textId="77777777" w:rsidR="003F0DB8" w:rsidRDefault="00000000">
      <w:pPr>
        <w:spacing w:after="110" w:line="269" w:lineRule="auto"/>
        <w:ind w:left="10" w:right="3" w:hanging="10"/>
      </w:pPr>
      <w:r>
        <w:rPr>
          <w:sz w:val="24"/>
        </w:rPr>
        <w:t xml:space="preserve">Security. Three sit at the top of the causal chain and deserve most leadership attention. </w:t>
      </w:r>
    </w:p>
    <w:p w14:paraId="6CA2D975" w14:textId="77777777" w:rsidR="003F0DB8" w:rsidRDefault="00000000">
      <w:pPr>
        <w:numPr>
          <w:ilvl w:val="0"/>
          <w:numId w:val="4"/>
        </w:numPr>
        <w:spacing w:after="45"/>
        <w:ind w:right="5" w:firstLine="0"/>
      </w:pPr>
      <w:r>
        <w:rPr>
          <w:b/>
        </w:rPr>
        <w:t>Priority.</w:t>
      </w:r>
      <w:r>
        <w:t xml:space="preserve"> The dominant category. Too many workstreams compete with too little clarity on what comes first. Fragmentation, not any single gap, is the largest risk. </w:t>
      </w:r>
    </w:p>
    <w:p w14:paraId="3E7D5983" w14:textId="77777777" w:rsidR="003F0DB8" w:rsidRDefault="00000000">
      <w:pPr>
        <w:numPr>
          <w:ilvl w:val="0"/>
          <w:numId w:val="4"/>
        </w:numPr>
        <w:spacing w:after="39"/>
        <w:ind w:right="5" w:firstLine="0"/>
      </w:pPr>
      <w:r>
        <w:rPr>
          <w:b/>
        </w:rPr>
        <w:t>Ownership.</w:t>
      </w:r>
      <w:r>
        <w:t xml:space="preserve"> Cuts across almost every objective. Where accountability is unclear, support is inconsistent, change approval slows, and governance depends on individuals. </w:t>
      </w:r>
    </w:p>
    <w:p w14:paraId="69DFC1BE" w14:textId="77777777" w:rsidR="003F0DB8" w:rsidRDefault="00000000">
      <w:pPr>
        <w:numPr>
          <w:ilvl w:val="0"/>
          <w:numId w:val="4"/>
        </w:numPr>
        <w:spacing w:after="0" w:line="259" w:lineRule="auto"/>
        <w:ind w:right="5" w:firstLine="0"/>
      </w:pPr>
      <w:r>
        <w:rPr>
          <w:b/>
        </w:rPr>
        <w:t xml:space="preserve">Strategy and </w:t>
      </w:r>
    </w:p>
    <w:p w14:paraId="481876FB" w14:textId="77777777" w:rsidR="003F0DB8" w:rsidRDefault="00000000">
      <w:pPr>
        <w:spacing w:after="148" w:line="237" w:lineRule="auto"/>
        <w:ind w:left="284" w:right="592" w:firstLine="0"/>
        <w:jc w:val="right"/>
      </w:pPr>
      <w:r>
        <w:rPr>
          <w:b/>
        </w:rPr>
        <w:t>Governance.</w:t>
      </w:r>
      <w:r>
        <w:t xml:space="preserve"> Treated as design conditions for the future platform, not downstream checks. </w:t>
      </w:r>
    </w:p>
    <w:p w14:paraId="6D9956AB" w14:textId="77777777" w:rsidR="003F0DB8" w:rsidRDefault="00000000">
      <w:pPr>
        <w:spacing w:after="110" w:line="269" w:lineRule="auto"/>
        <w:ind w:left="10" w:right="3" w:hanging="10"/>
      </w:pPr>
      <w:r>
        <w:rPr>
          <w:sz w:val="24"/>
        </w:rPr>
        <w:t xml:space="preserve">Capacity is broader than headcount. It is shaped by workload, focus, administrative burden and repeatability, so some delivery strain is relieved through stronger patterns and prioritisation rather than recruitment alone. Capability, Automation and Security are enabling conditions rather than separate workstreams: if Priority, Ownership and Governance remain weak, the others are consumed inefficiently. The categorisation also separates direct barriers from their downstream effects, which is a stronger basis for programme design than responding to visible symptoms. </w:t>
      </w:r>
    </w:p>
    <w:p w14:paraId="2E9ED602" w14:textId="77777777" w:rsidR="003F0DB8" w:rsidRDefault="00000000">
      <w:pPr>
        <w:spacing w:after="0" w:line="259" w:lineRule="auto"/>
        <w:ind w:left="0" w:firstLine="0"/>
      </w:pPr>
      <w:r>
        <w:rPr>
          <w:sz w:val="24"/>
        </w:rPr>
        <w:t xml:space="preserve"> </w:t>
      </w:r>
    </w:p>
    <w:p w14:paraId="1E84D62F" w14:textId="77777777" w:rsidR="003F0DB8" w:rsidRDefault="00000000">
      <w:pPr>
        <w:pStyle w:val="Heading1"/>
        <w:spacing w:after="0"/>
        <w:ind w:left="-5"/>
      </w:pPr>
      <w:bookmarkStart w:id="14" w:name="_Toc96796"/>
      <w:r>
        <w:lastRenderedPageBreak/>
        <w:t xml:space="preserve">How Might We statements </w:t>
      </w:r>
      <w:bookmarkEnd w:id="14"/>
    </w:p>
    <w:p w14:paraId="6919792D" w14:textId="77777777" w:rsidR="003F0DB8" w:rsidRDefault="00000000">
      <w:pPr>
        <w:spacing w:after="88" w:line="259" w:lineRule="auto"/>
        <w:ind w:left="-1" w:right="4055" w:firstLine="0"/>
        <w:jc w:val="center"/>
      </w:pPr>
      <w:r>
        <w:rPr>
          <w:noProof/>
        </w:rPr>
        <w:drawing>
          <wp:inline distT="0" distB="0" distL="0" distR="0" wp14:anchorId="7A7DC230" wp14:editId="458FAE30">
            <wp:extent cx="6191250" cy="4051300"/>
            <wp:effectExtent l="0" t="0" r="0" b="0"/>
            <wp:docPr id="2373" name="Picture 2373"/>
            <wp:cNvGraphicFramePr/>
            <a:graphic xmlns:a="http://schemas.openxmlformats.org/drawingml/2006/main">
              <a:graphicData uri="http://schemas.openxmlformats.org/drawingml/2006/picture">
                <pic:pic xmlns:pic="http://schemas.openxmlformats.org/drawingml/2006/picture">
                  <pic:nvPicPr>
                    <pic:cNvPr id="2373" name="Picture 2373"/>
                    <pic:cNvPicPr/>
                  </pic:nvPicPr>
                  <pic:blipFill>
                    <a:blip r:embed="rId11"/>
                    <a:stretch>
                      <a:fillRect/>
                    </a:stretch>
                  </pic:blipFill>
                  <pic:spPr>
                    <a:xfrm>
                      <a:off x="0" y="0"/>
                      <a:ext cx="6191250" cy="4051300"/>
                    </a:xfrm>
                    <a:prstGeom prst="rect">
                      <a:avLst/>
                    </a:prstGeom>
                  </pic:spPr>
                </pic:pic>
              </a:graphicData>
            </a:graphic>
          </wp:inline>
        </w:drawing>
      </w:r>
      <w:r>
        <w:rPr>
          <w:rFonts w:ascii="Calibri" w:eastAsia="Calibri" w:hAnsi="Calibri" w:cs="Calibri"/>
          <w:b/>
          <w:sz w:val="24"/>
        </w:rPr>
        <w:t xml:space="preserve"> </w:t>
      </w:r>
    </w:p>
    <w:p w14:paraId="114AA4B8" w14:textId="77777777" w:rsidR="003F0DB8" w:rsidRDefault="00000000">
      <w:pPr>
        <w:spacing w:after="110" w:line="269" w:lineRule="auto"/>
        <w:ind w:left="10" w:right="3" w:hanging="10"/>
      </w:pPr>
      <w:r>
        <w:rPr>
          <w:sz w:val="24"/>
        </w:rPr>
        <w:t xml:space="preserve">The "How Might We" exercise converted strategic pressure into concrete design questions around operating-model clarity, ownership, governance, observability, cost transparency, capability and legacy transition. They are early design hypotheses, not yet a plan, but they show where progress is needed and who needs to lead it: </w:t>
      </w:r>
    </w:p>
    <w:p w14:paraId="779DD37F" w14:textId="77777777" w:rsidR="003F0DB8" w:rsidRDefault="00000000">
      <w:pPr>
        <w:numPr>
          <w:ilvl w:val="0"/>
          <w:numId w:val="5"/>
        </w:numPr>
        <w:spacing w:after="46"/>
        <w:ind w:right="5" w:hanging="284"/>
      </w:pPr>
      <w:r>
        <w:rPr>
          <w:b/>
        </w:rPr>
        <w:t>End-to-end ownership.</w:t>
      </w:r>
      <w:r>
        <w:t xml:space="preserve"> A single source of truth for service accountability. An organisational question for the CDIO and the business, not only a technical one. </w:t>
      </w:r>
    </w:p>
    <w:p w14:paraId="7CC7B93A" w14:textId="77777777" w:rsidR="003F0DB8" w:rsidRDefault="00000000">
      <w:pPr>
        <w:numPr>
          <w:ilvl w:val="0"/>
          <w:numId w:val="5"/>
        </w:numPr>
        <w:ind w:right="5" w:hanging="284"/>
      </w:pPr>
      <w:r>
        <w:rPr>
          <w:b/>
        </w:rPr>
        <w:t>Compliance by design and legacy transition.</w:t>
      </w:r>
      <w:r>
        <w:t xml:space="preserve"> Led by the architecture function, which needs design authority rather than a review role. </w:t>
      </w:r>
    </w:p>
    <w:p w14:paraId="1519DD49" w14:textId="77777777" w:rsidR="003F0DB8" w:rsidRDefault="00000000">
      <w:pPr>
        <w:numPr>
          <w:ilvl w:val="0"/>
          <w:numId w:val="5"/>
        </w:numPr>
        <w:ind w:right="5" w:hanging="284"/>
      </w:pPr>
      <w:r>
        <w:rPr>
          <w:b/>
        </w:rPr>
        <w:t>Cost transparency and FinOps.</w:t>
      </w:r>
      <w:r>
        <w:t xml:space="preserve"> Owned by the platform function, so spend informs sequencing and investment decisions. </w:t>
      </w:r>
    </w:p>
    <w:p w14:paraId="1C4AECB3" w14:textId="77777777" w:rsidR="003F0DB8" w:rsidRDefault="00000000">
      <w:pPr>
        <w:numPr>
          <w:ilvl w:val="0"/>
          <w:numId w:val="5"/>
        </w:numPr>
        <w:spacing w:after="78"/>
        <w:ind w:right="5" w:hanging="284"/>
      </w:pPr>
      <w:r>
        <w:rPr>
          <w:b/>
        </w:rPr>
        <w:t>Cloud capability uplift.</w:t>
      </w:r>
      <w:r>
        <w:t xml:space="preserve"> Practical recruitment, certification and capability-building to sustain the target model. </w:t>
      </w:r>
    </w:p>
    <w:p w14:paraId="016744D4" w14:textId="77777777" w:rsidR="003F0DB8" w:rsidRDefault="00000000">
      <w:pPr>
        <w:spacing w:after="110" w:line="269" w:lineRule="auto"/>
        <w:ind w:left="10" w:right="3" w:hanging="10"/>
      </w:pPr>
      <w:r>
        <w:rPr>
          <w:sz w:val="24"/>
        </w:rPr>
        <w:t xml:space="preserve">The questions split cleanly into those needing executive authority (scope, accountability, business influence) and those needing functional ownership (patterns, compliance by design, engineering discipline). </w:t>
      </w:r>
    </w:p>
    <w:p w14:paraId="71C83C86" w14:textId="77777777" w:rsidR="003F0DB8" w:rsidRDefault="00000000">
      <w:pPr>
        <w:spacing w:after="225" w:line="259" w:lineRule="auto"/>
        <w:ind w:left="0" w:firstLine="0"/>
      </w:pPr>
      <w:r>
        <w:rPr>
          <w:sz w:val="24"/>
        </w:rPr>
        <w:lastRenderedPageBreak/>
        <w:t xml:space="preserve"> </w:t>
      </w:r>
    </w:p>
    <w:p w14:paraId="29C6D3C6" w14:textId="77777777" w:rsidR="003F0DB8" w:rsidRDefault="00000000">
      <w:pPr>
        <w:pStyle w:val="Heading1"/>
        <w:spacing w:after="0"/>
        <w:ind w:left="-5"/>
      </w:pPr>
      <w:bookmarkStart w:id="15" w:name="_Toc96797"/>
      <w:r>
        <w:t xml:space="preserve">Effort Vs Impact </w:t>
      </w:r>
      <w:bookmarkEnd w:id="15"/>
    </w:p>
    <w:p w14:paraId="4BB711F2" w14:textId="77777777" w:rsidR="003F0DB8" w:rsidRDefault="00000000">
      <w:pPr>
        <w:spacing w:after="0" w:line="259" w:lineRule="auto"/>
        <w:ind w:left="-1" w:right="3855" w:firstLine="0"/>
        <w:jc w:val="center"/>
      </w:pPr>
      <w:r>
        <w:rPr>
          <w:noProof/>
        </w:rPr>
        <w:drawing>
          <wp:inline distT="0" distB="0" distL="0" distR="0" wp14:anchorId="341A3FEE" wp14:editId="6E1354CA">
            <wp:extent cx="6309360" cy="4206240"/>
            <wp:effectExtent l="0" t="0" r="0" b="0"/>
            <wp:docPr id="2393" name="Picture 2393"/>
            <wp:cNvGraphicFramePr/>
            <a:graphic xmlns:a="http://schemas.openxmlformats.org/drawingml/2006/main">
              <a:graphicData uri="http://schemas.openxmlformats.org/drawingml/2006/picture">
                <pic:pic xmlns:pic="http://schemas.openxmlformats.org/drawingml/2006/picture">
                  <pic:nvPicPr>
                    <pic:cNvPr id="2393" name="Picture 2393"/>
                    <pic:cNvPicPr/>
                  </pic:nvPicPr>
                  <pic:blipFill>
                    <a:blip r:embed="rId12"/>
                    <a:stretch>
                      <a:fillRect/>
                    </a:stretch>
                  </pic:blipFill>
                  <pic:spPr>
                    <a:xfrm>
                      <a:off x="0" y="0"/>
                      <a:ext cx="6309360" cy="4206240"/>
                    </a:xfrm>
                    <a:prstGeom prst="rect">
                      <a:avLst/>
                    </a:prstGeom>
                  </pic:spPr>
                </pic:pic>
              </a:graphicData>
            </a:graphic>
          </wp:inline>
        </w:drawing>
      </w:r>
      <w:r>
        <w:rPr>
          <w:sz w:val="24"/>
        </w:rPr>
        <w:t xml:space="preserve"> </w:t>
      </w:r>
    </w:p>
    <w:p w14:paraId="49384189" w14:textId="77777777" w:rsidR="003F0DB8" w:rsidRDefault="00000000">
      <w:pPr>
        <w:spacing w:after="110" w:line="269" w:lineRule="auto"/>
        <w:ind w:left="10" w:right="3" w:hanging="10"/>
      </w:pPr>
      <w:r>
        <w:rPr>
          <w:sz w:val="24"/>
        </w:rPr>
        <w:t xml:space="preserve">Most of the design questions sit in the high-impact half of the matrix. The useful distinction is between what creates early momentum and what requires deeper structural change. The matrix points to a three-part path: </w:t>
      </w:r>
    </w:p>
    <w:p w14:paraId="0E370FB2" w14:textId="77777777" w:rsidR="003F0DB8" w:rsidRDefault="00000000">
      <w:pPr>
        <w:numPr>
          <w:ilvl w:val="0"/>
          <w:numId w:val="6"/>
        </w:numPr>
        <w:spacing w:after="42"/>
        <w:ind w:right="5" w:hanging="284"/>
      </w:pPr>
      <w:r>
        <w:rPr>
          <w:b/>
        </w:rPr>
        <w:t>Near-term enablers.</w:t>
      </w:r>
      <w:r>
        <w:t xml:space="preserve"> Cost transparency and FinOps, and embedding IaC and DevSecOps more consistently. These improve visibility and delivery discipline and can create early momentum. </w:t>
      </w:r>
    </w:p>
    <w:p w14:paraId="7161DADB" w14:textId="77777777" w:rsidR="003F0DB8" w:rsidRDefault="00000000">
      <w:pPr>
        <w:numPr>
          <w:ilvl w:val="0"/>
          <w:numId w:val="6"/>
        </w:numPr>
        <w:ind w:right="5" w:hanging="284"/>
      </w:pPr>
      <w:r>
        <w:rPr>
          <w:b/>
        </w:rPr>
        <w:t>Foundational clarity.</w:t>
      </w:r>
      <w:r>
        <w:t xml:space="preserve"> Defining operating-model roles. Lower effort and lower impact on its own, but a prerequisite for stronger execution. </w:t>
      </w:r>
    </w:p>
    <w:p w14:paraId="5215F06E" w14:textId="77777777" w:rsidR="003F0DB8" w:rsidRDefault="00000000">
      <w:pPr>
        <w:numPr>
          <w:ilvl w:val="0"/>
          <w:numId w:val="6"/>
        </w:numPr>
        <w:spacing w:after="136"/>
        <w:ind w:right="5" w:hanging="284"/>
      </w:pPr>
      <w:r>
        <w:rPr>
          <w:b/>
        </w:rPr>
        <w:t>Structural change.</w:t>
      </w:r>
      <w:r>
        <w:t xml:space="preserve"> Migrating legacy without disruption, unified observability, consistent governance enforcement, and capability uplift. Legacy migration is the heaviest and most consequential item, and makes the case for phased delivery. </w:t>
      </w:r>
    </w:p>
    <w:p w14:paraId="2EB582F4" w14:textId="77777777" w:rsidR="003F0DB8" w:rsidRDefault="00000000">
      <w:pPr>
        <w:spacing w:after="0" w:line="259" w:lineRule="auto"/>
        <w:ind w:left="0" w:firstLine="0"/>
      </w:pPr>
      <w:r>
        <w:rPr>
          <w:sz w:val="24"/>
        </w:rPr>
        <w:t xml:space="preserve"> </w:t>
      </w:r>
      <w:r>
        <w:br w:type="page"/>
      </w:r>
    </w:p>
    <w:p w14:paraId="046DA010" w14:textId="77777777" w:rsidR="003F0DB8" w:rsidRDefault="00000000">
      <w:pPr>
        <w:pStyle w:val="Heading1"/>
        <w:spacing w:after="0"/>
        <w:ind w:left="-5"/>
      </w:pPr>
      <w:bookmarkStart w:id="16" w:name="_Toc96798"/>
      <w:r>
        <w:lastRenderedPageBreak/>
        <w:t xml:space="preserve">Readiness Gaps </w:t>
      </w:r>
      <w:bookmarkEnd w:id="16"/>
    </w:p>
    <w:p w14:paraId="7CA23BFB" w14:textId="77777777" w:rsidR="003F0DB8" w:rsidRDefault="00000000">
      <w:pPr>
        <w:spacing w:after="88" w:line="259" w:lineRule="auto"/>
        <w:ind w:left="-1" w:right="3867" w:firstLine="0"/>
        <w:jc w:val="center"/>
      </w:pPr>
      <w:r>
        <w:rPr>
          <w:noProof/>
        </w:rPr>
        <w:drawing>
          <wp:inline distT="0" distB="0" distL="0" distR="0" wp14:anchorId="76A8C696" wp14:editId="43D75669">
            <wp:extent cx="6309360" cy="4206240"/>
            <wp:effectExtent l="0" t="0" r="0" b="0"/>
            <wp:docPr id="2460" name="Picture 2460"/>
            <wp:cNvGraphicFramePr/>
            <a:graphic xmlns:a="http://schemas.openxmlformats.org/drawingml/2006/main">
              <a:graphicData uri="http://schemas.openxmlformats.org/drawingml/2006/picture">
                <pic:pic xmlns:pic="http://schemas.openxmlformats.org/drawingml/2006/picture">
                  <pic:nvPicPr>
                    <pic:cNvPr id="2460" name="Picture 2460"/>
                    <pic:cNvPicPr/>
                  </pic:nvPicPr>
                  <pic:blipFill>
                    <a:blip r:embed="rId13"/>
                    <a:stretch>
                      <a:fillRect/>
                    </a:stretch>
                  </pic:blipFill>
                  <pic:spPr>
                    <a:xfrm>
                      <a:off x="0" y="0"/>
                      <a:ext cx="6309360" cy="4206240"/>
                    </a:xfrm>
                    <a:prstGeom prst="rect">
                      <a:avLst/>
                    </a:prstGeom>
                  </pic:spPr>
                </pic:pic>
              </a:graphicData>
            </a:graphic>
          </wp:inline>
        </w:drawing>
      </w:r>
      <w:r>
        <w:rPr>
          <w:rFonts w:ascii="Calibri" w:eastAsia="Calibri" w:hAnsi="Calibri" w:cs="Calibri"/>
          <w:b/>
          <w:sz w:val="24"/>
        </w:rPr>
        <w:t xml:space="preserve"> </w:t>
      </w:r>
    </w:p>
    <w:p w14:paraId="76E418E5" w14:textId="77777777" w:rsidR="003F0DB8" w:rsidRDefault="00000000">
      <w:pPr>
        <w:spacing w:after="110" w:line="269" w:lineRule="auto"/>
        <w:ind w:left="10" w:right="3" w:hanging="10"/>
      </w:pPr>
      <w:r>
        <w:rPr>
          <w:sz w:val="24"/>
        </w:rPr>
        <w:t xml:space="preserve">The evidence-versus-assumption exercise separates current, evidenced weakness from themes that still need validation. The evidenced items are concrete and foundational: </w:t>
      </w:r>
    </w:p>
    <w:p w14:paraId="279C0E31" w14:textId="77777777" w:rsidR="003F0DB8" w:rsidRDefault="00000000">
      <w:pPr>
        <w:numPr>
          <w:ilvl w:val="0"/>
          <w:numId w:val="7"/>
        </w:numPr>
        <w:ind w:right="4668" w:firstLine="0"/>
      </w:pPr>
      <w:r>
        <w:t xml:space="preserve">Weak observability, which already affects confidence and underpins incident response, assurance and decision-making </w:t>
      </w:r>
      <w:r>
        <w:rPr>
          <w:rFonts w:ascii="Segoe UI Symbol" w:eastAsia="Segoe UI Symbol" w:hAnsi="Segoe UI Symbol" w:cs="Segoe UI Symbol"/>
          <w:sz w:val="24"/>
        </w:rPr>
        <w:t>•</w:t>
      </w:r>
      <w:r>
        <w:rPr>
          <w:rFonts w:ascii="Arial" w:eastAsia="Arial" w:hAnsi="Arial" w:cs="Arial"/>
          <w:sz w:val="24"/>
        </w:rPr>
        <w:t xml:space="preserve"> </w:t>
      </w:r>
      <w:r>
        <w:t xml:space="preserve">Incomplete integration patterns </w:t>
      </w:r>
    </w:p>
    <w:p w14:paraId="28D9312A" w14:textId="77777777" w:rsidR="003F0DB8" w:rsidRDefault="00000000">
      <w:pPr>
        <w:numPr>
          <w:ilvl w:val="0"/>
          <w:numId w:val="7"/>
        </w:numPr>
        <w:ind w:right="4668" w:firstLine="0"/>
      </w:pPr>
      <w:r>
        <w:t xml:space="preserve">Unclear ownership and inconsistent governance, both already slowing execution </w:t>
      </w:r>
      <w:r>
        <w:rPr>
          <w:rFonts w:ascii="Segoe UI Symbol" w:eastAsia="Segoe UI Symbol" w:hAnsi="Segoe UI Symbol" w:cs="Segoe UI Symbol"/>
          <w:sz w:val="24"/>
        </w:rPr>
        <w:t>•</w:t>
      </w:r>
      <w:r>
        <w:rPr>
          <w:rFonts w:ascii="Arial" w:eastAsia="Arial" w:hAnsi="Arial" w:cs="Arial"/>
          <w:sz w:val="24"/>
        </w:rPr>
        <w:t xml:space="preserve"> </w:t>
      </w:r>
      <w:r>
        <w:t xml:space="preserve">Limited automation in the legacy estate </w:t>
      </w:r>
    </w:p>
    <w:p w14:paraId="2F3FD70D" w14:textId="77777777" w:rsidR="003F0DB8" w:rsidRDefault="00000000">
      <w:pPr>
        <w:spacing w:after="95" w:line="285" w:lineRule="auto"/>
        <w:ind w:left="-5" w:right="387" w:hanging="10"/>
        <w:jc w:val="both"/>
      </w:pPr>
      <w:r>
        <w:rPr>
          <w:sz w:val="24"/>
        </w:rPr>
        <w:t xml:space="preserve">The findings are more measured on skills shortages and compliance complexity. These may be symptoms of workload pressure, prioritisation and weak implementation patterns rather than root causes, and should be validated before major intervention is designed around them. </w:t>
      </w:r>
    </w:p>
    <w:p w14:paraId="3F29C971" w14:textId="77777777" w:rsidR="003F0DB8" w:rsidRDefault="00000000">
      <w:pPr>
        <w:spacing w:after="225" w:line="259" w:lineRule="auto"/>
        <w:ind w:left="0" w:firstLine="0"/>
      </w:pPr>
      <w:r>
        <w:rPr>
          <w:sz w:val="24"/>
        </w:rPr>
        <w:lastRenderedPageBreak/>
        <w:t xml:space="preserve"> </w:t>
      </w:r>
    </w:p>
    <w:p w14:paraId="4121C4F9" w14:textId="77777777" w:rsidR="003F0DB8" w:rsidRDefault="00000000">
      <w:pPr>
        <w:pStyle w:val="Heading1"/>
        <w:spacing w:after="0"/>
        <w:ind w:left="-5"/>
      </w:pPr>
      <w:bookmarkStart w:id="17" w:name="_Toc96799"/>
      <w:r>
        <w:t xml:space="preserve">Guard Rails </w:t>
      </w:r>
      <w:bookmarkEnd w:id="17"/>
    </w:p>
    <w:p w14:paraId="478E64E4" w14:textId="77777777" w:rsidR="003F0DB8" w:rsidRDefault="00000000">
      <w:pPr>
        <w:spacing w:after="0" w:line="259" w:lineRule="auto"/>
        <w:ind w:left="-1" w:right="3855" w:firstLine="0"/>
        <w:jc w:val="center"/>
      </w:pPr>
      <w:r>
        <w:rPr>
          <w:noProof/>
        </w:rPr>
        <w:drawing>
          <wp:inline distT="0" distB="0" distL="0" distR="0" wp14:anchorId="371AE5F8" wp14:editId="1DF51D2F">
            <wp:extent cx="6309360" cy="3968750"/>
            <wp:effectExtent l="0" t="0" r="0" b="0"/>
            <wp:docPr id="2475" name="Picture 2475"/>
            <wp:cNvGraphicFramePr/>
            <a:graphic xmlns:a="http://schemas.openxmlformats.org/drawingml/2006/main">
              <a:graphicData uri="http://schemas.openxmlformats.org/drawingml/2006/picture">
                <pic:pic xmlns:pic="http://schemas.openxmlformats.org/drawingml/2006/picture">
                  <pic:nvPicPr>
                    <pic:cNvPr id="2475" name="Picture 2475"/>
                    <pic:cNvPicPr/>
                  </pic:nvPicPr>
                  <pic:blipFill>
                    <a:blip r:embed="rId14"/>
                    <a:stretch>
                      <a:fillRect/>
                    </a:stretch>
                  </pic:blipFill>
                  <pic:spPr>
                    <a:xfrm>
                      <a:off x="0" y="0"/>
                      <a:ext cx="6309360" cy="3968750"/>
                    </a:xfrm>
                    <a:prstGeom prst="rect">
                      <a:avLst/>
                    </a:prstGeom>
                  </pic:spPr>
                </pic:pic>
              </a:graphicData>
            </a:graphic>
          </wp:inline>
        </w:drawing>
      </w:r>
      <w:r>
        <w:rPr>
          <w:sz w:val="24"/>
        </w:rPr>
        <w:t xml:space="preserve"> </w:t>
      </w:r>
    </w:p>
    <w:p w14:paraId="3CC14FE7" w14:textId="77777777" w:rsidR="003F0DB8" w:rsidRDefault="00000000">
      <w:pPr>
        <w:spacing w:after="110" w:line="269" w:lineRule="auto"/>
        <w:ind w:left="10" w:right="3" w:hanging="10"/>
      </w:pPr>
      <w:r>
        <w:rPr>
          <w:sz w:val="24"/>
        </w:rPr>
        <w:t xml:space="preserve">Control maturity is uneven across the estate. The new-world environment is more advanced on policy parameters and diagnostic settings, while the legacy estate remains inconsistent. The gap is not always technical inability. It is often the result of design choices, legacy constraints or cost trade-offs. </w:t>
      </w:r>
    </w:p>
    <w:p w14:paraId="5F2318EC" w14:textId="77777777" w:rsidR="003F0DB8" w:rsidRDefault="00000000">
      <w:pPr>
        <w:numPr>
          <w:ilvl w:val="0"/>
          <w:numId w:val="8"/>
        </w:numPr>
        <w:spacing w:after="110" w:line="269" w:lineRule="auto"/>
        <w:ind w:right="3" w:hanging="360"/>
      </w:pPr>
      <w:r>
        <w:rPr>
          <w:b/>
          <w:sz w:val="24"/>
        </w:rPr>
        <w:t>Activity logging.</w:t>
      </w:r>
      <w:r>
        <w:rPr>
          <w:sz w:val="24"/>
        </w:rPr>
        <w:t xml:space="preserve"> Stronger in newer Azure areas, less complete elsewhere, partly for cost reasons. This weakens auditability and incident response where they matter. </w:t>
      </w:r>
    </w:p>
    <w:p w14:paraId="608004ED" w14:textId="77777777" w:rsidR="003F0DB8" w:rsidRDefault="00000000">
      <w:pPr>
        <w:numPr>
          <w:ilvl w:val="0"/>
          <w:numId w:val="8"/>
        </w:numPr>
        <w:spacing w:after="110" w:line="269" w:lineRule="auto"/>
        <w:ind w:right="3" w:hanging="360"/>
      </w:pPr>
      <w:r>
        <w:rPr>
          <w:b/>
          <w:sz w:val="24"/>
        </w:rPr>
        <w:t>Policy enforcement.</w:t>
      </w:r>
      <w:r>
        <w:rPr>
          <w:sz w:val="24"/>
        </w:rPr>
        <w:t xml:space="preserve"> The main issue is turning written standards into technical enforcement. The estate needs stronger policy-as-code and pattern-based enforcement, especially where legacy still depends on manual interpretation. </w:t>
      </w:r>
    </w:p>
    <w:p w14:paraId="2A49E738" w14:textId="77777777" w:rsidR="003F0DB8" w:rsidRDefault="00000000">
      <w:pPr>
        <w:numPr>
          <w:ilvl w:val="0"/>
          <w:numId w:val="8"/>
        </w:numPr>
        <w:spacing w:after="110" w:line="269" w:lineRule="auto"/>
        <w:ind w:right="3" w:hanging="360"/>
      </w:pPr>
      <w:r>
        <w:rPr>
          <w:b/>
          <w:sz w:val="24"/>
        </w:rPr>
        <w:lastRenderedPageBreak/>
        <w:t>Change control.</w:t>
      </w:r>
      <w:r>
        <w:rPr>
          <w:sz w:val="24"/>
        </w:rPr>
        <w:t xml:space="preserve"> An established legacy strength, but one that operates through manual governance rather than built-in platform mechanisms. </w:t>
      </w:r>
    </w:p>
    <w:p w14:paraId="70381121" w14:textId="77777777" w:rsidR="003F0DB8" w:rsidRDefault="00000000">
      <w:pPr>
        <w:spacing w:after="110" w:line="269" w:lineRule="auto"/>
        <w:ind w:left="10" w:right="3" w:hanging="10"/>
      </w:pPr>
      <w:r>
        <w:rPr>
          <w:sz w:val="24"/>
        </w:rPr>
        <w:t xml:space="preserve">Control improvement should be selective. CQC needs to decide where stronger controls matter first, especially where legacy and new-world services coexist. </w:t>
      </w:r>
    </w:p>
    <w:p w14:paraId="31F60B43" w14:textId="77777777" w:rsidR="003F0DB8" w:rsidRDefault="00000000">
      <w:pPr>
        <w:spacing w:after="0" w:line="259" w:lineRule="auto"/>
        <w:ind w:left="0" w:firstLine="0"/>
      </w:pPr>
      <w:r>
        <w:rPr>
          <w:sz w:val="24"/>
        </w:rPr>
        <w:t xml:space="preserve"> </w:t>
      </w:r>
      <w:r>
        <w:br w:type="page"/>
      </w:r>
    </w:p>
    <w:p w14:paraId="471ACEF3" w14:textId="77777777" w:rsidR="003F0DB8" w:rsidRDefault="00000000">
      <w:pPr>
        <w:pStyle w:val="Heading1"/>
        <w:spacing w:after="0"/>
        <w:ind w:left="-5"/>
      </w:pPr>
      <w:bookmarkStart w:id="18" w:name="_Toc96800"/>
      <w:r>
        <w:lastRenderedPageBreak/>
        <w:t xml:space="preserve">Integrated advisory view </w:t>
      </w:r>
      <w:bookmarkEnd w:id="18"/>
    </w:p>
    <w:p w14:paraId="6A82104C" w14:textId="77777777" w:rsidR="003F0DB8" w:rsidRDefault="00000000">
      <w:pPr>
        <w:spacing w:after="62" w:line="259" w:lineRule="auto"/>
        <w:ind w:left="-1" w:right="3855" w:firstLine="0"/>
        <w:jc w:val="center"/>
      </w:pPr>
      <w:r>
        <w:rPr>
          <w:noProof/>
        </w:rPr>
        <w:drawing>
          <wp:inline distT="0" distB="0" distL="0" distR="0" wp14:anchorId="5F6D4F7E" wp14:editId="7F8F702F">
            <wp:extent cx="6309360" cy="4206240"/>
            <wp:effectExtent l="0" t="0" r="0" b="0"/>
            <wp:docPr id="2539" name="Picture 2539"/>
            <wp:cNvGraphicFramePr/>
            <a:graphic xmlns:a="http://schemas.openxmlformats.org/drawingml/2006/main">
              <a:graphicData uri="http://schemas.openxmlformats.org/drawingml/2006/picture">
                <pic:pic xmlns:pic="http://schemas.openxmlformats.org/drawingml/2006/picture">
                  <pic:nvPicPr>
                    <pic:cNvPr id="2539" name="Picture 2539"/>
                    <pic:cNvPicPr/>
                  </pic:nvPicPr>
                  <pic:blipFill>
                    <a:blip r:embed="rId15"/>
                    <a:stretch>
                      <a:fillRect/>
                    </a:stretch>
                  </pic:blipFill>
                  <pic:spPr>
                    <a:xfrm>
                      <a:off x="0" y="0"/>
                      <a:ext cx="6309360" cy="4206240"/>
                    </a:xfrm>
                    <a:prstGeom prst="rect">
                      <a:avLst/>
                    </a:prstGeom>
                  </pic:spPr>
                </pic:pic>
              </a:graphicData>
            </a:graphic>
          </wp:inline>
        </w:drawing>
      </w:r>
      <w:r>
        <w:rPr>
          <w:sz w:val="24"/>
        </w:rPr>
        <w:t xml:space="preserve"> </w:t>
      </w:r>
    </w:p>
    <w:p w14:paraId="1AB83384" w14:textId="77777777" w:rsidR="003F0DB8" w:rsidRDefault="00000000">
      <w:pPr>
        <w:spacing w:after="110" w:line="269" w:lineRule="auto"/>
        <w:ind w:left="10" w:right="3" w:hanging="10"/>
      </w:pPr>
      <w:r>
        <w:rPr>
          <w:sz w:val="24"/>
        </w:rPr>
        <w:t xml:space="preserve">The strategy material and the assessment findings tell one story. CQC is trying to restore trust, improve performance and modernise its operating model while under pressure from backlog, ageing systems, workforce strain and scrutiny. What gets in the way today is consistent across the chapters: unclear prioritisation, weak ownership, inconsistent governance, fragmented observability, limited repeatability, and uneven maturity between legacy and new environments. </w:t>
      </w:r>
    </w:p>
    <w:p w14:paraId="279D04C1" w14:textId="77777777" w:rsidR="003F0DB8" w:rsidRDefault="00000000">
      <w:pPr>
        <w:spacing w:after="110" w:line="269" w:lineRule="auto"/>
        <w:ind w:left="10" w:right="3" w:hanging="10"/>
      </w:pPr>
      <w:r>
        <w:rPr>
          <w:sz w:val="24"/>
        </w:rPr>
        <w:t xml:space="preserve">The cloud assessment is therefore an enabling intervention, not a technical review in isolation. The sequencing is clear: </w:t>
      </w:r>
    </w:p>
    <w:p w14:paraId="4DCC23A0" w14:textId="77777777" w:rsidR="003F0DB8" w:rsidRDefault="00000000">
      <w:pPr>
        <w:numPr>
          <w:ilvl w:val="0"/>
          <w:numId w:val="9"/>
        </w:numPr>
        <w:spacing w:after="110" w:line="269" w:lineRule="auto"/>
        <w:ind w:right="636" w:hanging="360"/>
      </w:pPr>
      <w:r>
        <w:rPr>
          <w:b/>
          <w:sz w:val="24"/>
        </w:rPr>
        <w:t>Early moves.</w:t>
      </w:r>
      <w:r>
        <w:rPr>
          <w:sz w:val="24"/>
        </w:rPr>
        <w:t xml:space="preserve"> Improve visibility, reduce rework and strengthen delivery discipline. </w:t>
      </w:r>
    </w:p>
    <w:p w14:paraId="2B7F7DDA" w14:textId="77777777" w:rsidR="003F0DB8" w:rsidRDefault="00000000">
      <w:pPr>
        <w:numPr>
          <w:ilvl w:val="0"/>
          <w:numId w:val="9"/>
        </w:numPr>
        <w:spacing w:after="230" w:line="259" w:lineRule="auto"/>
        <w:ind w:right="636" w:hanging="360"/>
      </w:pPr>
      <w:r>
        <w:rPr>
          <w:b/>
          <w:sz w:val="24"/>
        </w:rPr>
        <w:t>Heaviest work.</w:t>
      </w:r>
      <w:r>
        <w:rPr>
          <w:sz w:val="24"/>
        </w:rPr>
        <w:t xml:space="preserve"> Legacy transition, observability, governance maturity, clearer accountability and capability uplift. </w:t>
      </w:r>
    </w:p>
    <w:p w14:paraId="550BEE09" w14:textId="77777777" w:rsidR="003F0DB8" w:rsidRDefault="00000000">
      <w:pPr>
        <w:spacing w:after="0" w:line="259" w:lineRule="auto"/>
        <w:ind w:left="0" w:firstLine="0"/>
      </w:pPr>
      <w:r>
        <w:rPr>
          <w:sz w:val="24"/>
        </w:rPr>
        <w:t xml:space="preserve"> </w:t>
      </w:r>
      <w:r>
        <w:rPr>
          <w:sz w:val="24"/>
        </w:rPr>
        <w:tab/>
      </w:r>
      <w:r>
        <w:rPr>
          <w:b/>
          <w:sz w:val="32"/>
        </w:rPr>
        <w:t xml:space="preserve"> </w:t>
      </w:r>
      <w:r>
        <w:br w:type="page"/>
      </w:r>
    </w:p>
    <w:p w14:paraId="45B7A0F1" w14:textId="77777777" w:rsidR="003F0DB8" w:rsidRDefault="00000000">
      <w:pPr>
        <w:pStyle w:val="Heading1"/>
        <w:spacing w:after="86"/>
        <w:ind w:left="-5"/>
      </w:pPr>
      <w:bookmarkStart w:id="19" w:name="_Toc96801"/>
      <w:r>
        <w:rPr>
          <w:sz w:val="32"/>
        </w:rPr>
        <w:lastRenderedPageBreak/>
        <w:t xml:space="preserve">Cloud Governance </w:t>
      </w:r>
      <w:bookmarkEnd w:id="19"/>
    </w:p>
    <w:p w14:paraId="30A616F1" w14:textId="77777777" w:rsidR="003F0DB8" w:rsidRDefault="00000000">
      <w:pPr>
        <w:pStyle w:val="Heading1"/>
        <w:ind w:left="-5"/>
      </w:pPr>
      <w:bookmarkStart w:id="20" w:name="_Toc96802"/>
      <w:r>
        <w:t xml:space="preserve">Current State Overview </w:t>
      </w:r>
      <w:bookmarkEnd w:id="20"/>
    </w:p>
    <w:p w14:paraId="6ECAE9C6" w14:textId="77777777" w:rsidR="003F0DB8" w:rsidRDefault="00000000">
      <w:pPr>
        <w:spacing w:after="110" w:line="269" w:lineRule="auto"/>
        <w:ind w:left="10" w:right="3" w:hanging="10"/>
      </w:pPr>
      <w:r>
        <w:rPr>
          <w:sz w:val="24"/>
        </w:rPr>
        <w:t>CQC's Azure governance is in a known transitional state. The estate runs in a single Entra tenant but spans three parallel management-group hierarchies - legacy, "old CAF", and the new CQC CAF-aligned target - totalling 36 management groups, 65 subscriptions, 566 resource groups and 7,839 tenant-wide resources. The new CQC CAF hierarchy has been confirmed as the future model and is operational, but the bulk of running workloads remain in the legacy and old-CAF branches.</w:t>
      </w:r>
      <w:r>
        <w:rPr>
          <w:b/>
          <w:sz w:val="24"/>
        </w:rPr>
        <w:t xml:space="preserve"> </w:t>
      </w:r>
    </w:p>
    <w:p w14:paraId="7977430B" w14:textId="77777777" w:rsidR="003F0DB8" w:rsidRDefault="00000000">
      <w:pPr>
        <w:spacing w:after="110" w:line="269" w:lineRule="auto"/>
        <w:ind w:left="10" w:right="3" w:hanging="10"/>
      </w:pPr>
      <w:r>
        <w:rPr>
          <w:sz w:val="24"/>
        </w:rPr>
        <w:t>The transition is consequential rather than cosmetic. Policy inheritance, RBAC scope, tagging enforcement, FinOps accountability and decommissioning all currently behave differently depending on where a subscription sits in the hierarchy, which means governance outcomes are determined by historical placement rather than by current intent. The Cloud Centre of Excellence and platform team have established the right target patterns; the remaining work is to retire the legacy paths and embed ownership.</w:t>
      </w:r>
      <w:r>
        <w:rPr>
          <w:b/>
          <w:sz w:val="24"/>
        </w:rPr>
        <w:t xml:space="preserve"> </w:t>
      </w:r>
    </w:p>
    <w:p w14:paraId="6F53EF69" w14:textId="77777777" w:rsidR="003F0DB8" w:rsidRDefault="00000000">
      <w:pPr>
        <w:pStyle w:val="Heading3"/>
        <w:ind w:left="-5"/>
      </w:pPr>
      <w:r>
        <w:t xml:space="preserve">Governance Pillars </w:t>
      </w:r>
    </w:p>
    <w:p w14:paraId="02147713" w14:textId="77777777" w:rsidR="003F0DB8" w:rsidRDefault="00000000">
      <w:pPr>
        <w:spacing w:after="110" w:line="269" w:lineRule="auto"/>
        <w:ind w:left="10" w:right="3" w:hanging="10"/>
      </w:pPr>
      <w:r>
        <w:rPr>
          <w:sz w:val="24"/>
        </w:rPr>
        <w:t xml:space="preserve">This assessment evaluates governance posture through four pillars: </w:t>
      </w:r>
    </w:p>
    <w:p w14:paraId="6628C4FA" w14:textId="77777777" w:rsidR="003F0DB8" w:rsidRDefault="00000000">
      <w:pPr>
        <w:numPr>
          <w:ilvl w:val="0"/>
          <w:numId w:val="10"/>
        </w:numPr>
        <w:ind w:right="5" w:hanging="284"/>
      </w:pPr>
      <w:r>
        <w:rPr>
          <w:b/>
        </w:rPr>
        <w:t>Cloud Structure</w:t>
      </w:r>
      <w:r>
        <w:t xml:space="preserve"> - management-group hierarchy and subscription organisation. </w:t>
      </w:r>
    </w:p>
    <w:p w14:paraId="4519AA0D" w14:textId="77777777" w:rsidR="003F0DB8" w:rsidRDefault="00000000">
      <w:pPr>
        <w:numPr>
          <w:ilvl w:val="0"/>
          <w:numId w:val="10"/>
        </w:numPr>
        <w:ind w:right="5" w:hanging="284"/>
      </w:pPr>
      <w:r>
        <w:rPr>
          <w:b/>
        </w:rPr>
        <w:t>Cloud Guardrails</w:t>
      </w:r>
      <w:r>
        <w:t xml:space="preserve"> - policy enforcement, compliance standards, and tagging hygiene. </w:t>
      </w:r>
    </w:p>
    <w:p w14:paraId="049D8F8A" w14:textId="77777777" w:rsidR="003F0DB8" w:rsidRDefault="00000000">
      <w:pPr>
        <w:numPr>
          <w:ilvl w:val="0"/>
          <w:numId w:val="10"/>
        </w:numPr>
        <w:ind w:right="5" w:hanging="284"/>
      </w:pPr>
      <w:r>
        <w:rPr>
          <w:b/>
        </w:rPr>
        <w:t>Cloud Onboarding &amp; Operating Model</w:t>
      </w:r>
      <w:r>
        <w:t xml:space="preserve"> - subscription-vending lifecycle, drift remediation, and administrative privileges. </w:t>
      </w:r>
    </w:p>
    <w:p w14:paraId="2B985A4E" w14:textId="77777777" w:rsidR="003F0DB8" w:rsidRDefault="00000000">
      <w:pPr>
        <w:numPr>
          <w:ilvl w:val="0"/>
          <w:numId w:val="10"/>
        </w:numPr>
        <w:ind w:right="5" w:hanging="284"/>
      </w:pPr>
      <w:r>
        <w:rPr>
          <w:b/>
        </w:rPr>
        <w:t>Data Governance</w:t>
      </w:r>
      <w:r>
        <w:t xml:space="preserve"> - residency, classification, encryption and lifecycle standards for data assets. </w:t>
      </w:r>
    </w:p>
    <w:p w14:paraId="0ECD2C85" w14:textId="77777777" w:rsidR="003F0DB8" w:rsidRDefault="00000000">
      <w:pPr>
        <w:spacing w:after="0" w:line="259" w:lineRule="auto"/>
        <w:ind w:left="624" w:firstLine="0"/>
      </w:pPr>
      <w:r>
        <w:t xml:space="preserve"> </w:t>
      </w:r>
      <w:r>
        <w:tab/>
        <w:t xml:space="preserve"> </w:t>
      </w:r>
    </w:p>
    <w:p w14:paraId="7031970C" w14:textId="77777777" w:rsidR="003F0DB8" w:rsidRDefault="00000000">
      <w:pPr>
        <w:pStyle w:val="Heading1"/>
        <w:ind w:left="-5"/>
      </w:pPr>
      <w:bookmarkStart w:id="21" w:name="_Toc96803"/>
      <w:r>
        <w:t xml:space="preserve">A. Cloud Structure </w:t>
      </w:r>
      <w:bookmarkEnd w:id="21"/>
    </w:p>
    <w:p w14:paraId="397C920F" w14:textId="77777777" w:rsidR="003F0DB8" w:rsidRDefault="00000000">
      <w:pPr>
        <w:spacing w:after="110" w:line="269" w:lineRule="auto"/>
        <w:ind w:left="10" w:right="3" w:hanging="10"/>
      </w:pPr>
      <w:r>
        <w:rPr>
          <w:sz w:val="24"/>
        </w:rPr>
        <w:t xml:space="preserve">CQC operates a single Entra tenant, but governance is split across three parallel management-group hierarchies: a legacy tree, an interim "old CAF" tree, and the new CQC CAF-aligned target. The new hierarchy has been confirmed as the future model and is live, yet the majority of running workloads still sit in the two older trees. Workshops framed this as an operating-model and ownership question rather than a technical constraint: the target patterns are right, and the work that remains is to retire the legacy paths and embed clear ownership of placement decisions. </w:t>
      </w:r>
    </w:p>
    <w:p w14:paraId="7AFC1619" w14:textId="77777777" w:rsidR="003F0DB8" w:rsidRDefault="00000000">
      <w:pPr>
        <w:pStyle w:val="Heading3"/>
        <w:ind w:left="-5"/>
      </w:pPr>
      <w:r>
        <w:t xml:space="preserve">Parallel Hierarchies </w:t>
      </w:r>
    </w:p>
    <w:p w14:paraId="33E8B651" w14:textId="77777777" w:rsidR="003F0DB8" w:rsidRDefault="00000000">
      <w:pPr>
        <w:numPr>
          <w:ilvl w:val="0"/>
          <w:numId w:val="11"/>
        </w:numPr>
        <w:spacing w:after="46"/>
        <w:ind w:right="5" w:hanging="284"/>
      </w:pPr>
      <w:r>
        <w:t xml:space="preserve">Three active hierarchies govern one tenant at the same time, so policy inheritance, RBAC scope, tagging and cost accountability all behave differently depending on where a subscription sits. Governance outcomes are set by historical placement rather than current intent. </w:t>
      </w:r>
    </w:p>
    <w:p w14:paraId="01A7175F" w14:textId="77777777" w:rsidR="003F0DB8" w:rsidRDefault="00000000">
      <w:pPr>
        <w:numPr>
          <w:ilvl w:val="0"/>
          <w:numId w:val="11"/>
        </w:numPr>
        <w:spacing w:after="45"/>
        <w:ind w:right="5" w:hanging="284"/>
      </w:pPr>
      <w:r>
        <w:t xml:space="preserve">The new CQC tree is correctly structured to CAF (Landing Zones, Platform and Sandbox) but holds only a handful of platform subscriptions today. The empty Corp and Online groups are reserved capacity awaiting application migration. </w:t>
      </w:r>
    </w:p>
    <w:p w14:paraId="0238581B" w14:textId="77777777" w:rsidR="003F0DB8" w:rsidRDefault="00000000">
      <w:pPr>
        <w:numPr>
          <w:ilvl w:val="0"/>
          <w:numId w:val="11"/>
        </w:numPr>
        <w:ind w:right="5" w:hanging="284"/>
      </w:pPr>
      <w:r>
        <w:lastRenderedPageBreak/>
        <w:t xml:space="preserve">Both older trees remain fully operational and continue to accrue new resources, widening the gap with every month that passes. </w:t>
      </w:r>
    </w:p>
    <w:p w14:paraId="4698A6F3" w14:textId="77777777" w:rsidR="003F0DB8" w:rsidRDefault="00000000">
      <w:pPr>
        <w:numPr>
          <w:ilvl w:val="0"/>
          <w:numId w:val="11"/>
        </w:numPr>
        <w:spacing w:after="78"/>
        <w:ind w:right="5" w:hanging="284"/>
      </w:pPr>
      <w:r>
        <w:t xml:space="preserve">The legacy structures cannot be removed without a planned retirement runway, estimated through workshops at approximately eighteen months. </w:t>
      </w:r>
    </w:p>
    <w:p w14:paraId="6949A4E2" w14:textId="77777777" w:rsidR="003F0DB8" w:rsidRDefault="00000000">
      <w:pPr>
        <w:pStyle w:val="Heading3"/>
        <w:ind w:left="-5"/>
      </w:pPr>
      <w:r>
        <w:t xml:space="preserve">Fragmented Legacy Estate </w:t>
      </w:r>
    </w:p>
    <w:p w14:paraId="49475335" w14:textId="77777777" w:rsidR="003F0DB8" w:rsidRDefault="00000000">
      <w:pPr>
        <w:numPr>
          <w:ilvl w:val="0"/>
          <w:numId w:val="12"/>
        </w:numPr>
        <w:spacing w:after="47"/>
        <w:ind w:right="5" w:hanging="284"/>
      </w:pPr>
      <w:r>
        <w:t xml:space="preserve">The legacy estate was never designed as a single coherent structure. Subscriptions were created at different times by different teams and grouped by environment (prod and non-prod) rather than by workload, which is misaligned with Microsoft CAF guidance. </w:t>
      </w:r>
    </w:p>
    <w:p w14:paraId="505001AD" w14:textId="77777777" w:rsidR="003F0DB8" w:rsidRDefault="00000000">
      <w:pPr>
        <w:numPr>
          <w:ilvl w:val="0"/>
          <w:numId w:val="12"/>
        </w:numPr>
        <w:spacing w:after="45"/>
        <w:ind w:right="5" w:hanging="284"/>
      </w:pPr>
      <w:r>
        <w:t xml:space="preserve">Over half of the legacy estate is concentrated in five ATOS-era subscriptions, originally stood up as migration landing zones and never broken apart. This makes it hard to isolate workloads, assign ownership, or decommission anything without first mapping the full dependency chain. </w:t>
      </w:r>
    </w:p>
    <w:p w14:paraId="285D397E" w14:textId="77777777" w:rsidR="003F0DB8" w:rsidRDefault="00000000">
      <w:pPr>
        <w:numPr>
          <w:ilvl w:val="0"/>
          <w:numId w:val="12"/>
        </w:numPr>
        <w:spacing w:after="78"/>
        <w:ind w:right="5" w:hanging="284"/>
      </w:pPr>
      <w:r>
        <w:t xml:space="preserve">The result is no single view of who owns what, no consistent way to apply controls, and no reliable basis for attributing cost to a service or team. </w:t>
      </w:r>
    </w:p>
    <w:p w14:paraId="1B7362FA" w14:textId="77777777" w:rsidR="003F0DB8" w:rsidRDefault="00000000">
      <w:pPr>
        <w:pStyle w:val="Heading3"/>
        <w:ind w:left="-5"/>
      </w:pPr>
      <w:r>
        <w:t xml:space="preserve">Naming and Tagging Gaps </w:t>
      </w:r>
    </w:p>
    <w:p w14:paraId="34A8E03F" w14:textId="77777777" w:rsidR="003F0DB8" w:rsidRDefault="00000000">
      <w:pPr>
        <w:numPr>
          <w:ilvl w:val="0"/>
          <w:numId w:val="13"/>
        </w:numPr>
        <w:spacing w:after="46"/>
        <w:ind w:right="5" w:hanging="284"/>
      </w:pPr>
      <w:r>
        <w:t xml:space="preserve">A CAF-aligned naming convention is established and documented in the Cloud Centre of Excellence, and tagging standards are enforced in the new environment. </w:t>
      </w:r>
    </w:p>
    <w:p w14:paraId="4DAF990B" w14:textId="77777777" w:rsidR="003F0DB8" w:rsidRDefault="00000000">
      <w:pPr>
        <w:numPr>
          <w:ilvl w:val="0"/>
          <w:numId w:val="13"/>
        </w:numPr>
        <w:spacing w:after="45"/>
        <w:ind w:right="5" w:hanging="284"/>
      </w:pPr>
      <w:r>
        <w:t xml:space="preserve">In the legacy estate, ownership, cost-centre and data-classification tags are effectively absent, and the environment tag, although widely applied, uses inconsistent values, with several casings of prod, dev and sandbox in use at once. </w:t>
      </w:r>
    </w:p>
    <w:p w14:paraId="648F11C3" w14:textId="77777777" w:rsidR="003F0DB8" w:rsidRDefault="00000000">
      <w:pPr>
        <w:numPr>
          <w:ilvl w:val="0"/>
          <w:numId w:val="13"/>
        </w:numPr>
        <w:spacing w:after="78"/>
        <w:ind w:right="5" w:hanging="284"/>
      </w:pPr>
      <w:r>
        <w:t xml:space="preserve">Without consistent tags, cost allocation, ownership resolution and classification-driven controls cannot attach to legacy resources. </w:t>
      </w:r>
    </w:p>
    <w:p w14:paraId="5FA94CB7" w14:textId="77777777" w:rsidR="003F0DB8" w:rsidRDefault="00000000">
      <w:pPr>
        <w:pStyle w:val="Heading3"/>
        <w:ind w:left="-5"/>
      </w:pPr>
      <w:r>
        <w:t xml:space="preserve">Tagging is Rich but FinOps-Blind </w:t>
      </w:r>
    </w:p>
    <w:p w14:paraId="7CF0F160" w14:textId="77777777" w:rsidR="003F0DB8" w:rsidRDefault="00000000">
      <w:pPr>
        <w:numPr>
          <w:ilvl w:val="0"/>
          <w:numId w:val="14"/>
        </w:numPr>
        <w:ind w:right="5" w:hanging="284"/>
      </w:pPr>
      <w:r>
        <w:t xml:space="preserve">Legacy resources are heavily tagged, and the keys in use capture the right intent: service owner, service name, cost code and data classification. </w:t>
      </w:r>
    </w:p>
    <w:p w14:paraId="4268FB77" w14:textId="77777777" w:rsidR="003F0DB8" w:rsidRDefault="003F0DB8">
      <w:pPr>
        <w:sectPr w:rsidR="003F0DB8">
          <w:headerReference w:type="even" r:id="rId16"/>
          <w:headerReference w:type="default" r:id="rId17"/>
          <w:headerReference w:type="first" r:id="rId18"/>
          <w:pgSz w:w="16836" w:h="11908" w:orient="landscape"/>
          <w:pgMar w:top="879" w:right="1537" w:bottom="192" w:left="1441" w:header="720" w:footer="720" w:gutter="0"/>
          <w:cols w:space="720"/>
        </w:sectPr>
      </w:pPr>
    </w:p>
    <w:p w14:paraId="5083ED5B" w14:textId="77777777" w:rsidR="003F0DB8" w:rsidRDefault="00000000">
      <w:pPr>
        <w:spacing w:after="42"/>
        <w:ind w:left="284" w:right="5" w:firstLine="0"/>
      </w:pPr>
      <w:r>
        <w:lastRenderedPageBreak/>
        <w:t xml:space="preserve">The keys do not match the canonical names that Azure Cost Management and policy-driven controls expect, so cost allocation, ownership resolution and classification all fail to attach despite the tags being present. </w:t>
      </w:r>
    </w:p>
    <w:p w14:paraId="70358FD3" w14:textId="77777777" w:rsidR="003F0DB8" w:rsidRDefault="00000000">
      <w:pPr>
        <w:numPr>
          <w:ilvl w:val="0"/>
          <w:numId w:val="14"/>
        </w:numPr>
        <w:spacing w:after="78"/>
        <w:ind w:right="5" w:hanging="284"/>
      </w:pPr>
      <w:r>
        <w:t xml:space="preserve">Data classification is one of the missing canonical tags, which links directly to the findings in D. Data Governance. </w:t>
      </w:r>
    </w:p>
    <w:p w14:paraId="51DB94B3" w14:textId="77777777" w:rsidR="003F0DB8" w:rsidRDefault="00000000">
      <w:pPr>
        <w:pStyle w:val="Heading3"/>
        <w:ind w:left="-5"/>
      </w:pPr>
      <w:r>
        <w:t xml:space="preserve">Empty Management Groups </w:t>
      </w:r>
    </w:p>
    <w:p w14:paraId="6FE48B63" w14:textId="77777777" w:rsidR="003F0DB8" w:rsidRDefault="00000000">
      <w:pPr>
        <w:numPr>
          <w:ilvl w:val="0"/>
          <w:numId w:val="15"/>
        </w:numPr>
        <w:spacing w:after="46"/>
        <w:ind w:right="5" w:hanging="284"/>
      </w:pPr>
      <w:r>
        <w:t xml:space="preserve">Eight management groups are empty, but they fall into two distinct populations. Around half are CAF scaffolding awaiting subscription migration and should be retained; the rest are legacy artefacts that should be removed in the retirement wave. </w:t>
      </w:r>
    </w:p>
    <w:p w14:paraId="2DC4588A" w14:textId="77777777" w:rsidR="003F0DB8" w:rsidRDefault="00000000">
      <w:pPr>
        <w:numPr>
          <w:ilvl w:val="0"/>
          <w:numId w:val="15"/>
        </w:numPr>
        <w:spacing w:after="78"/>
        <w:ind w:right="5" w:hanging="284"/>
      </w:pPr>
      <w:r>
        <w:t xml:space="preserve">Reporting them as a single number obscures which are intentional and which are residue. </w:t>
      </w:r>
    </w:p>
    <w:p w14:paraId="60857E79" w14:textId="77777777" w:rsidR="003F0DB8" w:rsidRDefault="00000000">
      <w:pPr>
        <w:pStyle w:val="Heading3"/>
        <w:ind w:left="-5"/>
      </w:pPr>
      <w:r>
        <w:t xml:space="preserve">Transitional Landing Zone </w:t>
      </w:r>
    </w:p>
    <w:p w14:paraId="7C51C7B6" w14:textId="77777777" w:rsidR="003F0DB8" w:rsidRDefault="00000000">
      <w:pPr>
        <w:numPr>
          <w:ilvl w:val="0"/>
          <w:numId w:val="16"/>
        </w:numPr>
        <w:ind w:right="5" w:hanging="284"/>
      </w:pPr>
      <w:r>
        <w:t xml:space="preserve">The new world is being built in code under the CQC management group, with subscription vending, baseline networking, key vault, storage and RBAC. </w:t>
      </w:r>
    </w:p>
    <w:p w14:paraId="68679690" w14:textId="77777777" w:rsidR="003F0DB8" w:rsidRDefault="00000000">
      <w:pPr>
        <w:numPr>
          <w:ilvl w:val="0"/>
          <w:numId w:val="16"/>
        </w:numPr>
        <w:spacing w:after="45"/>
        <w:ind w:right="5" w:hanging="284"/>
      </w:pPr>
      <w:r>
        <w:t xml:space="preserve">The old world remains in place and holds the majority of running workloads, with iterative segmentation, audit-only policies and a partner-managed firewall. </w:t>
      </w:r>
    </w:p>
    <w:p w14:paraId="6907FF7B" w14:textId="77777777" w:rsidR="003F0DB8" w:rsidRDefault="00000000">
      <w:pPr>
        <w:numPr>
          <w:ilvl w:val="0"/>
          <w:numId w:val="16"/>
        </w:numPr>
        <w:spacing w:after="47"/>
        <w:ind w:right="5" w:hanging="284"/>
      </w:pPr>
      <w:r>
        <w:t xml:space="preserve">Identity runs on the single Entra tenant with directory sync to a legacy on-premises Active Directory, whose synchronisation direction was not confirmed at the workshop. </w:t>
      </w:r>
    </w:p>
    <w:p w14:paraId="72E10479" w14:textId="77777777" w:rsidR="003F0DB8" w:rsidRDefault="00000000">
      <w:pPr>
        <w:numPr>
          <w:ilvl w:val="0"/>
          <w:numId w:val="16"/>
        </w:numPr>
        <w:spacing w:after="136"/>
        <w:ind w:right="5" w:hanging="284"/>
      </w:pPr>
      <w:r>
        <w:t xml:space="preserve">Regional capacity adds pressure: UK South is constrained today and UK West is not a clean secondary, which complicates resilience planning during migration. </w:t>
      </w:r>
    </w:p>
    <w:p w14:paraId="3D757A49" w14:textId="77777777" w:rsidR="003F0DB8" w:rsidRDefault="00000000">
      <w:pPr>
        <w:pStyle w:val="Heading3"/>
        <w:ind w:left="-5"/>
      </w:pPr>
      <w:r>
        <w:t xml:space="preserve">Lift and Shift Debt </w:t>
      </w:r>
    </w:p>
    <w:p w14:paraId="5EE124C0" w14:textId="77777777" w:rsidR="003F0DB8" w:rsidRDefault="00000000">
      <w:pPr>
        <w:numPr>
          <w:ilvl w:val="0"/>
          <w:numId w:val="17"/>
        </w:numPr>
        <w:ind w:right="5" w:hanging="284"/>
      </w:pPr>
      <w:r>
        <w:t xml:space="preserve">The estate carries a heavy "lift and shift" legacy, roughly split between PaaS and IaaS, with a meaningful slice of compute still running on virtual machines. </w:t>
      </w:r>
    </w:p>
    <w:p w14:paraId="7E4BB89B" w14:textId="77777777" w:rsidR="003F0DB8" w:rsidRDefault="00000000">
      <w:pPr>
        <w:numPr>
          <w:ilvl w:val="0"/>
          <w:numId w:val="17"/>
        </w:numPr>
        <w:ind w:right="5" w:hanging="284"/>
      </w:pPr>
      <w:r>
        <w:t xml:space="preserve">It is large and diverse, spanning compute, integration, data and storage services, and modernisation must be paced against the rebuild programmes (AIS, EDP, Reg Platform) rather than run as a separate exercise. </w:t>
      </w:r>
    </w:p>
    <w:p w14:paraId="39F610DD" w14:textId="77777777" w:rsidR="003F0DB8" w:rsidRDefault="00000000">
      <w:pPr>
        <w:spacing w:after="123" w:line="259" w:lineRule="auto"/>
        <w:ind w:left="852" w:firstLine="0"/>
      </w:pPr>
      <w:r>
        <w:t xml:space="preserve"> </w:t>
      </w:r>
    </w:p>
    <w:p w14:paraId="2FF1C02F" w14:textId="77777777" w:rsidR="003F0DB8" w:rsidRDefault="00000000">
      <w:pPr>
        <w:pStyle w:val="Heading3"/>
        <w:ind w:left="-5"/>
      </w:pPr>
      <w:r>
        <w:t xml:space="preserve">Failure of Decommissioning </w:t>
      </w:r>
    </w:p>
    <w:p w14:paraId="68669301" w14:textId="77777777" w:rsidR="003F0DB8" w:rsidRDefault="00000000">
      <w:pPr>
        <w:numPr>
          <w:ilvl w:val="0"/>
          <w:numId w:val="18"/>
        </w:numPr>
        <w:spacing w:after="46"/>
        <w:ind w:right="5" w:hanging="284"/>
      </w:pPr>
      <w:r>
        <w:t xml:space="preserve">A significant volume of orphaned and stale resources persists: failed or disconnected private endpoints, orphaned Application Insights instances, publicly reachable function apps with no private endpoint, empty subscriptions, and integration-services subscriptions stuck mid-decommission. A 2020 proof-ofconcept subscription also remains as a dumping ground. </w:t>
      </w:r>
    </w:p>
    <w:p w14:paraId="42227597" w14:textId="77777777" w:rsidR="003F0DB8" w:rsidRDefault="00000000">
      <w:pPr>
        <w:numPr>
          <w:ilvl w:val="0"/>
          <w:numId w:val="18"/>
        </w:numPr>
        <w:spacing w:after="80"/>
        <w:ind w:right="5" w:hanging="284"/>
      </w:pPr>
      <w:r>
        <w:t xml:space="preserve">This creates operational toil, audit drag and direct cost waste, and more importantly it masks live exposures by blurring the line between resources that are genuinely in use and those that should have been removed. </w:t>
      </w:r>
    </w:p>
    <w:p w14:paraId="3F05EEBB" w14:textId="77777777" w:rsidR="003F0DB8" w:rsidRDefault="00000000">
      <w:pPr>
        <w:spacing w:after="0" w:line="259" w:lineRule="auto"/>
        <w:ind w:left="0" w:firstLine="0"/>
      </w:pPr>
      <w:r>
        <w:rPr>
          <w:b/>
          <w:sz w:val="28"/>
        </w:rPr>
        <w:t xml:space="preserve"> </w:t>
      </w:r>
    </w:p>
    <w:p w14:paraId="61A463B5" w14:textId="77777777" w:rsidR="003F0DB8" w:rsidRDefault="00000000">
      <w:pPr>
        <w:pStyle w:val="Heading1"/>
        <w:ind w:left="-5"/>
      </w:pPr>
      <w:bookmarkStart w:id="22" w:name="_Toc96804"/>
      <w:r>
        <w:lastRenderedPageBreak/>
        <w:t xml:space="preserve">B. Cloud Guardrails (Policy &amp; Compliance) </w:t>
      </w:r>
      <w:bookmarkEnd w:id="22"/>
    </w:p>
    <w:p w14:paraId="7A92068B" w14:textId="77777777" w:rsidR="003F0DB8" w:rsidRDefault="00000000">
      <w:pPr>
        <w:spacing w:after="110" w:line="269" w:lineRule="auto"/>
        <w:ind w:left="10" w:right="3" w:hanging="10"/>
      </w:pPr>
      <w:r>
        <w:rPr>
          <w:sz w:val="24"/>
        </w:rPr>
        <w:t xml:space="preserve">CQC has moved from an audit-only legacy posture to default enforcement in the new CAF environment. Since late 2024, new policies are enforced without exception, including restrictions such as preventing resource creation outside the UK and blocking public access to storage accounts, with compliance tracked at management-group level. A cloud working group owns policy decisions and management-group structure, with final approval routed through internal technical governance and a designated technical decision-maker. The primary compliance driver is the </w:t>
      </w:r>
      <w:r>
        <w:rPr>
          <w:b/>
          <w:sz w:val="24"/>
        </w:rPr>
        <w:t>NHS DSPT</w:t>
      </w:r>
      <w:r>
        <w:rPr>
          <w:sz w:val="24"/>
        </w:rPr>
        <w:t xml:space="preserve"> </w:t>
      </w:r>
      <w:r>
        <w:rPr>
          <w:i/>
          <w:sz w:val="24"/>
        </w:rPr>
        <w:t>(Data Security and Protection Toolkit)</w:t>
      </w:r>
      <w:r>
        <w:rPr>
          <w:sz w:val="24"/>
        </w:rPr>
        <w:t xml:space="preserve">, aligned to the </w:t>
      </w:r>
      <w:r>
        <w:rPr>
          <w:b/>
          <w:sz w:val="24"/>
        </w:rPr>
        <w:t>NCSC CAF</w:t>
      </w:r>
      <w:r>
        <w:rPr>
          <w:sz w:val="24"/>
        </w:rPr>
        <w:t xml:space="preserve"> </w:t>
      </w:r>
      <w:r>
        <w:rPr>
          <w:i/>
          <w:sz w:val="24"/>
        </w:rPr>
        <w:t>(Cyber Assessment Framework)</w:t>
      </w:r>
      <w:r>
        <w:rPr>
          <w:sz w:val="24"/>
        </w:rPr>
        <w:t xml:space="preserve"> and underpinned by NIST-aligned controls. CQC is not ISO or Cyber Essentials certified, and DSPT failure would cut access to patient data. Policy documentation remains limited, with the platform team owning ongoing maintenance and communication. </w:t>
      </w:r>
    </w:p>
    <w:p w14:paraId="4F1202FF" w14:textId="77777777" w:rsidR="003F0DB8" w:rsidRDefault="00000000">
      <w:pPr>
        <w:pStyle w:val="Heading3"/>
        <w:ind w:left="-5"/>
      </w:pPr>
      <w:r>
        <w:t xml:space="preserve">Guardrails Are Not Yet a Consistent Control Layer </w:t>
      </w:r>
    </w:p>
    <w:p w14:paraId="0109DE43" w14:textId="77777777" w:rsidR="003F0DB8" w:rsidRDefault="00000000">
      <w:pPr>
        <w:numPr>
          <w:ilvl w:val="0"/>
          <w:numId w:val="19"/>
        </w:numPr>
        <w:ind w:right="5" w:hanging="284"/>
      </w:pPr>
      <w:r>
        <w:t xml:space="preserve">CAF guardrails are enforced by default in the new environment but do not yet operate as a consistent, tenant-wide control layer. </w:t>
      </w:r>
    </w:p>
    <w:p w14:paraId="72A059D9" w14:textId="77777777" w:rsidR="003F0DB8" w:rsidRDefault="00000000">
      <w:pPr>
        <w:numPr>
          <w:ilvl w:val="0"/>
          <w:numId w:val="19"/>
        </w:numPr>
        <w:spacing w:after="41"/>
        <w:ind w:right="5" w:hanging="284"/>
      </w:pPr>
      <w:r>
        <w:t xml:space="preserve">Enforcement varies by placement. Legacy and old-CAF subscriptions inherit from different scopes, and some assignments sit below management-group level, weakening their effect as enterprise guardrails. </w:t>
      </w:r>
    </w:p>
    <w:p w14:paraId="0CA3CBCD" w14:textId="77777777" w:rsidR="003F0DB8" w:rsidRDefault="00000000">
      <w:pPr>
        <w:numPr>
          <w:ilvl w:val="0"/>
          <w:numId w:val="19"/>
        </w:numPr>
        <w:ind w:right="5" w:hanging="284"/>
      </w:pPr>
      <w:r>
        <w:t xml:space="preserve">Policy governance is immature: documentation is incomplete, exception handling is not centrally governed, and ownership is implicit. </w:t>
      </w:r>
    </w:p>
    <w:p w14:paraId="02CE4122" w14:textId="77777777" w:rsidR="003F0DB8" w:rsidRDefault="00000000">
      <w:pPr>
        <w:numPr>
          <w:ilvl w:val="0"/>
          <w:numId w:val="19"/>
        </w:numPr>
        <w:ind w:right="5" w:hanging="284"/>
      </w:pPr>
      <w:r>
        <w:t xml:space="preserve">Policy outcomes track subscription placement rather than governance intent, and assurance relies on point-in-time evidence rather than repeatable mechanisms. </w:t>
      </w:r>
    </w:p>
    <w:p w14:paraId="3DA557AB" w14:textId="77777777" w:rsidR="003F0DB8" w:rsidRDefault="00000000">
      <w:pPr>
        <w:spacing w:after="124" w:line="259" w:lineRule="auto"/>
        <w:ind w:left="852" w:firstLine="0"/>
      </w:pPr>
      <w:r>
        <w:t xml:space="preserve"> </w:t>
      </w:r>
    </w:p>
    <w:p w14:paraId="0B211C4F" w14:textId="77777777" w:rsidR="003F0DB8" w:rsidRDefault="00000000">
      <w:pPr>
        <w:pStyle w:val="Heading3"/>
        <w:ind w:left="-5"/>
      </w:pPr>
      <w:r>
        <w:t>Policy Documentation and Communication</w:t>
      </w:r>
      <w:r>
        <w:rPr>
          <w:b w:val="0"/>
        </w:rPr>
        <w:t xml:space="preserve"> </w:t>
      </w:r>
    </w:p>
    <w:p w14:paraId="1047BD5F" w14:textId="77777777" w:rsidR="003F0DB8" w:rsidRDefault="00000000">
      <w:pPr>
        <w:numPr>
          <w:ilvl w:val="0"/>
          <w:numId w:val="20"/>
        </w:numPr>
        <w:spacing w:after="46"/>
        <w:ind w:right="5" w:hanging="284"/>
      </w:pPr>
      <w:r>
        <w:t xml:space="preserve">Documentation of the enforced policies and their rationale is currently limited, which makes it harder for internal teams and third-party partners to understand and comply with the controls in force. </w:t>
      </w:r>
    </w:p>
    <w:p w14:paraId="2B38A19B" w14:textId="77777777" w:rsidR="003F0DB8" w:rsidRDefault="00000000">
      <w:pPr>
        <w:numPr>
          <w:ilvl w:val="0"/>
          <w:numId w:val="20"/>
        </w:numPr>
        <w:spacing w:after="46"/>
        <w:ind w:right="5" w:hanging="284"/>
      </w:pPr>
      <w:r>
        <w:t xml:space="preserve">The platform team owns policy maintenance and communication. The planned approach is to generate policy documentation as markdown directly from the policy code and publish it to internal and third-party teams, so the published guidance stays aligned to what is actually deployed. </w:t>
      </w:r>
    </w:p>
    <w:p w14:paraId="369C84B6" w14:textId="77777777" w:rsidR="003F0DB8" w:rsidRDefault="00000000">
      <w:pPr>
        <w:numPr>
          <w:ilvl w:val="0"/>
          <w:numId w:val="20"/>
        </w:numPr>
        <w:spacing w:after="136"/>
        <w:ind w:right="5" w:hanging="284"/>
      </w:pPr>
      <w:r>
        <w:t xml:space="preserve">Until this is in place, assurance depends on individual review rather than a current, published control catalogue, and partners operating inside the tenant cannot reliably self-serve the policy set they are bound by. </w:t>
      </w:r>
    </w:p>
    <w:p w14:paraId="2D9C05F2" w14:textId="77777777" w:rsidR="003F0DB8" w:rsidRDefault="00000000">
      <w:pPr>
        <w:pStyle w:val="Heading3"/>
        <w:ind w:left="-5"/>
      </w:pPr>
      <w:r>
        <w:lastRenderedPageBreak/>
        <w:t xml:space="preserve">Secure by Design Review for New Workloads </w:t>
      </w:r>
    </w:p>
    <w:p w14:paraId="559CE7DC" w14:textId="77777777" w:rsidR="003F0DB8" w:rsidRDefault="00000000">
      <w:pPr>
        <w:ind w:right="5"/>
      </w:pPr>
      <w:r>
        <w:rPr>
          <w:rFonts w:ascii="Segoe UI Symbol" w:eastAsia="Segoe UI Symbol" w:hAnsi="Segoe UI Symbol" w:cs="Segoe UI Symbol"/>
          <w:sz w:val="24"/>
        </w:rPr>
        <w:t>•</w:t>
      </w:r>
      <w:r>
        <w:rPr>
          <w:rFonts w:ascii="Arial" w:eastAsia="Arial" w:hAnsi="Arial" w:cs="Arial"/>
          <w:sz w:val="24"/>
        </w:rPr>
        <w:t xml:space="preserve"> </w:t>
      </w:r>
      <w:r>
        <w:t xml:space="preserve">New workloads are governed through a "secure by design" review involving security and TDA representatives, providing a preventive checkpoint before resources are provisioned. This complements policy enforcement by catching design-level issues that policy alone does not detect. </w:t>
      </w:r>
    </w:p>
    <w:p w14:paraId="7F77BFAE" w14:textId="77777777" w:rsidR="003F0DB8" w:rsidRDefault="00000000">
      <w:pPr>
        <w:spacing w:after="137"/>
        <w:ind w:left="284" w:right="5" w:firstLine="0"/>
      </w:pPr>
      <w:r>
        <w:t xml:space="preserve">The review is not yet underpinned by a formal logging and monitoring standard, so its outcomes depend on reviewer judgement rather than a documented baseline. Legacy workloads predate this process and did not pass through it. (See Platform Operations and Observability.) </w:t>
      </w:r>
    </w:p>
    <w:p w14:paraId="30017178" w14:textId="77777777" w:rsidR="003F0DB8" w:rsidRDefault="00000000">
      <w:pPr>
        <w:pStyle w:val="Heading3"/>
        <w:ind w:left="-5"/>
      </w:pPr>
      <w:r>
        <w:t>Direct under Tenant Root</w:t>
      </w:r>
      <w:r>
        <w:rPr>
          <w:b w:val="0"/>
          <w:sz w:val="20"/>
        </w:rPr>
        <w:t xml:space="preserve"> </w:t>
      </w:r>
    </w:p>
    <w:p w14:paraId="426ADACA" w14:textId="77777777" w:rsidR="003F0DB8" w:rsidRDefault="00000000">
      <w:pPr>
        <w:numPr>
          <w:ilvl w:val="0"/>
          <w:numId w:val="21"/>
        </w:numPr>
        <w:spacing w:after="46"/>
        <w:ind w:right="5" w:hanging="284"/>
      </w:pPr>
      <w:r>
        <w:t xml:space="preserve">Two subscriptions sit directly under the Tenant Root Group with no management-group policy or RBAC. They are the only fully unconstrained subscriptions in the tenant, carry the most exposure in the estate, and are the simplest to fix by relocating them under Platform / Management. </w:t>
      </w:r>
    </w:p>
    <w:p w14:paraId="18585B31" w14:textId="77777777" w:rsidR="003F0DB8" w:rsidRDefault="00000000">
      <w:pPr>
        <w:numPr>
          <w:ilvl w:val="0"/>
          <w:numId w:val="21"/>
        </w:numPr>
        <w:spacing w:after="45"/>
        <w:ind w:right="5" w:hanging="284"/>
      </w:pPr>
      <w:r>
        <w:t xml:space="preserve">Around 89% of critical "deny" breaches originate from four storage-account policy initiatives across 39 subscriptions. The remediation lever is equally concentrated, so the storage-account programme clears most breaches with no other domain work required. </w:t>
      </w:r>
    </w:p>
    <w:p w14:paraId="10AF182F" w14:textId="77777777" w:rsidR="003F0DB8" w:rsidRDefault="00000000">
      <w:pPr>
        <w:numPr>
          <w:ilvl w:val="0"/>
          <w:numId w:val="21"/>
        </w:numPr>
        <w:ind w:right="5" w:hanging="284"/>
      </w:pPr>
      <w:r>
        <w:t xml:space="preserve">The estate's most serious policy exposure is concentrated rather than spread, which makes it tractable: a small number of targeted actions removes the majority of the risk. </w:t>
      </w:r>
    </w:p>
    <w:p w14:paraId="283F6B16" w14:textId="77777777" w:rsidR="003F0DB8" w:rsidRDefault="00000000">
      <w:pPr>
        <w:spacing w:after="0" w:line="259" w:lineRule="auto"/>
        <w:ind w:left="0" w:firstLine="0"/>
      </w:pPr>
      <w:r>
        <w:t xml:space="preserve"> </w:t>
      </w:r>
    </w:p>
    <w:p w14:paraId="23FC04AF" w14:textId="77777777" w:rsidR="003F0DB8" w:rsidRDefault="00000000">
      <w:pPr>
        <w:spacing w:after="34" w:line="308" w:lineRule="auto"/>
        <w:ind w:left="0" w:right="12937" w:firstLine="0"/>
      </w:pPr>
      <w:r>
        <w:t xml:space="preserve"> </w:t>
      </w:r>
      <w:r>
        <w:rPr>
          <w:sz w:val="24"/>
        </w:rPr>
        <w:t xml:space="preserve"> </w:t>
      </w:r>
    </w:p>
    <w:p w14:paraId="164C7150" w14:textId="77777777" w:rsidR="003F0DB8" w:rsidRDefault="00000000">
      <w:pPr>
        <w:spacing w:after="0" w:line="259" w:lineRule="auto"/>
        <w:ind w:left="0" w:firstLine="0"/>
      </w:pPr>
      <w:r>
        <w:t xml:space="preserve"> </w:t>
      </w:r>
      <w:r>
        <w:tab/>
      </w:r>
      <w:r>
        <w:rPr>
          <w:b/>
        </w:rPr>
        <w:t xml:space="preserve"> </w:t>
      </w:r>
      <w:r>
        <w:br w:type="page"/>
      </w:r>
    </w:p>
    <w:p w14:paraId="0DA3C556" w14:textId="77777777" w:rsidR="003F0DB8" w:rsidRDefault="00000000">
      <w:pPr>
        <w:pStyle w:val="Heading1"/>
        <w:ind w:left="-5"/>
      </w:pPr>
      <w:bookmarkStart w:id="23" w:name="_Toc96805"/>
      <w:r>
        <w:lastRenderedPageBreak/>
        <w:t xml:space="preserve">C. Cloud Operating Model &amp; Cloud Onboarding  </w:t>
      </w:r>
      <w:bookmarkEnd w:id="23"/>
    </w:p>
    <w:p w14:paraId="5ED61B5A" w14:textId="77777777" w:rsidR="003F0DB8" w:rsidRDefault="00000000">
      <w:pPr>
        <w:spacing w:after="110" w:line="269" w:lineRule="auto"/>
        <w:ind w:left="10" w:right="3" w:hanging="10"/>
      </w:pPr>
      <w:r>
        <w:rPr>
          <w:sz w:val="24"/>
        </w:rPr>
        <w:t xml:space="preserve">Subscription vending is automated in code for the new CAF environment, provisioning key vault, storage, networking and RBAC as part of landing-zone setup, with the platform team as the central point for onboarding and resource provisioning. The platform team also owns infrastructure deployments, policy management and module maintenance, and the operating model is evolving from a historically informal approach towards a controlled, documented process. Plans are in place to formalise the request route through ServiceNow. The outstanding gaps are in lifecycle governance: decision gates, standard patterns and offboarding are not yet consistently embedded. </w:t>
      </w:r>
    </w:p>
    <w:p w14:paraId="56E444DA" w14:textId="77777777" w:rsidR="003F0DB8" w:rsidRDefault="00000000">
      <w:pPr>
        <w:pStyle w:val="Heading3"/>
        <w:ind w:left="-5"/>
      </w:pPr>
      <w:r>
        <w:t xml:space="preserve">Subscription Vending: Defined but not in practice </w:t>
      </w:r>
    </w:p>
    <w:p w14:paraId="0E325463" w14:textId="77777777" w:rsidR="003F0DB8" w:rsidRDefault="00000000">
      <w:pPr>
        <w:numPr>
          <w:ilvl w:val="0"/>
          <w:numId w:val="22"/>
        </w:numPr>
        <w:spacing w:after="45"/>
        <w:ind w:right="5" w:hanging="284"/>
      </w:pPr>
      <w:r>
        <w:t xml:space="preserve">Vending is automated in code and provisions key vault, storage, networking and RBAC, but operational intake is still manual, initiated through informal DevOps requests rather than the target ServiceNow-driven form with pre-approved archetypes and patterns. </w:t>
      </w:r>
    </w:p>
    <w:p w14:paraId="3BDC10BD" w14:textId="77777777" w:rsidR="003F0DB8" w:rsidRDefault="00000000">
      <w:pPr>
        <w:numPr>
          <w:ilvl w:val="0"/>
          <w:numId w:val="22"/>
        </w:numPr>
        <w:spacing w:after="47"/>
        <w:ind w:right="5" w:hanging="284"/>
      </w:pPr>
      <w:r>
        <w:t xml:space="preserve">Vended subscriptions are not always provisioned into the correct management-group structure, so placement still requires manual correction after creation. This was identified as a fix to the vending process. </w:t>
      </w:r>
    </w:p>
    <w:p w14:paraId="047AF409" w14:textId="77777777" w:rsidR="003F0DB8" w:rsidRDefault="00000000">
      <w:pPr>
        <w:numPr>
          <w:ilvl w:val="0"/>
          <w:numId w:val="22"/>
        </w:numPr>
        <w:spacing w:after="41"/>
        <w:ind w:right="5" w:hanging="284"/>
      </w:pPr>
      <w:r>
        <w:t xml:space="preserve">Lifecycle governance is incomplete. Clear decision gates and standard patterns are not consistently applied, and offboarding is not yet defined. Legacy offboarding is especially hard because there is limited clarity on what is actually in use. </w:t>
      </w:r>
    </w:p>
    <w:p w14:paraId="7BF0BAC8" w14:textId="77777777" w:rsidR="003F0DB8" w:rsidRDefault="00000000">
      <w:pPr>
        <w:numPr>
          <w:ilvl w:val="0"/>
          <w:numId w:val="22"/>
        </w:numPr>
        <w:ind w:right="5" w:hanging="284"/>
      </w:pPr>
      <w:r>
        <w:t xml:space="preserve">As a result, onboarding and placement decisions are less repeatable and less auditable than required, and the absence of defined offboarding drives long-term drift and technical debt. </w:t>
      </w:r>
    </w:p>
    <w:p w14:paraId="5D3A8FBA" w14:textId="77777777" w:rsidR="003F0DB8" w:rsidRDefault="00000000">
      <w:pPr>
        <w:spacing w:after="124" w:line="259" w:lineRule="auto"/>
        <w:ind w:left="1136" w:firstLine="0"/>
      </w:pPr>
      <w:r>
        <w:t xml:space="preserve"> </w:t>
      </w:r>
    </w:p>
    <w:p w14:paraId="2AA8C330" w14:textId="77777777" w:rsidR="003F0DB8" w:rsidRDefault="00000000">
      <w:pPr>
        <w:pStyle w:val="Heading3"/>
        <w:ind w:left="-5"/>
      </w:pPr>
      <w:r>
        <w:t xml:space="preserve">Operating Model Accountability Is Not Yet Defined </w:t>
      </w:r>
    </w:p>
    <w:p w14:paraId="2754E281" w14:textId="77777777" w:rsidR="003F0DB8" w:rsidRDefault="00000000">
      <w:pPr>
        <w:numPr>
          <w:ilvl w:val="0"/>
          <w:numId w:val="23"/>
        </w:numPr>
        <w:spacing w:after="46"/>
        <w:ind w:right="5" w:hanging="284"/>
      </w:pPr>
      <w:r>
        <w:t xml:space="preserve">The operating model defines how subscriptions are vended, but not who prioritises competing work across the rebuild. AIS, EDP, Reg Platform, security remediation and platform migration draw on the same people and change windows, with no single authority sequencing them. Prioritisation is the dominant blocker identified in the Cloud Strategy analysis. </w:t>
      </w:r>
    </w:p>
    <w:p w14:paraId="7E822F13" w14:textId="77777777" w:rsidR="003F0DB8" w:rsidRDefault="00000000">
      <w:pPr>
        <w:numPr>
          <w:ilvl w:val="0"/>
          <w:numId w:val="23"/>
        </w:numPr>
        <w:spacing w:after="46"/>
        <w:ind w:right="5" w:hanging="284"/>
      </w:pPr>
      <w:r>
        <w:t xml:space="preserve">No single technical authority holds the pen on the digital rebuild, so tactical delivery decisions are made workstream by workstream rather than against a shared sequence and dependency map. </w:t>
      </w:r>
    </w:p>
    <w:p w14:paraId="6354DF4A" w14:textId="77777777" w:rsidR="003F0DB8" w:rsidRDefault="00000000">
      <w:pPr>
        <w:numPr>
          <w:ilvl w:val="0"/>
          <w:numId w:val="23"/>
        </w:numPr>
        <w:spacing w:after="46"/>
        <w:ind w:right="5" w:hanging="284"/>
      </w:pPr>
      <w:r>
        <w:t xml:space="preserve">Service ownership is unresolved. Most legacy workloads have no run or service team, so operational responsibility defaults to the platform team, which is overloaded with first-line triage that should sit with service owners (see Platform Operations and Observability). </w:t>
      </w:r>
    </w:p>
    <w:p w14:paraId="4A070F98" w14:textId="77777777" w:rsidR="003F0DB8" w:rsidRDefault="00000000">
      <w:pPr>
        <w:numPr>
          <w:ilvl w:val="0"/>
          <w:numId w:val="23"/>
        </w:numPr>
        <w:ind w:right="5" w:hanging="284"/>
      </w:pPr>
      <w:r>
        <w:t xml:space="preserve">The platform mechanics are improving, but without a defined accountability and prioritisation layer the estate becomes busier without becoming more governed.  </w:t>
      </w:r>
      <w:r>
        <w:rPr>
          <w:b/>
          <w:i/>
        </w:rPr>
        <w:t xml:space="preserve"> </w:t>
      </w:r>
      <w:r>
        <w:t xml:space="preserve"> </w:t>
      </w:r>
    </w:p>
    <w:p w14:paraId="0BEE21C6" w14:textId="77777777" w:rsidR="003F0DB8" w:rsidRDefault="00000000">
      <w:pPr>
        <w:spacing w:after="137"/>
        <w:ind w:left="284" w:right="5" w:firstLine="0"/>
      </w:pPr>
      <w:r>
        <w:rPr>
          <w:b/>
          <w:i/>
          <w:u w:val="single" w:color="000000"/>
        </w:rPr>
        <w:lastRenderedPageBreak/>
        <w:t>The Prioritisation Problem:</w:t>
      </w:r>
      <w:r>
        <w:t xml:space="preserve"> Without a mechanism for deciding what comes first, tactical fixes accumulate without building towards the target state. Security remediation competes with platform migration. AIS cost reduction competes with AIS rebuild. Decommissioning is deferred because no one owns the decision to stop. The result is an estate that gets busier without getting better. </w:t>
      </w:r>
    </w:p>
    <w:p w14:paraId="49925D74" w14:textId="77777777" w:rsidR="003F0DB8" w:rsidRDefault="00000000">
      <w:pPr>
        <w:pStyle w:val="Heading3"/>
        <w:ind w:left="-5"/>
      </w:pPr>
      <w:r>
        <w:t xml:space="preserve">Privileged Access Surface </w:t>
      </w:r>
    </w:p>
    <w:p w14:paraId="0F1811A5" w14:textId="77777777" w:rsidR="003F0DB8" w:rsidRDefault="00000000">
      <w:pPr>
        <w:numPr>
          <w:ilvl w:val="0"/>
          <w:numId w:val="24"/>
        </w:numPr>
        <w:spacing w:after="46"/>
        <w:ind w:right="5" w:hanging="284"/>
      </w:pPr>
      <w:r>
        <w:t xml:space="preserve">The estate carries 355 Owner role assignments, of which 194 are service principals and 63 are user accounts, with the remainder assigned to groups. The concentration of service-principal Owner grants increases blast radius from pipeline compromise and is inconsistent with the least-privilege posture defined in the CAF target. </w:t>
      </w:r>
    </w:p>
    <w:p w14:paraId="2969AD00" w14:textId="77777777" w:rsidR="003F0DB8" w:rsidRDefault="00000000">
      <w:pPr>
        <w:numPr>
          <w:ilvl w:val="0"/>
          <w:numId w:val="24"/>
        </w:numPr>
        <w:ind w:right="5" w:hanging="284"/>
      </w:pPr>
      <w:r>
        <w:t xml:space="preserve">Owner usage has not been subject to a deliberate rationalisation exercise to date. </w:t>
      </w:r>
    </w:p>
    <w:p w14:paraId="561EAC78" w14:textId="77777777" w:rsidR="003F0DB8" w:rsidRDefault="00000000">
      <w:pPr>
        <w:numPr>
          <w:ilvl w:val="0"/>
          <w:numId w:val="24"/>
        </w:numPr>
        <w:spacing w:after="136"/>
        <w:ind w:right="5" w:hanging="284"/>
      </w:pPr>
      <w:r>
        <w:t xml:space="preserve">A dedicated mg-decommissioned management group exists, holding three subscriptions, but the rate of retirement is not keeping pace with the technical debt accumulating in the legacy tree. </w:t>
      </w:r>
    </w:p>
    <w:p w14:paraId="71CB5EC4" w14:textId="77777777" w:rsidR="003F0DB8" w:rsidRDefault="00000000">
      <w:pPr>
        <w:pStyle w:val="Heading3"/>
        <w:ind w:left="-5"/>
      </w:pPr>
      <w:r>
        <w:t xml:space="preserve">Failure of Decommissioning </w:t>
      </w:r>
    </w:p>
    <w:p w14:paraId="21FF89FA" w14:textId="77777777" w:rsidR="003F0DB8" w:rsidRDefault="00000000">
      <w:pPr>
        <w:numPr>
          <w:ilvl w:val="0"/>
          <w:numId w:val="25"/>
        </w:numPr>
        <w:spacing w:after="47"/>
        <w:ind w:right="5" w:hanging="284"/>
      </w:pPr>
      <w:r>
        <w:t xml:space="preserve">Twenty private endpoints are failed or disconnected, sixteen of them in CQC DEVTST VDC2. Eighty-six Application Insights instances are orphaned with no linked application or telemetry. 158 function apps are publicly reachable, of which only two have private endpoints. Eight management groups and eleven subscriptions are empty. </w:t>
      </w:r>
    </w:p>
    <w:p w14:paraId="635D1090" w14:textId="77777777" w:rsidR="003F0DB8" w:rsidRDefault="00000000">
      <w:pPr>
        <w:numPr>
          <w:ilvl w:val="0"/>
          <w:numId w:val="25"/>
        </w:numPr>
        <w:spacing w:after="46"/>
        <w:ind w:right="5" w:hanging="284"/>
      </w:pPr>
      <w:r>
        <w:t xml:space="preserve">Eight integration-related subscriptions are targeted for decommissioning, the four named "CQC Integration Services" and four "GFC" subscriptions. Only one resource group across the integration-services set is still in use and is being moved to its own subscription. The "Hitachi Dev UK" subscription (29 resource groups) remains as a proof-of-concept dumping ground from 2020. </w:t>
      </w:r>
    </w:p>
    <w:p w14:paraId="04514EDD" w14:textId="77777777" w:rsidR="003F0DB8" w:rsidRDefault="00000000">
      <w:pPr>
        <w:numPr>
          <w:ilvl w:val="0"/>
          <w:numId w:val="25"/>
        </w:numPr>
        <w:spacing w:after="47"/>
        <w:ind w:right="5" w:hanging="284"/>
      </w:pPr>
      <w:r>
        <w:t xml:space="preserve">The underlying driver is the absence of a teardown discipline: resources were deployed and left rather than destroyed once finished with, so orphaned assets accumulated across the estate. </w:t>
      </w:r>
    </w:p>
    <w:p w14:paraId="3E4B3300" w14:textId="77777777" w:rsidR="003F0DB8" w:rsidRDefault="00000000">
      <w:pPr>
        <w:numPr>
          <w:ilvl w:val="0"/>
          <w:numId w:val="25"/>
        </w:numPr>
        <w:ind w:right="5" w:hanging="284"/>
      </w:pPr>
      <w:r>
        <w:t xml:space="preserve">The volume of orphaned and stale resources creates operational toil, audit drag and direct cost waste. More importantly, it masks live exposures by making it harder to distinguish resources that are genuinely in use from those that should have been removed. </w:t>
      </w:r>
    </w:p>
    <w:p w14:paraId="65F0621C" w14:textId="77777777" w:rsidR="003F0DB8" w:rsidRDefault="00000000">
      <w:pPr>
        <w:spacing w:after="123" w:line="259" w:lineRule="auto"/>
        <w:ind w:left="284" w:firstLine="0"/>
      </w:pPr>
      <w:r>
        <w:t xml:space="preserve"> </w:t>
      </w:r>
    </w:p>
    <w:p w14:paraId="51F0C794" w14:textId="77777777" w:rsidR="003F0DB8" w:rsidRDefault="00000000">
      <w:pPr>
        <w:pStyle w:val="Heading3"/>
        <w:ind w:left="-5"/>
      </w:pPr>
      <w:r>
        <w:t xml:space="preserve">The Prioritisation Problem </w:t>
      </w:r>
    </w:p>
    <w:p w14:paraId="1D2558D3" w14:textId="77777777" w:rsidR="003F0DB8" w:rsidRDefault="00000000">
      <w:pPr>
        <w:numPr>
          <w:ilvl w:val="0"/>
          <w:numId w:val="26"/>
        </w:numPr>
        <w:spacing w:after="46"/>
        <w:ind w:right="5" w:hanging="284"/>
      </w:pPr>
      <w:r>
        <w:t xml:space="preserve">The blocker analysis in the Cloud Strategy chapter identified prioritisation as the dominant risk category. CQC is under pressure from multiple directions at once: inspection backlog, ageing systems, workforce strain, regulatory scrutiny, and the need to modernise while keeping services running. The natural response is to push on all fronts simultaneously. The evidence suggests that this is exactly what is happening, and it is creating fragmentation rather than progress. </w:t>
      </w:r>
    </w:p>
    <w:p w14:paraId="3CCD6B3F" w14:textId="77777777" w:rsidR="003F0DB8" w:rsidRDefault="00000000">
      <w:pPr>
        <w:numPr>
          <w:ilvl w:val="0"/>
          <w:numId w:val="26"/>
        </w:numPr>
        <w:spacing w:after="137"/>
        <w:ind w:right="5" w:hanging="284"/>
      </w:pPr>
      <w:r>
        <w:lastRenderedPageBreak/>
        <w:t xml:space="preserve">Without a mechanism for deciding what comes first, tactical fixes accumulate without building towards the target state. Security remediation competes with platform migration. AIS cost reduction competes with AIS rebuild. Decommissioning is deferred because no one owns the decision to stop. The result is an estate that gets busier without getting better. </w:t>
      </w:r>
    </w:p>
    <w:p w14:paraId="2F982C80" w14:textId="77777777" w:rsidR="003F0DB8" w:rsidRDefault="00000000">
      <w:pPr>
        <w:spacing w:after="0" w:line="259" w:lineRule="auto"/>
        <w:ind w:left="0" w:firstLine="0"/>
      </w:pPr>
      <w:r>
        <w:rPr>
          <w:b/>
          <w:sz w:val="24"/>
        </w:rPr>
        <w:t xml:space="preserve"> </w:t>
      </w:r>
    </w:p>
    <w:p w14:paraId="7BEFF174" w14:textId="77777777" w:rsidR="003F0DB8" w:rsidRDefault="00000000">
      <w:pPr>
        <w:spacing w:after="183" w:line="259" w:lineRule="auto"/>
        <w:ind w:left="0" w:firstLine="0"/>
      </w:pPr>
      <w:r>
        <w:rPr>
          <w:b/>
          <w:sz w:val="24"/>
        </w:rPr>
        <w:t xml:space="preserve"> </w:t>
      </w:r>
    </w:p>
    <w:p w14:paraId="3F0EEFDE" w14:textId="77777777" w:rsidR="003F0DB8" w:rsidRDefault="00000000">
      <w:pPr>
        <w:spacing w:after="0" w:line="259" w:lineRule="auto"/>
        <w:ind w:left="0" w:firstLine="0"/>
        <w:jc w:val="both"/>
      </w:pPr>
      <w:r>
        <w:rPr>
          <w:sz w:val="24"/>
        </w:rPr>
        <w:t xml:space="preserve"> </w:t>
      </w:r>
      <w:r>
        <w:rPr>
          <w:sz w:val="24"/>
        </w:rPr>
        <w:tab/>
      </w:r>
      <w:r>
        <w:rPr>
          <w:b/>
          <w:sz w:val="28"/>
        </w:rPr>
        <w:t xml:space="preserve"> </w:t>
      </w:r>
    </w:p>
    <w:p w14:paraId="3B14F3E3" w14:textId="77777777" w:rsidR="003F0DB8" w:rsidRDefault="003F0DB8">
      <w:pPr>
        <w:sectPr w:rsidR="003F0DB8">
          <w:headerReference w:type="even" r:id="rId19"/>
          <w:headerReference w:type="default" r:id="rId20"/>
          <w:headerReference w:type="first" r:id="rId21"/>
          <w:pgSz w:w="16836" w:h="11908" w:orient="landscape"/>
          <w:pgMar w:top="958" w:right="1552" w:bottom="1464" w:left="1441" w:header="720" w:footer="720" w:gutter="0"/>
          <w:cols w:space="720"/>
        </w:sectPr>
      </w:pPr>
    </w:p>
    <w:p w14:paraId="2DDD15F2" w14:textId="77777777" w:rsidR="003F0DB8" w:rsidRDefault="00000000">
      <w:pPr>
        <w:pStyle w:val="Heading1"/>
        <w:ind w:left="-5"/>
      </w:pPr>
      <w:bookmarkStart w:id="24" w:name="_Toc96806"/>
      <w:r>
        <w:lastRenderedPageBreak/>
        <w:t xml:space="preserve">D. Data Governance </w:t>
      </w:r>
      <w:bookmarkEnd w:id="24"/>
    </w:p>
    <w:p w14:paraId="159FAD86" w14:textId="77777777" w:rsidR="003F0DB8" w:rsidRDefault="00000000">
      <w:pPr>
        <w:spacing w:after="110" w:line="269" w:lineRule="auto"/>
        <w:ind w:left="10" w:right="3" w:hanging="10"/>
      </w:pPr>
      <w:r>
        <w:rPr>
          <w:sz w:val="24"/>
        </w:rPr>
        <w:t xml:space="preserve">Data residency, classification and protection standards are recognised as critical within the CQC environment, given its regulatory and assurance obligations. Technical controls exist, but from a governance perspective the definition and enforcement of data classification and ownership standards are still maturing. The absence of consistently governed classification and ownership models limits CQC's ability to enforce policy-driven controls and demonstrate assurance at scale. The need here is for clearer governance ownership rather than purely technical remediation. </w:t>
      </w:r>
    </w:p>
    <w:p w14:paraId="29D0A188" w14:textId="77777777" w:rsidR="003F0DB8" w:rsidRDefault="00000000">
      <w:pPr>
        <w:pStyle w:val="Heading3"/>
        <w:ind w:left="-5"/>
      </w:pPr>
      <w:r>
        <w:t xml:space="preserve">Data Governance Recognised, Ownership Not Yet Embedded </w:t>
      </w:r>
    </w:p>
    <w:p w14:paraId="43D1AC8E" w14:textId="77777777" w:rsidR="003F0DB8" w:rsidRDefault="00000000">
      <w:pPr>
        <w:numPr>
          <w:ilvl w:val="0"/>
          <w:numId w:val="27"/>
        </w:numPr>
        <w:spacing w:after="46"/>
        <w:ind w:right="5" w:hanging="284"/>
      </w:pPr>
      <w:r>
        <w:t xml:space="preserve">CQC recognises data as a critical asset, with explicit obligations around protection, residency and regulatory assurance, acknowledged in the cloud strategy and assessment activities. </w:t>
      </w:r>
    </w:p>
    <w:p w14:paraId="5DD5AEBB" w14:textId="77777777" w:rsidR="003F0DB8" w:rsidRDefault="00000000">
      <w:pPr>
        <w:numPr>
          <w:ilvl w:val="0"/>
          <w:numId w:val="27"/>
        </w:numPr>
        <w:spacing w:after="45"/>
        <w:ind w:right="5" w:hanging="284"/>
      </w:pPr>
      <w:r>
        <w:t xml:space="preserve">Enterprise-wide ownership for data classification, stewardship and lifecycle governance is not yet formalised, and controls rely on local implementation rather than central governance. </w:t>
      </w:r>
    </w:p>
    <w:p w14:paraId="699D3265" w14:textId="77777777" w:rsidR="003F0DB8" w:rsidRDefault="00000000">
      <w:pPr>
        <w:numPr>
          <w:ilvl w:val="0"/>
          <w:numId w:val="27"/>
        </w:numPr>
        <w:spacing w:after="62" w:line="310" w:lineRule="auto"/>
        <w:ind w:right="5" w:hanging="284"/>
      </w:pPr>
      <w:r>
        <w:t xml:space="preserve">Assurance therefore depends on point-in-time evidence rather than repeatable governance mechanisms. </w:t>
      </w:r>
      <w:r>
        <w:rPr>
          <w:b/>
          <w:sz w:val="24"/>
        </w:rPr>
        <w:t xml:space="preserve">Classification Standards Exist, Enforcement Inconsistent </w:t>
      </w:r>
    </w:p>
    <w:p w14:paraId="4EA32D33" w14:textId="77777777" w:rsidR="003F0DB8" w:rsidRDefault="00000000">
      <w:pPr>
        <w:numPr>
          <w:ilvl w:val="0"/>
          <w:numId w:val="27"/>
        </w:numPr>
        <w:spacing w:after="46"/>
        <w:ind w:right="5" w:hanging="284"/>
      </w:pPr>
      <w:r>
        <w:t xml:space="preserve">Classification is recognised as necessary to support policy-driven controls and regulatory assurance, but it is not yet governed as a mandatory, enforced standard across cloud workloads. </w:t>
      </w:r>
    </w:p>
    <w:p w14:paraId="6509D591" w14:textId="77777777" w:rsidR="003F0DB8" w:rsidRDefault="00000000">
      <w:pPr>
        <w:numPr>
          <w:ilvl w:val="0"/>
          <w:numId w:val="27"/>
        </w:numPr>
        <w:spacing w:after="45"/>
        <w:ind w:right="5" w:hanging="284"/>
      </w:pPr>
      <w:r>
        <w:t xml:space="preserve">Tagging standards are well established at resource-group level but are not consistently used to represent data classification or sensitivity, and classification is not enforced at onboarding or workload placement. </w:t>
      </w:r>
    </w:p>
    <w:p w14:paraId="455305ED" w14:textId="77777777" w:rsidR="003F0DB8" w:rsidRDefault="00000000">
      <w:pPr>
        <w:numPr>
          <w:ilvl w:val="0"/>
          <w:numId w:val="27"/>
        </w:numPr>
        <w:spacing w:after="137"/>
        <w:ind w:right="5" w:hanging="284"/>
      </w:pPr>
      <w:r>
        <w:t xml:space="preserve">As a result, data protection controls cannot be reliably aligned to sensitivity or regulatory requirements, and demonstrating consistent compliance across the estate is harder than necessary. </w:t>
      </w:r>
    </w:p>
    <w:p w14:paraId="1D171E4E" w14:textId="77777777" w:rsidR="003F0DB8" w:rsidRDefault="00000000">
      <w:pPr>
        <w:pStyle w:val="Heading3"/>
        <w:ind w:left="-5"/>
      </w:pPr>
      <w:r>
        <w:t xml:space="preserve">Residency and Regulatory Requirements Governed Implicitly </w:t>
      </w:r>
    </w:p>
    <w:p w14:paraId="1AF25B93" w14:textId="77777777" w:rsidR="003F0DB8" w:rsidRDefault="00000000">
      <w:pPr>
        <w:numPr>
          <w:ilvl w:val="0"/>
          <w:numId w:val="28"/>
        </w:numPr>
        <w:spacing w:after="45"/>
        <w:ind w:right="5" w:hanging="284"/>
      </w:pPr>
      <w:r>
        <w:t xml:space="preserve">Residency and sovereignty requirements are understood and generally respected through architectural and platform decisions, but they are implicitly applied rather than explicitly governed. </w:t>
      </w:r>
    </w:p>
    <w:p w14:paraId="5EAFC395" w14:textId="77777777" w:rsidR="003F0DB8" w:rsidRDefault="00000000">
      <w:pPr>
        <w:numPr>
          <w:ilvl w:val="0"/>
          <w:numId w:val="28"/>
        </w:numPr>
        <w:spacing w:after="46"/>
        <w:ind w:right="5" w:hanging="284"/>
      </w:pPr>
      <w:r>
        <w:t xml:space="preserve">There is limited evidence of centrally documented standards, exception processes or ownership for ongoing assurance, so compliance depends on architectural intent rather than formal governance artefacts. </w:t>
      </w:r>
    </w:p>
    <w:p w14:paraId="17EF1947" w14:textId="77777777" w:rsidR="003F0DB8" w:rsidRDefault="00000000">
      <w:pPr>
        <w:numPr>
          <w:ilvl w:val="0"/>
          <w:numId w:val="28"/>
        </w:numPr>
        <w:spacing w:after="67" w:line="310" w:lineRule="auto"/>
        <w:ind w:right="5" w:hanging="284"/>
      </w:pPr>
      <w:r>
        <w:t xml:space="preserve">Exceptions are therefore harder to assess, approve and evidence consistently. </w:t>
      </w:r>
      <w:r>
        <w:rPr>
          <w:b/>
          <w:sz w:val="24"/>
        </w:rPr>
        <w:t xml:space="preserve">Hybrid Data Governance Increases Assurance Effort </w:t>
      </w:r>
    </w:p>
    <w:p w14:paraId="4AA96CB8" w14:textId="77777777" w:rsidR="003F0DB8" w:rsidRDefault="00000000">
      <w:pPr>
        <w:numPr>
          <w:ilvl w:val="0"/>
          <w:numId w:val="28"/>
        </w:numPr>
        <w:ind w:right="5" w:hanging="284"/>
      </w:pPr>
      <w:r>
        <w:lastRenderedPageBreak/>
        <w:t xml:space="preserve">Data governance operates in a hybrid state where intent is clear but enforcement and ownership are uneven across legacy and CAF-aligned environments. </w:t>
      </w:r>
    </w:p>
    <w:p w14:paraId="60BCA3F6" w14:textId="77777777" w:rsidR="003F0DB8" w:rsidRDefault="00000000">
      <w:pPr>
        <w:numPr>
          <w:ilvl w:val="0"/>
          <w:numId w:val="28"/>
        </w:numPr>
        <w:spacing w:after="136"/>
        <w:ind w:right="5" w:hanging="284"/>
      </w:pPr>
      <w:r>
        <w:t xml:space="preserve">This is a transitional state rather than a lack of awareness, but it increases the manual effort required to demonstrate assurance and respond to audit or regulatory queries. </w:t>
      </w:r>
    </w:p>
    <w:p w14:paraId="3FEAFB65" w14:textId="77777777" w:rsidR="003F0DB8" w:rsidRDefault="00000000">
      <w:pPr>
        <w:pStyle w:val="Heading3"/>
        <w:ind w:left="-5"/>
      </w:pPr>
      <w:r>
        <w:t xml:space="preserve">Purview Two-Portal Split </w:t>
      </w:r>
    </w:p>
    <w:p w14:paraId="34BB222A" w14:textId="77777777" w:rsidR="003F0DB8" w:rsidRDefault="00000000">
      <w:pPr>
        <w:numPr>
          <w:ilvl w:val="0"/>
          <w:numId w:val="29"/>
        </w:numPr>
        <w:spacing w:after="54" w:line="240" w:lineRule="auto"/>
        <w:ind w:right="5" w:hanging="284"/>
      </w:pPr>
      <w:r>
        <w:t xml:space="preserve">Two Microsoft Purview instances exist: dev/test on the new portal and Production on the old portal. Migration to the new portal is blocked because no one at CQC currently holds the access required to resolve it. Purview is also a one per tenant resource so only one needs to persist in the future state.  </w:t>
      </w:r>
    </w:p>
    <w:p w14:paraId="0A1A823F" w14:textId="77777777" w:rsidR="003F0DB8" w:rsidRDefault="00000000">
      <w:pPr>
        <w:numPr>
          <w:ilvl w:val="0"/>
          <w:numId w:val="29"/>
        </w:numPr>
        <w:spacing w:after="45"/>
        <w:ind w:right="5" w:hanging="284"/>
      </w:pPr>
      <w:r>
        <w:t xml:space="preserve">Hugh Gordge, the Purview administrator, is working towards consolidation, and Robert Hawker has set a clear intent to extend Purview's footprint, particularly to flow sensitivity labels into Microsoft Fabric. </w:t>
      </w:r>
    </w:p>
    <w:p w14:paraId="36036E53" w14:textId="77777777" w:rsidR="003F0DB8" w:rsidRDefault="00000000">
      <w:pPr>
        <w:numPr>
          <w:ilvl w:val="0"/>
          <w:numId w:val="29"/>
        </w:numPr>
        <w:spacing w:after="138"/>
        <w:ind w:right="5" w:hanging="284"/>
      </w:pPr>
      <w:r>
        <w:t xml:space="preserve">Until Production is migrated, the catalogue is inconsistent across environments, classification and labelling cannot be driven from a single authoritative source, and sensitivity-label propagation into Fabric is blocked. </w:t>
      </w:r>
    </w:p>
    <w:p w14:paraId="3CAC2BE9" w14:textId="77777777" w:rsidR="003F0DB8" w:rsidRDefault="00000000">
      <w:pPr>
        <w:pStyle w:val="Heading3"/>
        <w:ind w:left="-5"/>
      </w:pPr>
      <w:r>
        <w:t xml:space="preserve">GDPR Retention Vacuum </w:t>
      </w:r>
    </w:p>
    <w:p w14:paraId="341D679B" w14:textId="77777777" w:rsidR="003F0DB8" w:rsidRDefault="00000000">
      <w:pPr>
        <w:numPr>
          <w:ilvl w:val="0"/>
          <w:numId w:val="30"/>
        </w:numPr>
        <w:spacing w:after="46"/>
        <w:ind w:right="5" w:hanging="284"/>
      </w:pPr>
      <w:r>
        <w:t xml:space="preserve">Sensitivity labels are not yet operationalised. NHS Employee Service Record (ESR) data is GDPR-sensitive but held in an "Interim SA" storage account that retains all employee data indefinitely with no retention policy. </w:t>
      </w:r>
    </w:p>
    <w:p w14:paraId="671C769B" w14:textId="77777777" w:rsidR="003F0DB8" w:rsidRDefault="00000000">
      <w:pPr>
        <w:numPr>
          <w:ilvl w:val="0"/>
          <w:numId w:val="30"/>
        </w:numPr>
        <w:ind w:right="5" w:hanging="284"/>
      </w:pPr>
      <w:r>
        <w:t xml:space="preserve">APIM handles GDPR-sensitive data through SOAD via manually triggered processes. </w:t>
      </w:r>
    </w:p>
    <w:p w14:paraId="49FEF538" w14:textId="77777777" w:rsidR="003F0DB8" w:rsidRDefault="00000000">
      <w:pPr>
        <w:numPr>
          <w:ilvl w:val="0"/>
          <w:numId w:val="30"/>
        </w:numPr>
        <w:spacing w:after="78"/>
        <w:ind w:right="5" w:hanging="284"/>
      </w:pPr>
      <w:r>
        <w:t xml:space="preserve">GDPR retention non-compliance is a live exposure, and no enforceable classification currently drives downstream controls. </w:t>
      </w:r>
    </w:p>
    <w:p w14:paraId="5512482C" w14:textId="77777777" w:rsidR="003F0DB8" w:rsidRDefault="00000000">
      <w:pPr>
        <w:spacing w:after="225" w:line="259" w:lineRule="auto"/>
        <w:ind w:left="0" w:firstLine="0"/>
      </w:pPr>
      <w:r>
        <w:rPr>
          <w:sz w:val="24"/>
        </w:rPr>
        <w:t xml:space="preserve"> </w:t>
      </w:r>
    </w:p>
    <w:p w14:paraId="3967B03A" w14:textId="77777777" w:rsidR="003F0DB8" w:rsidRDefault="00000000">
      <w:pPr>
        <w:pStyle w:val="Heading1"/>
        <w:ind w:left="-5"/>
      </w:pPr>
      <w:bookmarkStart w:id="25" w:name="_Toc96807"/>
      <w:r>
        <w:t xml:space="preserve">Recommendations </w:t>
      </w:r>
      <w:bookmarkEnd w:id="25"/>
    </w:p>
    <w:p w14:paraId="59E07EA8" w14:textId="77777777" w:rsidR="003F0DB8" w:rsidRDefault="00000000">
      <w:pPr>
        <w:pStyle w:val="Heading3"/>
        <w:spacing w:after="183"/>
        <w:ind w:left="-5"/>
      </w:pPr>
      <w:r>
        <w:t>Cloud Structure</w:t>
      </w:r>
      <w:r>
        <w:rPr>
          <w:b w:val="0"/>
        </w:rPr>
        <w:t xml:space="preserve"> </w:t>
      </w:r>
    </w:p>
    <w:p w14:paraId="1467C7DA" w14:textId="77777777" w:rsidR="003F0DB8" w:rsidRDefault="00000000">
      <w:pPr>
        <w:numPr>
          <w:ilvl w:val="0"/>
          <w:numId w:val="31"/>
        </w:numPr>
        <w:spacing w:after="46"/>
        <w:ind w:right="5" w:hanging="284"/>
      </w:pPr>
      <w:r>
        <w:rPr>
          <w:b/>
        </w:rPr>
        <w:t>Consolidate onto the New CAF CQC Hierarchy</w:t>
      </w:r>
      <w:r>
        <w:t xml:space="preserve">: make the new CAF-aligned tree the single management-group hierarchy and retire the legacy (mg-cqclegacy) and old-CAF (mg-cqc-root) trees, freezing new placement under both so neither keeps growing. </w:t>
      </w:r>
    </w:p>
    <w:p w14:paraId="6C6AC159" w14:textId="77777777" w:rsidR="003F0DB8" w:rsidRDefault="00000000">
      <w:pPr>
        <w:numPr>
          <w:ilvl w:val="0"/>
          <w:numId w:val="31"/>
        </w:numPr>
        <w:ind w:right="5" w:hanging="284"/>
      </w:pPr>
      <w:r>
        <w:rPr>
          <w:b/>
        </w:rPr>
        <w:t>Formalise and Prioritise the Legacy Migration</w:t>
      </w:r>
      <w:r>
        <w:t xml:space="preserve">: sequence the larger legacy and VDC migration on its longer retirement runway, breaking the VDC concentration apart workload by workload. </w:t>
      </w:r>
    </w:p>
    <w:p w14:paraId="5688544A" w14:textId="77777777" w:rsidR="003F0DB8" w:rsidRDefault="00000000">
      <w:pPr>
        <w:spacing w:after="123" w:line="259" w:lineRule="auto"/>
        <w:ind w:left="852" w:firstLine="0"/>
      </w:pPr>
      <w:r>
        <w:t xml:space="preserve"> </w:t>
      </w:r>
    </w:p>
    <w:p w14:paraId="47167685" w14:textId="77777777" w:rsidR="003F0DB8" w:rsidRDefault="00000000">
      <w:pPr>
        <w:pStyle w:val="Heading3"/>
        <w:spacing w:after="182"/>
        <w:ind w:left="-5"/>
      </w:pPr>
      <w:r>
        <w:lastRenderedPageBreak/>
        <w:t>Cloud Guardrails</w:t>
      </w:r>
      <w:r>
        <w:rPr>
          <w:b w:val="0"/>
        </w:rPr>
        <w:t xml:space="preserve"> </w:t>
      </w:r>
    </w:p>
    <w:p w14:paraId="43CDABC6" w14:textId="77777777" w:rsidR="003F0DB8" w:rsidRDefault="00000000">
      <w:pPr>
        <w:numPr>
          <w:ilvl w:val="0"/>
          <w:numId w:val="32"/>
        </w:numPr>
        <w:spacing w:after="46"/>
        <w:ind w:right="5" w:hanging="284"/>
      </w:pPr>
      <w:r>
        <w:rPr>
          <w:b/>
        </w:rPr>
        <w:t>Refresh Policy Definitions</w:t>
      </w:r>
      <w:r>
        <w:t xml:space="preserve">: promote audit-mode legacy policies to enforced mode under the New CAF management group; align to CIS, NIST and UK NHS packs. </w:t>
      </w:r>
    </w:p>
    <w:p w14:paraId="4443B481" w14:textId="77777777" w:rsidR="003F0DB8" w:rsidRDefault="00000000">
      <w:pPr>
        <w:numPr>
          <w:ilvl w:val="0"/>
          <w:numId w:val="32"/>
        </w:numPr>
        <w:ind w:right="5" w:hanging="284"/>
      </w:pPr>
      <w:r>
        <w:rPr>
          <w:b/>
        </w:rPr>
        <w:t>Track Compliance Uplift</w:t>
      </w:r>
      <w:r>
        <w:t xml:space="preserve">: set a 30/60/90-day remediation cadence per subscription; target 80% overall compliance within twelve months. </w:t>
      </w:r>
    </w:p>
    <w:p w14:paraId="74709014" w14:textId="77777777" w:rsidR="003F0DB8" w:rsidRDefault="00000000">
      <w:pPr>
        <w:numPr>
          <w:ilvl w:val="0"/>
          <w:numId w:val="32"/>
        </w:numPr>
        <w:ind w:right="5" w:hanging="284"/>
      </w:pPr>
      <w:r>
        <w:rPr>
          <w:b/>
        </w:rPr>
        <w:t>Formalise Policy Ownership</w:t>
      </w:r>
      <w:r>
        <w:t xml:space="preserve">: define clear ownership for policy definition, approval, exception handling and lifecycle management. </w:t>
      </w:r>
    </w:p>
    <w:p w14:paraId="1D543997" w14:textId="77777777" w:rsidR="003F0DB8" w:rsidRDefault="00000000">
      <w:pPr>
        <w:numPr>
          <w:ilvl w:val="0"/>
          <w:numId w:val="32"/>
        </w:numPr>
        <w:spacing w:after="41"/>
        <w:ind w:right="5" w:hanging="284"/>
      </w:pPr>
      <w:r>
        <w:rPr>
          <w:b/>
        </w:rPr>
        <w:t>Publish the Policy Catalogue</w:t>
      </w:r>
      <w:r>
        <w:t xml:space="preserve">: generate policy documentation as markdown directly from policy code and publish it to internal teams and third-party partners, kept in step with what is deployed. </w:t>
      </w:r>
    </w:p>
    <w:p w14:paraId="4332261B" w14:textId="77777777" w:rsidR="003F0DB8" w:rsidRDefault="00000000">
      <w:pPr>
        <w:numPr>
          <w:ilvl w:val="0"/>
          <w:numId w:val="32"/>
        </w:numPr>
        <w:spacing w:after="45"/>
        <w:ind w:right="5" w:hanging="284"/>
      </w:pPr>
      <w:r>
        <w:rPr>
          <w:b/>
        </w:rPr>
        <w:t>Back the Secure by Design Review</w:t>
      </w:r>
      <w:r>
        <w:t xml:space="preserve">: support the secure-by-design review with a documented logging and monitoring standard, so review outcomes follow a baseline rather than reviewer judgement (see Platform Operations and Observability). </w:t>
      </w:r>
    </w:p>
    <w:p w14:paraId="75ECA1E3" w14:textId="77777777" w:rsidR="003F0DB8" w:rsidRDefault="00000000">
      <w:pPr>
        <w:numPr>
          <w:ilvl w:val="0"/>
          <w:numId w:val="32"/>
        </w:numPr>
        <w:ind w:right="5" w:hanging="284"/>
      </w:pPr>
      <w:r>
        <w:rPr>
          <w:b/>
        </w:rPr>
        <w:t>Embed FinOps Guardrails</w:t>
      </w:r>
      <w:r>
        <w:t xml:space="preserve">: introduce policy-enforced ownership and cost-allocation tags aligned to a defined FinOps accountability model. </w:t>
      </w:r>
    </w:p>
    <w:p w14:paraId="120B77A1" w14:textId="77777777" w:rsidR="003F0DB8" w:rsidRDefault="00000000">
      <w:pPr>
        <w:spacing w:after="123" w:line="259" w:lineRule="auto"/>
        <w:ind w:left="1136" w:firstLine="0"/>
      </w:pPr>
      <w:r>
        <w:t xml:space="preserve"> </w:t>
      </w:r>
    </w:p>
    <w:p w14:paraId="5CF92032" w14:textId="77777777" w:rsidR="003F0DB8" w:rsidRDefault="00000000">
      <w:pPr>
        <w:pStyle w:val="Heading3"/>
        <w:spacing w:after="182"/>
        <w:ind w:left="-5"/>
      </w:pPr>
      <w:r>
        <w:t>Cloud Operating Model</w:t>
      </w:r>
      <w:r>
        <w:rPr>
          <w:b w:val="0"/>
        </w:rPr>
        <w:t xml:space="preserve"> </w:t>
      </w:r>
    </w:p>
    <w:p w14:paraId="5C550DA8" w14:textId="77777777" w:rsidR="003F0DB8" w:rsidRDefault="00000000">
      <w:pPr>
        <w:numPr>
          <w:ilvl w:val="0"/>
          <w:numId w:val="33"/>
        </w:numPr>
        <w:spacing w:after="41"/>
        <w:ind w:right="5" w:hanging="284"/>
      </w:pPr>
      <w:r>
        <w:rPr>
          <w:b/>
        </w:rPr>
        <w:t>Approved Onboarding Patterns</w:t>
      </w:r>
      <w:r>
        <w:t xml:space="preserve">: publish a small, fixed set of approved subscription archetypes and landing-zone patterns covering configuration, placement, tagging and RBAC. Treat requests that conform as pre-approved standard changes, and route only non-standard requests to CAB. </w:t>
      </w:r>
    </w:p>
    <w:p w14:paraId="45F9CAA9" w14:textId="77777777" w:rsidR="003F0DB8" w:rsidRDefault="00000000">
      <w:pPr>
        <w:numPr>
          <w:ilvl w:val="0"/>
          <w:numId w:val="33"/>
        </w:numPr>
        <w:ind w:right="5" w:hanging="284"/>
      </w:pPr>
      <w:r>
        <w:rPr>
          <w:b/>
        </w:rPr>
        <w:t>ServiceNow Vending Intake</w:t>
      </w:r>
      <w:r>
        <w:t xml:space="preserve">: replace the “DevOps request” route with a ServiceNow-driven vending form within ninety days. </w:t>
      </w:r>
    </w:p>
    <w:p w14:paraId="1AE08D10" w14:textId="77777777" w:rsidR="003F0DB8" w:rsidRDefault="00000000">
      <w:pPr>
        <w:numPr>
          <w:ilvl w:val="0"/>
          <w:numId w:val="33"/>
        </w:numPr>
        <w:spacing w:after="45"/>
        <w:ind w:right="5" w:hanging="284"/>
      </w:pPr>
      <w:r>
        <w:rPr>
          <w:b/>
        </w:rPr>
        <w:t>Embed Platform Ownership</w:t>
      </w:r>
      <w:r>
        <w:t xml:space="preserve">: assign accountability for onboarding standards, tooling and lifecycle management to the platform team, with formal governance checkpoints for subscription creation and workload placement. </w:t>
      </w:r>
    </w:p>
    <w:p w14:paraId="33906638" w14:textId="77777777" w:rsidR="003F0DB8" w:rsidRDefault="00000000">
      <w:pPr>
        <w:numPr>
          <w:ilvl w:val="0"/>
          <w:numId w:val="33"/>
        </w:numPr>
        <w:spacing w:after="47"/>
        <w:ind w:right="5" w:hanging="284"/>
      </w:pPr>
      <w:r>
        <w:rPr>
          <w:b/>
        </w:rPr>
        <w:t>Rationalise Owner Role Assignments</w:t>
      </w:r>
      <w:r>
        <w:t xml:space="preserve">: audit the numerous ‘Owner grants’ (particularly the service-principal grants), reduce to named exceptions, and require documented justification for new Owner-scope assignments. </w:t>
      </w:r>
    </w:p>
    <w:p w14:paraId="45AE5027" w14:textId="77777777" w:rsidR="003F0DB8" w:rsidRDefault="00000000">
      <w:pPr>
        <w:numPr>
          <w:ilvl w:val="0"/>
          <w:numId w:val="33"/>
        </w:numPr>
        <w:spacing w:after="166"/>
        <w:ind w:right="5" w:hanging="284"/>
      </w:pPr>
      <w:r>
        <w:rPr>
          <w:b/>
        </w:rPr>
        <w:t>Technical Program Leadership</w:t>
      </w:r>
      <w:r>
        <w:t xml:space="preserve">: Establish a group to own the prioritisation. (See more in chapter ‘Tech Program Leadership’) </w:t>
      </w:r>
    </w:p>
    <w:p w14:paraId="4B45D1E4" w14:textId="77777777" w:rsidR="003F0DB8" w:rsidRDefault="00000000">
      <w:pPr>
        <w:pStyle w:val="Heading3"/>
        <w:spacing w:after="178"/>
        <w:ind w:left="-5"/>
      </w:pPr>
      <w:r>
        <w:t xml:space="preserve">Data Governance </w:t>
      </w:r>
    </w:p>
    <w:p w14:paraId="5091FCFB" w14:textId="77777777" w:rsidR="003F0DB8" w:rsidRDefault="00000000">
      <w:pPr>
        <w:numPr>
          <w:ilvl w:val="0"/>
          <w:numId w:val="34"/>
        </w:numPr>
        <w:ind w:right="5" w:hanging="284"/>
      </w:pPr>
      <w:r>
        <w:rPr>
          <w:b/>
        </w:rPr>
        <w:t>Consolidate Purview</w:t>
      </w:r>
      <w:r>
        <w:t xml:space="preserve">: recover production access and migrate to the new portal; appoint a named administrator. </w:t>
      </w:r>
    </w:p>
    <w:p w14:paraId="0BA30B45" w14:textId="77777777" w:rsidR="003F0DB8" w:rsidRDefault="00000000">
      <w:pPr>
        <w:numPr>
          <w:ilvl w:val="0"/>
          <w:numId w:val="34"/>
        </w:numPr>
        <w:ind w:right="5" w:hanging="284"/>
      </w:pPr>
      <w:r>
        <w:rPr>
          <w:b/>
        </w:rPr>
        <w:t>GDPR Retention</w:t>
      </w:r>
      <w:r>
        <w:t xml:space="preserve">: apply retention policies to the Interim SA and to all ESR-bearing storage; surface deletion as a programme action. </w:t>
      </w:r>
    </w:p>
    <w:p w14:paraId="08F400A1" w14:textId="77777777" w:rsidR="003F0DB8" w:rsidRDefault="00000000">
      <w:pPr>
        <w:numPr>
          <w:ilvl w:val="0"/>
          <w:numId w:val="34"/>
        </w:numPr>
        <w:spacing w:after="46"/>
        <w:ind w:right="5" w:hanging="284"/>
      </w:pPr>
      <w:r>
        <w:rPr>
          <w:b/>
        </w:rPr>
        <w:t>Define Data Ownership</w:t>
      </w:r>
      <w:r>
        <w:t xml:space="preserve">: establish clear accountability for data classification, stewardship and lifecycle governance at platform and workload levels.  Operationalise data classification and sensitivity labelling, enforced consistently across EDP, Fabric and downstream services. </w:t>
      </w:r>
    </w:p>
    <w:p w14:paraId="13C8DA90" w14:textId="77777777" w:rsidR="003F0DB8" w:rsidRDefault="00000000">
      <w:pPr>
        <w:numPr>
          <w:ilvl w:val="0"/>
          <w:numId w:val="34"/>
        </w:numPr>
        <w:ind w:right="5" w:hanging="284"/>
      </w:pPr>
      <w:r>
        <w:rPr>
          <w:b/>
        </w:rPr>
        <w:t>Document Residency and Sovereignty</w:t>
      </w:r>
      <w:r>
        <w:t xml:space="preserve">: define residency expectations, approval processes and exception handling to support audit and assurance. </w:t>
      </w:r>
    </w:p>
    <w:p w14:paraId="1B757106" w14:textId="77777777" w:rsidR="003F0DB8" w:rsidRDefault="00000000">
      <w:pPr>
        <w:numPr>
          <w:ilvl w:val="0"/>
          <w:numId w:val="34"/>
        </w:numPr>
        <w:ind w:right="5" w:hanging="284"/>
      </w:pPr>
      <w:r>
        <w:rPr>
          <w:b/>
        </w:rPr>
        <w:t>Align with CAF Controls</w:t>
      </w:r>
      <w:r>
        <w:t xml:space="preserve">: ensure data governance standards directly inform policy, tagging and onboarding decisions rather than operating in parallel. </w:t>
      </w:r>
    </w:p>
    <w:p w14:paraId="037DBB31" w14:textId="77777777" w:rsidR="003F0DB8" w:rsidRDefault="00000000">
      <w:pPr>
        <w:spacing w:after="133" w:line="259" w:lineRule="auto"/>
        <w:ind w:left="0" w:firstLine="0"/>
      </w:pPr>
      <w:r>
        <w:t xml:space="preserve"> </w:t>
      </w:r>
    </w:p>
    <w:p w14:paraId="0982E945" w14:textId="77777777" w:rsidR="003F0DB8" w:rsidRDefault="00000000">
      <w:pPr>
        <w:spacing w:after="0" w:line="259" w:lineRule="auto"/>
        <w:ind w:left="0" w:firstLine="0"/>
      </w:pPr>
      <w:r>
        <w:rPr>
          <w:sz w:val="24"/>
        </w:rPr>
        <w:lastRenderedPageBreak/>
        <w:t xml:space="preserve"> </w:t>
      </w:r>
      <w:r>
        <w:rPr>
          <w:sz w:val="24"/>
        </w:rPr>
        <w:tab/>
      </w:r>
      <w:r>
        <w:rPr>
          <w:b/>
          <w:sz w:val="32"/>
        </w:rPr>
        <w:t xml:space="preserve"> </w:t>
      </w:r>
    </w:p>
    <w:p w14:paraId="7E3BC4D1" w14:textId="77777777" w:rsidR="003F0DB8" w:rsidRDefault="00000000">
      <w:pPr>
        <w:pStyle w:val="Heading1"/>
        <w:spacing w:after="86"/>
        <w:ind w:left="-5"/>
      </w:pPr>
      <w:bookmarkStart w:id="26" w:name="_Toc96808"/>
      <w:r>
        <w:rPr>
          <w:sz w:val="32"/>
        </w:rPr>
        <w:t xml:space="preserve">Networking and Security </w:t>
      </w:r>
      <w:bookmarkEnd w:id="26"/>
    </w:p>
    <w:p w14:paraId="55FA9470" w14:textId="77777777" w:rsidR="003F0DB8" w:rsidRDefault="00000000">
      <w:pPr>
        <w:pStyle w:val="Heading1"/>
        <w:ind w:left="-5"/>
      </w:pPr>
      <w:bookmarkStart w:id="27" w:name="_Toc96809"/>
      <w:r>
        <w:t xml:space="preserve">Current State Overview </w:t>
      </w:r>
      <w:bookmarkEnd w:id="27"/>
    </w:p>
    <w:p w14:paraId="091D791D" w14:textId="77777777" w:rsidR="003F0DB8" w:rsidRDefault="00000000">
      <w:pPr>
        <w:spacing w:after="210" w:line="269" w:lineRule="auto"/>
        <w:ind w:left="10" w:right="3" w:hanging="10"/>
      </w:pPr>
      <w:r>
        <w:rPr>
          <w:sz w:val="24"/>
        </w:rPr>
        <w:t xml:space="preserve">CQC's networking estate is structurally legacy. A single central firewall hub serves multiple environments. Private DNS zones are sprawled. The IP plan was historically allocated by spreadsheet, with oversized ranges and hundreds of unused subnets. The newworld design exists in code on paper but is not yet deployed. </w:t>
      </w:r>
    </w:p>
    <w:p w14:paraId="4ABBFAA4" w14:textId="77777777" w:rsidR="003F0DB8" w:rsidRDefault="00000000">
      <w:pPr>
        <w:pStyle w:val="Heading1"/>
        <w:spacing w:after="140"/>
        <w:ind w:left="-5"/>
      </w:pPr>
      <w:bookmarkStart w:id="28" w:name="_Toc96810"/>
      <w:r>
        <w:t xml:space="preserve">Network Topology </w:t>
      </w:r>
      <w:bookmarkEnd w:id="28"/>
    </w:p>
    <w:p w14:paraId="288B4CC2" w14:textId="77777777" w:rsidR="003F0DB8" w:rsidRDefault="00000000">
      <w:pPr>
        <w:pStyle w:val="Heading3"/>
        <w:ind w:left="-5"/>
      </w:pPr>
      <w:r>
        <w:t xml:space="preserve">Hub and Spoke Topology </w:t>
      </w:r>
    </w:p>
    <w:p w14:paraId="030C6687" w14:textId="77777777" w:rsidR="003F0DB8" w:rsidRDefault="00000000">
      <w:pPr>
        <w:numPr>
          <w:ilvl w:val="0"/>
          <w:numId w:val="35"/>
        </w:numPr>
        <w:spacing w:after="45"/>
        <w:ind w:right="5" w:hanging="284"/>
      </w:pPr>
      <w:r>
        <w:t xml:space="preserve">The topology resembles a hub-and-spiderweb rather than a true hub-and-spoke. A single Azure Firewall hub serves prod, dev and UAT, with ExpressRoute, VPNs, App Gateways and spokes all peered in.  </w:t>
      </w:r>
    </w:p>
    <w:p w14:paraId="0DC5F76D" w14:textId="77777777" w:rsidR="003F0DB8" w:rsidRDefault="00000000">
      <w:pPr>
        <w:numPr>
          <w:ilvl w:val="0"/>
          <w:numId w:val="35"/>
        </w:numPr>
        <w:ind w:right="5" w:hanging="284"/>
      </w:pPr>
      <w:r>
        <w:t xml:space="preserve">Spokes are joined laterally to one another. Lateral traffic patterns are unpredictable and segmentation is reactive rather than designed.  </w:t>
      </w:r>
    </w:p>
    <w:p w14:paraId="7EB1D4C8" w14:textId="77777777" w:rsidR="003F0DB8" w:rsidRDefault="00000000">
      <w:pPr>
        <w:numPr>
          <w:ilvl w:val="0"/>
          <w:numId w:val="35"/>
        </w:numPr>
        <w:spacing w:after="45"/>
        <w:ind w:right="5" w:hanging="284"/>
      </w:pPr>
      <w:r>
        <w:t xml:space="preserve">The topology is not in code. The firewall ruleset is third-party managed, contains thousands of unaudited rules, and has no owner-of-record. A single ruleset spanning all environments concentrates change risk.  </w:t>
      </w:r>
    </w:p>
    <w:p w14:paraId="073CF8BE" w14:textId="77777777" w:rsidR="003F0DB8" w:rsidRDefault="00000000">
      <w:pPr>
        <w:numPr>
          <w:ilvl w:val="0"/>
          <w:numId w:val="35"/>
        </w:numPr>
        <w:spacing w:after="138"/>
        <w:ind w:right="5" w:hanging="284"/>
      </w:pPr>
      <w:r>
        <w:t xml:space="preserve">Legacy rules will not be migrated. </w:t>
      </w:r>
    </w:p>
    <w:p w14:paraId="491F3CB5" w14:textId="77777777" w:rsidR="003F0DB8" w:rsidRDefault="00000000">
      <w:pPr>
        <w:pStyle w:val="Heading3"/>
        <w:ind w:left="-5"/>
      </w:pPr>
      <w:r>
        <w:t xml:space="preserve">Region Concentration and UK West Reality </w:t>
      </w:r>
    </w:p>
    <w:p w14:paraId="4E68C19F" w14:textId="77777777" w:rsidR="003F0DB8" w:rsidRDefault="00000000">
      <w:pPr>
        <w:numPr>
          <w:ilvl w:val="0"/>
          <w:numId w:val="36"/>
        </w:numPr>
        <w:spacing w:after="45"/>
        <w:ind w:right="5" w:hanging="284"/>
      </w:pPr>
      <w:r>
        <w:t xml:space="preserve">Around 86% of resources are in UK South. Microsoft has confirmed that UK South is capacity-constrained and has asked CQC to provide advance notice when additional compute is needed.  </w:t>
      </w:r>
    </w:p>
    <w:p w14:paraId="23D8D0BF" w14:textId="77777777" w:rsidR="003F0DB8" w:rsidRDefault="00000000">
      <w:pPr>
        <w:numPr>
          <w:ilvl w:val="0"/>
          <w:numId w:val="36"/>
        </w:numPr>
        <w:spacing w:after="46"/>
        <w:ind w:right="5" w:hanging="284"/>
      </w:pPr>
      <w:r>
        <w:t xml:space="preserve">Quoted lead times are "10 days for simple, six weeks for complex", with one open request currently at ten weeks. Scaling in UK South is no longer ondemand.  </w:t>
      </w:r>
    </w:p>
    <w:p w14:paraId="4FCCFD03" w14:textId="77777777" w:rsidR="003F0DB8" w:rsidRDefault="00000000">
      <w:pPr>
        <w:numPr>
          <w:ilvl w:val="0"/>
          <w:numId w:val="36"/>
        </w:numPr>
        <w:spacing w:after="42"/>
        <w:ind w:right="5" w:hanging="284"/>
      </w:pPr>
      <w:r>
        <w:t xml:space="preserve">UK West does not offer a straightforward alternative. The region is limited to a single availability zone, ruling it out as a resilient secondary for zoneredundant workloads.  </w:t>
      </w:r>
    </w:p>
    <w:p w14:paraId="06133CD3" w14:textId="77777777" w:rsidR="003F0DB8" w:rsidRDefault="00000000">
      <w:pPr>
        <w:numPr>
          <w:ilvl w:val="0"/>
          <w:numId w:val="36"/>
        </w:numPr>
        <w:spacing w:after="78"/>
        <w:ind w:right="5" w:hanging="284"/>
      </w:pPr>
      <w:r>
        <w:t xml:space="preserve">The result is a strategic dependency on a constrained primary region, with no validated secondary and no active DR posture. </w:t>
      </w:r>
    </w:p>
    <w:p w14:paraId="2B11313D" w14:textId="77777777" w:rsidR="003F0DB8" w:rsidRDefault="00000000">
      <w:pPr>
        <w:pStyle w:val="Heading3"/>
        <w:ind w:left="-5"/>
      </w:pPr>
      <w:r>
        <w:t>Isolated VNets</w:t>
      </w:r>
      <w:r>
        <w:rPr>
          <w:b w:val="0"/>
        </w:rPr>
        <w:t xml:space="preserve"> </w:t>
      </w:r>
    </w:p>
    <w:p w14:paraId="4D9AA8AE" w14:textId="77777777" w:rsidR="003F0DB8" w:rsidRDefault="00000000">
      <w:pPr>
        <w:numPr>
          <w:ilvl w:val="0"/>
          <w:numId w:val="37"/>
        </w:numPr>
        <w:ind w:right="5" w:hanging="284"/>
      </w:pPr>
      <w:r>
        <w:t xml:space="preserve">Many VNets are isolated with no peering, no gateway, and no productive traffic. </w:t>
      </w:r>
    </w:p>
    <w:p w14:paraId="41460BE7" w14:textId="77777777" w:rsidR="003F0DB8" w:rsidRDefault="00000000">
      <w:pPr>
        <w:numPr>
          <w:ilvl w:val="0"/>
          <w:numId w:val="37"/>
        </w:numPr>
        <w:spacing w:after="79"/>
        <w:ind w:right="5" w:hanging="284"/>
      </w:pPr>
      <w:r>
        <w:t xml:space="preserve">They consume IP address ranges and management effort for no return. </w:t>
      </w:r>
    </w:p>
    <w:p w14:paraId="37437DF3" w14:textId="77777777" w:rsidR="003F0DB8" w:rsidRDefault="00000000">
      <w:pPr>
        <w:spacing w:after="0" w:line="259" w:lineRule="auto"/>
        <w:ind w:left="0" w:firstLine="0"/>
      </w:pPr>
      <w:r>
        <w:rPr>
          <w:sz w:val="24"/>
        </w:rPr>
        <w:lastRenderedPageBreak/>
        <w:t xml:space="preserve"> </w:t>
      </w:r>
    </w:p>
    <w:p w14:paraId="3343B5BC" w14:textId="77777777" w:rsidR="003F0DB8" w:rsidRDefault="00000000">
      <w:pPr>
        <w:pStyle w:val="Heading1"/>
        <w:ind w:left="-5"/>
      </w:pPr>
      <w:bookmarkStart w:id="29" w:name="_Toc96811"/>
      <w:r>
        <w:t xml:space="preserve">Network Security and Traffic Management </w:t>
      </w:r>
      <w:bookmarkEnd w:id="29"/>
    </w:p>
    <w:p w14:paraId="479FBAB3" w14:textId="77777777" w:rsidR="003F0DB8" w:rsidRDefault="00000000">
      <w:pPr>
        <w:pStyle w:val="Heading3"/>
        <w:ind w:left="-5"/>
      </w:pPr>
      <w:r>
        <w:t>WAF and APIM</w:t>
      </w:r>
      <w:r>
        <w:rPr>
          <w:b w:val="0"/>
        </w:rPr>
        <w:t xml:space="preserve"> </w:t>
      </w:r>
    </w:p>
    <w:p w14:paraId="55CA30DB" w14:textId="77777777" w:rsidR="003F0DB8" w:rsidRDefault="00000000">
      <w:pPr>
        <w:numPr>
          <w:ilvl w:val="0"/>
          <w:numId w:val="38"/>
        </w:numPr>
        <w:spacing w:after="46"/>
        <w:ind w:right="5" w:hanging="284"/>
      </w:pPr>
      <w:r>
        <w:t xml:space="preserve">App Gateway with WAF v2 sits in front of APIM. The WAF runs the default managed rule set only, with no geo-restrictions, no throttling, and no custom rules. </w:t>
      </w:r>
    </w:p>
    <w:p w14:paraId="48C11481" w14:textId="77777777" w:rsidR="003F0DB8" w:rsidRDefault="00000000">
      <w:pPr>
        <w:numPr>
          <w:ilvl w:val="0"/>
          <w:numId w:val="38"/>
        </w:numPr>
        <w:spacing w:after="41"/>
        <w:ind w:right="5" w:hanging="284"/>
      </w:pPr>
      <w:r>
        <w:t xml:space="preserve">In its current configuration the WAF does not actively block malicious traffic. The APIM scraping incident, in which tens of millions of API calls per month were scraped through unprotected endpoints, is a direct consequence. </w:t>
      </w:r>
    </w:p>
    <w:p w14:paraId="323C75A0" w14:textId="77777777" w:rsidR="003F0DB8" w:rsidRDefault="00000000">
      <w:pPr>
        <w:numPr>
          <w:ilvl w:val="0"/>
          <w:numId w:val="38"/>
        </w:numPr>
        <w:ind w:right="5" w:hanging="284"/>
      </w:pPr>
      <w:r>
        <w:t xml:space="preserve">Four Premium APIM instances run today, one per environment. Pre-prod environments are significantly underused relative to the Premium SKU cost. </w:t>
      </w:r>
    </w:p>
    <w:p w14:paraId="54795005" w14:textId="77777777" w:rsidR="003F0DB8" w:rsidRDefault="00000000">
      <w:pPr>
        <w:numPr>
          <w:ilvl w:val="0"/>
          <w:numId w:val="38"/>
        </w:numPr>
        <w:spacing w:after="137"/>
        <w:ind w:right="5" w:hanging="284"/>
      </w:pPr>
      <w:r>
        <w:t xml:space="preserve">Hardcoded JWT token values appear in APIM policies alongside embedded business logic, creating an exfiltration and rotation risk on the tokens and a fragile change surface in the policy layer. </w:t>
      </w:r>
    </w:p>
    <w:p w14:paraId="4CFFA1F0" w14:textId="77777777" w:rsidR="003F0DB8" w:rsidRDefault="00000000">
      <w:pPr>
        <w:pStyle w:val="Heading3"/>
        <w:ind w:left="-5"/>
      </w:pPr>
      <w:r>
        <w:t>NSG Coverage</w:t>
      </w:r>
      <w:r>
        <w:rPr>
          <w:b w:val="0"/>
        </w:rPr>
        <w:t xml:space="preserve"> </w:t>
      </w:r>
    </w:p>
    <w:p w14:paraId="05F45107" w14:textId="77777777" w:rsidR="003F0DB8" w:rsidRDefault="00000000">
      <w:pPr>
        <w:numPr>
          <w:ilvl w:val="0"/>
          <w:numId w:val="39"/>
        </w:numPr>
        <w:ind w:right="5" w:hanging="284"/>
      </w:pPr>
      <w:r>
        <w:t xml:space="preserve">The legacy environment does not consistently apply Network Security Groups. Coverage is low across the estate. </w:t>
      </w:r>
    </w:p>
    <w:p w14:paraId="08D52F0C" w14:textId="77777777" w:rsidR="003F0DB8" w:rsidRDefault="00000000">
      <w:pPr>
        <w:numPr>
          <w:ilvl w:val="0"/>
          <w:numId w:val="39"/>
        </w:numPr>
        <w:ind w:right="5" w:hanging="284"/>
      </w:pPr>
      <w:r>
        <w:t xml:space="preserve">Segmentation is reactive rather than policy-driven. Lateral movement between resources is constrained by chance rather than by design. </w:t>
      </w:r>
    </w:p>
    <w:p w14:paraId="757A86FE" w14:textId="77777777" w:rsidR="003F0DB8" w:rsidRDefault="00000000">
      <w:pPr>
        <w:numPr>
          <w:ilvl w:val="0"/>
          <w:numId w:val="39"/>
        </w:numPr>
        <w:spacing w:after="79"/>
        <w:ind w:right="5" w:hanging="284"/>
      </w:pPr>
      <w:r>
        <w:t xml:space="preserve">Six NSGs allow RDP and one allows SSH inbound from any internet source, exposing management ports directly to the public internet. </w:t>
      </w:r>
    </w:p>
    <w:p w14:paraId="7899C1D8" w14:textId="77777777" w:rsidR="003F0DB8" w:rsidRDefault="00000000">
      <w:pPr>
        <w:pStyle w:val="Heading3"/>
        <w:ind w:left="-5"/>
      </w:pPr>
      <w:r>
        <w:t>Private Endpoints and DNS</w:t>
      </w:r>
      <w:r>
        <w:rPr>
          <w:b w:val="0"/>
        </w:rPr>
        <w:t xml:space="preserve"> </w:t>
      </w:r>
    </w:p>
    <w:p w14:paraId="3DAE7A2C" w14:textId="77777777" w:rsidR="003F0DB8" w:rsidRDefault="00000000">
      <w:pPr>
        <w:numPr>
          <w:ilvl w:val="0"/>
          <w:numId w:val="40"/>
        </w:numPr>
        <w:spacing w:after="41"/>
        <w:ind w:right="5" w:hanging="284"/>
      </w:pPr>
      <w:r>
        <w:t xml:space="preserve">Private Endpoints and DNS zones have proliferated with significant duplication. Many private DNS zones are duplicated per Private Endpoint of the same type. </w:t>
      </w:r>
    </w:p>
    <w:p w14:paraId="6991C9D1" w14:textId="77777777" w:rsidR="003F0DB8" w:rsidRDefault="00000000">
      <w:pPr>
        <w:numPr>
          <w:ilvl w:val="0"/>
          <w:numId w:val="40"/>
        </w:numPr>
        <w:ind w:right="5" w:hanging="284"/>
      </w:pPr>
      <w:r>
        <w:t xml:space="preserve">A number of Private Endpoints are in a failed or disconnected state. </w:t>
      </w:r>
    </w:p>
    <w:p w14:paraId="18F83CFB" w14:textId="77777777" w:rsidR="003F0DB8" w:rsidRDefault="00000000">
      <w:pPr>
        <w:numPr>
          <w:ilvl w:val="0"/>
          <w:numId w:val="40"/>
        </w:numPr>
        <w:spacing w:after="78"/>
        <w:ind w:right="5" w:hanging="284"/>
      </w:pPr>
      <w:r>
        <w:t xml:space="preserve">DNS and Private Endpoint management is itself a cost and operational drag. </w:t>
      </w:r>
    </w:p>
    <w:p w14:paraId="06482BCC" w14:textId="77777777" w:rsidR="003F0DB8" w:rsidRDefault="00000000">
      <w:pPr>
        <w:spacing w:after="229" w:line="259" w:lineRule="auto"/>
        <w:ind w:left="0" w:firstLine="0"/>
      </w:pPr>
      <w:r>
        <w:rPr>
          <w:sz w:val="24"/>
        </w:rPr>
        <w:t xml:space="preserve"> </w:t>
      </w:r>
    </w:p>
    <w:p w14:paraId="19C4F6F2" w14:textId="77777777" w:rsidR="003F0DB8" w:rsidRDefault="00000000">
      <w:pPr>
        <w:pStyle w:val="Heading1"/>
        <w:ind w:left="-5"/>
      </w:pPr>
      <w:bookmarkStart w:id="30" w:name="_Toc96812"/>
      <w:r>
        <w:t xml:space="preserve">Hybrid Connectivity </w:t>
      </w:r>
      <w:bookmarkEnd w:id="30"/>
    </w:p>
    <w:p w14:paraId="3442607B" w14:textId="77777777" w:rsidR="003F0DB8" w:rsidRDefault="00000000">
      <w:pPr>
        <w:pStyle w:val="Heading3"/>
        <w:ind w:left="-5"/>
      </w:pPr>
      <w:r>
        <w:t>ExpressRoute</w:t>
      </w:r>
      <w:r>
        <w:rPr>
          <w:b w:val="0"/>
        </w:rPr>
        <w:t xml:space="preserve"> </w:t>
      </w:r>
    </w:p>
    <w:p w14:paraId="717C1BDB" w14:textId="77777777" w:rsidR="003F0DB8" w:rsidRDefault="00000000">
      <w:pPr>
        <w:numPr>
          <w:ilvl w:val="0"/>
          <w:numId w:val="41"/>
        </w:numPr>
        <w:spacing w:after="45"/>
        <w:ind w:right="5" w:hanging="284"/>
      </w:pPr>
      <w:r>
        <w:t xml:space="preserve">Two ExpressRoute circuits operate today. The first connects to the legacy on-premises data centre and is being decommissioned by end of year as the data centre closes. The gateway will be retained because it now serves Azure VMware Solution (AVS). </w:t>
      </w:r>
    </w:p>
    <w:p w14:paraId="4145A435" w14:textId="77777777" w:rsidR="003F0DB8" w:rsidRDefault="00000000">
      <w:pPr>
        <w:numPr>
          <w:ilvl w:val="0"/>
          <w:numId w:val="41"/>
        </w:numPr>
        <w:ind w:right="5" w:hanging="284"/>
      </w:pPr>
      <w:r>
        <w:t xml:space="preserve">The second connects to HSCN (Health and Social Care Network) and is being retained. </w:t>
      </w:r>
    </w:p>
    <w:p w14:paraId="27B964A4" w14:textId="77777777" w:rsidR="003F0DB8" w:rsidRDefault="00000000">
      <w:pPr>
        <w:numPr>
          <w:ilvl w:val="0"/>
          <w:numId w:val="41"/>
        </w:numPr>
        <w:spacing w:after="79"/>
        <w:ind w:right="5" w:hanging="284"/>
      </w:pPr>
      <w:r>
        <w:t xml:space="preserve">AVS is a short-lived bridge, with strategic intent to decommission. The data-centre exit is a hard timeline, with AVS acting as a short-window safety net. </w:t>
      </w:r>
    </w:p>
    <w:p w14:paraId="0E56A3D3" w14:textId="77777777" w:rsidR="003F0DB8" w:rsidRDefault="00000000">
      <w:pPr>
        <w:pStyle w:val="Heading3"/>
        <w:ind w:left="-5"/>
      </w:pPr>
      <w:r>
        <w:lastRenderedPageBreak/>
        <w:t>Third-Party Organisations Within the Tenant</w:t>
      </w:r>
      <w:r>
        <w:rPr>
          <w:b w:val="0"/>
        </w:rPr>
        <w:t xml:space="preserve"> </w:t>
      </w:r>
    </w:p>
    <w:p w14:paraId="2CD78AA1" w14:textId="77777777" w:rsidR="003F0DB8" w:rsidRDefault="00000000">
      <w:pPr>
        <w:numPr>
          <w:ilvl w:val="0"/>
          <w:numId w:val="42"/>
        </w:numPr>
        <w:spacing w:after="41"/>
        <w:ind w:right="5" w:hanging="284"/>
      </w:pPr>
      <w:r>
        <w:t xml:space="preserve">MNSI (Maternity and Newborn Safety Investigations) and a small number of other organisations sit inside the CQC tenancy with no dedicated subscriptions. </w:t>
      </w:r>
    </w:p>
    <w:p w14:paraId="63EE0612" w14:textId="77777777" w:rsidR="003F0DB8" w:rsidRDefault="00000000">
      <w:pPr>
        <w:numPr>
          <w:ilvl w:val="0"/>
          <w:numId w:val="42"/>
        </w:numPr>
        <w:spacing w:after="137"/>
        <w:ind w:right="5" w:hanging="284"/>
      </w:pPr>
      <w:r>
        <w:t xml:space="preserve">This extends the lateral-movement blast radius across organisational boundaries and introduces regulatory ambiguity around responsibility and accountability. </w:t>
      </w:r>
    </w:p>
    <w:p w14:paraId="3D6BDA99" w14:textId="77777777" w:rsidR="003F0DB8" w:rsidRDefault="00000000">
      <w:pPr>
        <w:pStyle w:val="Heading3"/>
        <w:ind w:left="-5"/>
      </w:pPr>
      <w:r>
        <w:t>Pulse Secure VPN for Siebel</w:t>
      </w:r>
      <w:r>
        <w:rPr>
          <w:b w:val="0"/>
        </w:rPr>
        <w:t xml:space="preserve"> </w:t>
      </w:r>
    </w:p>
    <w:p w14:paraId="6DADF54C" w14:textId="77777777" w:rsidR="003F0DB8" w:rsidRDefault="00000000">
      <w:pPr>
        <w:numPr>
          <w:ilvl w:val="0"/>
          <w:numId w:val="43"/>
        </w:numPr>
        <w:ind w:right="5" w:hanging="284"/>
      </w:pPr>
      <w:r>
        <w:t xml:space="preserve">Infosys reaches the Siebel CRM back-end via a Pulse Secure VPN that terminates on a VM in the hub, presented externally. </w:t>
      </w:r>
    </w:p>
    <w:p w14:paraId="45A85D05" w14:textId="77777777" w:rsidR="003F0DB8" w:rsidRDefault="00000000">
      <w:pPr>
        <w:numPr>
          <w:ilvl w:val="0"/>
          <w:numId w:val="43"/>
        </w:numPr>
        <w:spacing w:after="241"/>
        <w:ind w:right="5" w:hanging="284"/>
      </w:pPr>
      <w:r>
        <w:t xml:space="preserve">The VPN concentrator on a VM in the hub is a fragile control plane. Siebel migration to Azure is targeted for August to September, at which point this dependency is expected to be retired. </w:t>
      </w:r>
    </w:p>
    <w:p w14:paraId="67055EC2" w14:textId="77777777" w:rsidR="003F0DB8" w:rsidRDefault="00000000">
      <w:pPr>
        <w:pStyle w:val="Heading1"/>
        <w:ind w:left="-5"/>
      </w:pPr>
      <w:bookmarkStart w:id="31" w:name="_Toc96813"/>
      <w:r>
        <w:t xml:space="preserve">Core Services </w:t>
      </w:r>
      <w:bookmarkEnd w:id="31"/>
    </w:p>
    <w:p w14:paraId="54111F6D" w14:textId="77777777" w:rsidR="003F0DB8" w:rsidRDefault="00000000">
      <w:pPr>
        <w:pStyle w:val="Heading3"/>
        <w:ind w:left="-5"/>
      </w:pPr>
      <w:r>
        <w:t>Public DNS</w:t>
      </w:r>
      <w:r>
        <w:rPr>
          <w:b w:val="0"/>
        </w:rPr>
        <w:t xml:space="preserve"> </w:t>
      </w:r>
    </w:p>
    <w:p w14:paraId="2FEF8878" w14:textId="77777777" w:rsidR="003F0DB8" w:rsidRDefault="00000000">
      <w:pPr>
        <w:numPr>
          <w:ilvl w:val="0"/>
          <w:numId w:val="44"/>
        </w:numPr>
        <w:ind w:right="5" w:hanging="284"/>
      </w:pPr>
      <w:r>
        <w:t xml:space="preserve">DNS for the CQC public domain is externally managed by Vodafone. Internal DNS is still served by legacy AD domain controllers. </w:t>
      </w:r>
    </w:p>
    <w:p w14:paraId="13531E57" w14:textId="77777777" w:rsidR="003F0DB8" w:rsidRDefault="00000000">
      <w:pPr>
        <w:numPr>
          <w:ilvl w:val="0"/>
          <w:numId w:val="44"/>
        </w:numPr>
        <w:ind w:right="5" w:hanging="284"/>
      </w:pPr>
      <w:r>
        <w:t xml:space="preserve">Hundreds of private DNS zones exist, many duplicated per Private Endpoint type. </w:t>
      </w:r>
    </w:p>
    <w:p w14:paraId="76BFB2AA" w14:textId="77777777" w:rsidR="003F0DB8" w:rsidRDefault="00000000">
      <w:pPr>
        <w:numPr>
          <w:ilvl w:val="0"/>
          <w:numId w:val="44"/>
        </w:numPr>
        <w:spacing w:after="137"/>
        <w:ind w:right="5" w:hanging="284"/>
      </w:pPr>
      <w:r>
        <w:t xml:space="preserve">Azure DNS is positioned as the target primary, but internal name resolution still depends on legacy infrastructure and public domain control is held by an external partner. </w:t>
      </w:r>
    </w:p>
    <w:p w14:paraId="33361367" w14:textId="77777777" w:rsidR="003F0DB8" w:rsidRDefault="00000000">
      <w:pPr>
        <w:pStyle w:val="Heading3"/>
        <w:ind w:left="-5"/>
      </w:pPr>
      <w:r>
        <w:t>IP Address Management</w:t>
      </w:r>
      <w:r>
        <w:rPr>
          <w:b w:val="0"/>
        </w:rPr>
        <w:t xml:space="preserve"> </w:t>
      </w:r>
    </w:p>
    <w:p w14:paraId="3C9322C5" w14:textId="77777777" w:rsidR="003F0DB8" w:rsidRDefault="00000000">
      <w:pPr>
        <w:numPr>
          <w:ilvl w:val="0"/>
          <w:numId w:val="45"/>
        </w:numPr>
        <w:ind w:right="5" w:hanging="284"/>
      </w:pPr>
      <w:r>
        <w:t xml:space="preserve">IP allocation was historically spreadsheet-based. The legacy estate carries oversized default ranges and a large number of unused subnets. </w:t>
      </w:r>
    </w:p>
    <w:p w14:paraId="73A9BCED" w14:textId="77777777" w:rsidR="003F0DB8" w:rsidRDefault="00000000">
      <w:pPr>
        <w:numPr>
          <w:ilvl w:val="0"/>
          <w:numId w:val="45"/>
        </w:numPr>
        <w:spacing w:after="45"/>
        <w:ind w:right="5" w:hanging="284"/>
      </w:pPr>
      <w:r>
        <w:t xml:space="preserve">An IPAM tool has since been implemented, and the new CAF subscription vending allocates ranges by environment tag with subnets sized to Microsoft best practice. </w:t>
      </w:r>
    </w:p>
    <w:p w14:paraId="51C1B660" w14:textId="77777777" w:rsidR="003F0DB8" w:rsidRDefault="00000000">
      <w:pPr>
        <w:numPr>
          <w:ilvl w:val="0"/>
          <w:numId w:val="45"/>
        </w:numPr>
        <w:spacing w:after="62" w:line="310" w:lineRule="auto"/>
        <w:ind w:right="5" w:hanging="284"/>
      </w:pPr>
      <w:r>
        <w:t xml:space="preserve">The legacy address space carries waste and a latent risk of overlap with on-premises ranges. </w:t>
      </w:r>
      <w:r>
        <w:rPr>
          <w:b/>
          <w:sz w:val="24"/>
        </w:rPr>
        <w:t xml:space="preserve">Key Vaults </w:t>
      </w:r>
    </w:p>
    <w:p w14:paraId="0F7E5878" w14:textId="77777777" w:rsidR="003F0DB8" w:rsidRDefault="00000000">
      <w:pPr>
        <w:numPr>
          <w:ilvl w:val="0"/>
          <w:numId w:val="45"/>
        </w:numPr>
        <w:ind w:right="5" w:hanging="284"/>
      </w:pPr>
      <w:r>
        <w:t xml:space="preserve">Many Key Vaults allow public network access, use legacy Access Policies rather than RBAC, and have no diagnostic settings configured. </w:t>
      </w:r>
    </w:p>
    <w:p w14:paraId="7D14B407" w14:textId="77777777" w:rsidR="003F0DB8" w:rsidRDefault="00000000">
      <w:pPr>
        <w:numPr>
          <w:ilvl w:val="0"/>
          <w:numId w:val="45"/>
        </w:numPr>
        <w:ind w:right="5" w:hanging="284"/>
      </w:pPr>
      <w:r>
        <w:t xml:space="preserve">Where RBAC is in use, scope is typically set at subscription or management-group level rather than the specific vault. </w:t>
      </w:r>
    </w:p>
    <w:p w14:paraId="1E4B78D7" w14:textId="77777777" w:rsidR="003F0DB8" w:rsidRDefault="00000000">
      <w:pPr>
        <w:numPr>
          <w:ilvl w:val="0"/>
          <w:numId w:val="45"/>
        </w:numPr>
        <w:ind w:right="5" w:hanging="284"/>
      </w:pPr>
      <w:r>
        <w:t xml:space="preserve">Purge Protection is not enabled on over half of all vaults. </w:t>
      </w:r>
    </w:p>
    <w:p w14:paraId="5067932A" w14:textId="77777777" w:rsidR="003F0DB8" w:rsidRDefault="00000000">
      <w:pPr>
        <w:numPr>
          <w:ilvl w:val="0"/>
          <w:numId w:val="45"/>
        </w:numPr>
        <w:ind w:right="5" w:hanging="284"/>
      </w:pPr>
      <w:r>
        <w:t xml:space="preserve">There is no forensic capability if a secret is leaked. </w:t>
      </w:r>
    </w:p>
    <w:p w14:paraId="3085A1E7" w14:textId="77777777" w:rsidR="003F0DB8" w:rsidRDefault="00000000">
      <w:pPr>
        <w:numPr>
          <w:ilvl w:val="0"/>
          <w:numId w:val="45"/>
        </w:numPr>
        <w:spacing w:after="138"/>
        <w:ind w:right="5" w:hanging="284"/>
      </w:pPr>
      <w:r>
        <w:t xml:space="preserve">A Production Key Vault was observed with virtual-network links to both dev and prod environments. While a legitimate case exists for a shared SSL certificate vault, the cross-environment link breaks the environment boundary that policy is otherwise trying to enforce. </w:t>
      </w:r>
    </w:p>
    <w:p w14:paraId="11A0E720" w14:textId="77777777" w:rsidR="003F0DB8" w:rsidRDefault="00000000">
      <w:pPr>
        <w:pStyle w:val="Heading3"/>
        <w:ind w:left="-5"/>
      </w:pPr>
      <w:r>
        <w:lastRenderedPageBreak/>
        <w:t xml:space="preserve">Storage Accounts </w:t>
      </w:r>
    </w:p>
    <w:p w14:paraId="64CF5FAF" w14:textId="77777777" w:rsidR="003F0DB8" w:rsidRDefault="00000000">
      <w:pPr>
        <w:numPr>
          <w:ilvl w:val="0"/>
          <w:numId w:val="46"/>
        </w:numPr>
        <w:ind w:right="5" w:hanging="284"/>
      </w:pPr>
      <w:r>
        <w:t xml:space="preserve">Many storage accounts allow public network access. A significant number allow anonymous blob or container access. </w:t>
      </w:r>
    </w:p>
    <w:p w14:paraId="0296AB19" w14:textId="77777777" w:rsidR="003F0DB8" w:rsidRDefault="00000000">
      <w:pPr>
        <w:numPr>
          <w:ilvl w:val="0"/>
          <w:numId w:val="46"/>
        </w:numPr>
        <w:ind w:right="5" w:hanging="284"/>
      </w:pPr>
      <w:r>
        <w:t xml:space="preserve">Shared Key authorisation remains enabled on most accounts. A small number still allow TLS 1.0. </w:t>
      </w:r>
    </w:p>
    <w:p w14:paraId="692E8E7C" w14:textId="77777777" w:rsidR="003F0DB8" w:rsidRDefault="00000000">
      <w:pPr>
        <w:numPr>
          <w:ilvl w:val="0"/>
          <w:numId w:val="46"/>
        </w:numPr>
        <w:ind w:right="5" w:hanging="284"/>
      </w:pPr>
      <w:r>
        <w:t xml:space="preserve">Compliance against the secure-transfer policy is critically low. </w:t>
      </w:r>
    </w:p>
    <w:p w14:paraId="3A1D11ED" w14:textId="77777777" w:rsidR="003F0DB8" w:rsidRDefault="00000000">
      <w:pPr>
        <w:numPr>
          <w:ilvl w:val="0"/>
          <w:numId w:val="46"/>
        </w:numPr>
        <w:spacing w:after="79"/>
        <w:ind w:right="5" w:hanging="284"/>
      </w:pPr>
      <w:r>
        <w:t xml:space="preserve">This represents a direct exfiltration surface and an immediate compliance failure. </w:t>
      </w:r>
    </w:p>
    <w:p w14:paraId="08458AA4" w14:textId="77777777" w:rsidR="003F0DB8" w:rsidRDefault="00000000">
      <w:pPr>
        <w:spacing w:after="225" w:line="259" w:lineRule="auto"/>
        <w:ind w:left="0" w:firstLine="0"/>
      </w:pPr>
      <w:r>
        <w:rPr>
          <w:sz w:val="24"/>
        </w:rPr>
        <w:t xml:space="preserve"> </w:t>
      </w:r>
    </w:p>
    <w:p w14:paraId="6EE46B60" w14:textId="77777777" w:rsidR="003F0DB8" w:rsidRDefault="00000000">
      <w:pPr>
        <w:pStyle w:val="Heading1"/>
        <w:ind w:left="-5"/>
      </w:pPr>
      <w:bookmarkStart w:id="32" w:name="_Toc96814"/>
      <w:r>
        <w:t xml:space="preserve">Recommendations </w:t>
      </w:r>
      <w:bookmarkEnd w:id="32"/>
    </w:p>
    <w:p w14:paraId="4BF82BC0" w14:textId="77777777" w:rsidR="003F0DB8" w:rsidRDefault="00000000">
      <w:pPr>
        <w:pStyle w:val="Heading3"/>
        <w:ind w:left="-5"/>
      </w:pPr>
      <w:r>
        <w:t>Firewall</w:t>
      </w:r>
      <w:r>
        <w:rPr>
          <w:b w:val="0"/>
        </w:rPr>
        <w:t xml:space="preserve"> </w:t>
      </w:r>
    </w:p>
    <w:p w14:paraId="0AB3318E" w14:textId="77777777" w:rsidR="003F0DB8" w:rsidRDefault="00000000">
      <w:pPr>
        <w:numPr>
          <w:ilvl w:val="0"/>
          <w:numId w:val="47"/>
        </w:numPr>
        <w:spacing w:after="46"/>
        <w:ind w:right="5" w:hanging="284"/>
      </w:pPr>
      <w:r>
        <w:rPr>
          <w:b/>
        </w:rPr>
        <w:t>One firewall per region in the New CAF</w:t>
      </w:r>
      <w:r>
        <w:t xml:space="preserve">: legacy rules retired on a hard sunset; rule estate in code as part of a Firewall Policy resource. Consider segregating per environment </w:t>
      </w:r>
    </w:p>
    <w:p w14:paraId="1780CF08" w14:textId="77777777" w:rsidR="003F0DB8" w:rsidRDefault="00000000">
      <w:pPr>
        <w:numPr>
          <w:ilvl w:val="0"/>
          <w:numId w:val="47"/>
        </w:numPr>
        <w:ind w:right="5" w:hanging="284"/>
      </w:pPr>
      <w:r>
        <w:rPr>
          <w:b/>
        </w:rPr>
        <w:t>Audit the Firewall Ruleset</w:t>
      </w:r>
      <w:r>
        <w:t xml:space="preserve">: rationalise the ruleset before migration and assign an internal owner-of-record for all firewall rules going forward. Move to Azure Firewall Policy instead of existing Classic rules to improve flexibility. </w:t>
      </w:r>
    </w:p>
    <w:p w14:paraId="43933375" w14:textId="77777777" w:rsidR="003F0DB8" w:rsidRDefault="00000000">
      <w:pPr>
        <w:spacing w:after="124" w:line="259" w:lineRule="auto"/>
        <w:ind w:left="284" w:firstLine="0"/>
      </w:pPr>
      <w:r>
        <w:t xml:space="preserve"> </w:t>
      </w:r>
    </w:p>
    <w:p w14:paraId="0129E946" w14:textId="77777777" w:rsidR="003F0DB8" w:rsidRDefault="00000000">
      <w:pPr>
        <w:pStyle w:val="Heading3"/>
        <w:ind w:left="-5"/>
      </w:pPr>
      <w:r>
        <w:t>Network Topology</w:t>
      </w:r>
      <w:r>
        <w:rPr>
          <w:b w:val="0"/>
        </w:rPr>
        <w:t xml:space="preserve"> </w:t>
      </w:r>
    </w:p>
    <w:p w14:paraId="3FE6C6C5" w14:textId="77777777" w:rsidR="003F0DB8" w:rsidRDefault="00000000">
      <w:pPr>
        <w:numPr>
          <w:ilvl w:val="0"/>
          <w:numId w:val="48"/>
        </w:numPr>
        <w:spacing w:after="45"/>
        <w:ind w:right="5" w:hanging="284"/>
      </w:pPr>
      <w:r>
        <w:rPr>
          <w:b/>
        </w:rPr>
        <w:t>Deploy Hub-and-Spoke in Code</w:t>
      </w:r>
      <w:r>
        <w:t xml:space="preserve">: stand up the new-world hub-and-spoke topology as code and eliminate lateral spoke-to-spoke peering. Consider segregating fully per environment. </w:t>
      </w:r>
    </w:p>
    <w:p w14:paraId="13645115" w14:textId="77777777" w:rsidR="003F0DB8" w:rsidRDefault="00000000">
      <w:pPr>
        <w:numPr>
          <w:ilvl w:val="0"/>
          <w:numId w:val="48"/>
        </w:numPr>
        <w:ind w:right="5" w:hanging="284"/>
      </w:pPr>
      <w:r>
        <w:rPr>
          <w:b/>
        </w:rPr>
        <w:t>Reclaim Isolated VNets</w:t>
      </w:r>
      <w:r>
        <w:t xml:space="preserve">: decommission or repurpose isolated VNets and reclaim the unused IP address space. </w:t>
      </w:r>
    </w:p>
    <w:p w14:paraId="0A874595" w14:textId="77777777" w:rsidR="003F0DB8" w:rsidRDefault="00000000">
      <w:pPr>
        <w:spacing w:after="124" w:line="259" w:lineRule="auto"/>
        <w:ind w:left="1136" w:firstLine="0"/>
      </w:pPr>
      <w:r>
        <w:t xml:space="preserve"> </w:t>
      </w:r>
    </w:p>
    <w:p w14:paraId="02852C64" w14:textId="77777777" w:rsidR="003F0DB8" w:rsidRDefault="00000000">
      <w:pPr>
        <w:pStyle w:val="Heading3"/>
        <w:ind w:left="-5"/>
      </w:pPr>
      <w:r>
        <w:t>Region and DR</w:t>
      </w:r>
      <w:r>
        <w:rPr>
          <w:b w:val="0"/>
        </w:rPr>
        <w:t xml:space="preserve"> </w:t>
      </w:r>
    </w:p>
    <w:p w14:paraId="4A04A1D7" w14:textId="77777777" w:rsidR="003F0DB8" w:rsidRDefault="00000000">
      <w:pPr>
        <w:numPr>
          <w:ilvl w:val="0"/>
          <w:numId w:val="49"/>
        </w:numPr>
        <w:spacing w:after="45"/>
        <w:ind w:right="5" w:hanging="284"/>
      </w:pPr>
      <w:r>
        <w:rPr>
          <w:b/>
        </w:rPr>
        <w:t>Formalise UK South Capacity Management</w:t>
      </w:r>
      <w:r>
        <w:t xml:space="preserve">: establish a capacity-management process for UK South, including advance notice to Microsoft for planned scaling events. </w:t>
      </w:r>
    </w:p>
    <w:p w14:paraId="2EC180B6" w14:textId="77777777" w:rsidR="003F0DB8" w:rsidRDefault="00000000">
      <w:pPr>
        <w:numPr>
          <w:ilvl w:val="0"/>
          <w:numId w:val="49"/>
        </w:numPr>
        <w:spacing w:after="138"/>
        <w:ind w:right="5" w:hanging="284"/>
      </w:pPr>
      <w:r>
        <w:rPr>
          <w:b/>
        </w:rPr>
        <w:t>Validate a Secondary Region Strategy</w:t>
      </w:r>
      <w:r>
        <w:t xml:space="preserve">: define the minimum viable DR posture and test failover. Consider Azure Frontdoor if a multi-location environment is to become the norm. </w:t>
      </w:r>
    </w:p>
    <w:p w14:paraId="50739B29" w14:textId="77777777" w:rsidR="003F0DB8" w:rsidRDefault="00000000">
      <w:pPr>
        <w:pStyle w:val="Heading3"/>
        <w:ind w:left="-5"/>
      </w:pPr>
      <w:r>
        <w:t>WAF and APIM</w:t>
      </w:r>
      <w:r>
        <w:rPr>
          <w:b w:val="0"/>
        </w:rPr>
        <w:t xml:space="preserve"> </w:t>
      </w:r>
    </w:p>
    <w:p w14:paraId="7E1453F3" w14:textId="77777777" w:rsidR="003F0DB8" w:rsidRDefault="00000000">
      <w:pPr>
        <w:numPr>
          <w:ilvl w:val="0"/>
          <w:numId w:val="50"/>
        </w:numPr>
        <w:ind w:right="5" w:hanging="284"/>
      </w:pPr>
      <w:r>
        <w:rPr>
          <w:b/>
        </w:rPr>
        <w:t>Harden the WAF</w:t>
      </w:r>
      <w:r>
        <w:t xml:space="preserve">: add custom rules, geo-restrictions and rate limiting, as the default rule set alone is insufficient. </w:t>
      </w:r>
    </w:p>
    <w:p w14:paraId="6CE58C3B" w14:textId="77777777" w:rsidR="003F0DB8" w:rsidRDefault="00000000">
      <w:pPr>
        <w:numPr>
          <w:ilvl w:val="0"/>
          <w:numId w:val="50"/>
        </w:numPr>
        <w:ind w:right="5" w:hanging="284"/>
      </w:pPr>
      <w:r>
        <w:rPr>
          <w:b/>
        </w:rPr>
        <w:lastRenderedPageBreak/>
        <w:t>Right-Size and Secure APIM</w:t>
      </w:r>
      <w:r>
        <w:t xml:space="preserve">: right-size APIM SKUs per environment, remove hardcoded JWT values from APIM policies and externalise token management. </w:t>
      </w:r>
    </w:p>
    <w:p w14:paraId="3D41B67C" w14:textId="77777777" w:rsidR="003F0DB8" w:rsidRDefault="00000000">
      <w:pPr>
        <w:spacing w:after="0" w:line="259" w:lineRule="auto"/>
        <w:ind w:left="1136" w:firstLine="0"/>
      </w:pPr>
      <w:r>
        <w:t xml:space="preserve"> </w:t>
      </w:r>
    </w:p>
    <w:p w14:paraId="1D02810D" w14:textId="77777777" w:rsidR="003F0DB8" w:rsidRDefault="00000000">
      <w:pPr>
        <w:pStyle w:val="Heading3"/>
        <w:ind w:left="-5"/>
      </w:pPr>
      <w:r>
        <w:t>NSG and Segmentation</w:t>
      </w:r>
      <w:r>
        <w:rPr>
          <w:b w:val="0"/>
        </w:rPr>
        <w:t xml:space="preserve"> </w:t>
      </w:r>
    </w:p>
    <w:p w14:paraId="041D8693" w14:textId="77777777" w:rsidR="003F0DB8" w:rsidRDefault="00000000">
      <w:pPr>
        <w:numPr>
          <w:ilvl w:val="0"/>
          <w:numId w:val="51"/>
        </w:numPr>
        <w:spacing w:after="46"/>
        <w:ind w:right="5" w:hanging="284"/>
      </w:pPr>
      <w:r>
        <w:rPr>
          <w:b/>
        </w:rPr>
        <w:t>Enforce NSG Coverage</w:t>
      </w:r>
      <w:r>
        <w:t xml:space="preserve">: mandate NSGs on all subnets via Azure Policy, prioritising the hub VNet and production spokes. Enforce minimal ruleset with Deny All rules to ensure only the necessary traffic is allowed. </w:t>
      </w:r>
    </w:p>
    <w:p w14:paraId="7BC06760" w14:textId="77777777" w:rsidR="003F0DB8" w:rsidRDefault="00000000">
      <w:pPr>
        <w:numPr>
          <w:ilvl w:val="0"/>
          <w:numId w:val="51"/>
        </w:numPr>
        <w:ind w:right="5" w:hanging="284"/>
      </w:pPr>
      <w:r>
        <w:rPr>
          <w:b/>
        </w:rPr>
        <w:t>Design Segmentation to Zero Trust</w:t>
      </w:r>
      <w:r>
        <w:t xml:space="preserve">: move from reactive segmentation to a designed, policy-driven model aligned to Zero Trust principles. </w:t>
      </w:r>
    </w:p>
    <w:p w14:paraId="1F4AD400" w14:textId="77777777" w:rsidR="003F0DB8" w:rsidRDefault="00000000">
      <w:pPr>
        <w:numPr>
          <w:ilvl w:val="0"/>
          <w:numId w:val="51"/>
        </w:numPr>
        <w:ind w:right="5" w:hanging="284"/>
      </w:pPr>
      <w:r>
        <w:rPr>
          <w:b/>
        </w:rPr>
        <w:t>Lock Down Exposed Management Ports:</w:t>
      </w:r>
      <w:r>
        <w:t xml:space="preserve"> remove the internet-facing RDP and SSH allow rules, six on 3389 and one on 22, and require Azure Bastion with Just-in-Time (JIT) access for all administrative connections to virtual machines. </w:t>
      </w:r>
    </w:p>
    <w:p w14:paraId="14B3BCE0" w14:textId="77777777" w:rsidR="003F0DB8" w:rsidRDefault="00000000">
      <w:pPr>
        <w:spacing w:after="123" w:line="259" w:lineRule="auto"/>
        <w:ind w:left="1136" w:firstLine="0"/>
      </w:pPr>
      <w:r>
        <w:t xml:space="preserve"> </w:t>
      </w:r>
    </w:p>
    <w:p w14:paraId="4E618BAE" w14:textId="77777777" w:rsidR="003F0DB8" w:rsidRDefault="00000000">
      <w:pPr>
        <w:pStyle w:val="Heading3"/>
        <w:ind w:left="-5"/>
      </w:pPr>
      <w:r>
        <w:t>Private Endpoints and DNS</w:t>
      </w:r>
      <w:r>
        <w:rPr>
          <w:b w:val="0"/>
        </w:rPr>
        <w:t xml:space="preserve"> </w:t>
      </w:r>
    </w:p>
    <w:p w14:paraId="0F3875CB" w14:textId="77777777" w:rsidR="003F0DB8" w:rsidRDefault="00000000">
      <w:pPr>
        <w:numPr>
          <w:ilvl w:val="0"/>
          <w:numId w:val="52"/>
        </w:numPr>
        <w:spacing w:after="45"/>
        <w:ind w:right="5" w:hanging="284"/>
      </w:pPr>
      <w:r>
        <w:rPr>
          <w:b/>
        </w:rPr>
        <w:t>Consolidate Private DNS and Endpoints</w:t>
      </w:r>
      <w:r>
        <w:t xml:space="preserve">: consolidate duplicated private DNS zones and remediate failed or disconnected Private Endpoints. Consider using App Service Environment as an alternative to Private Endpoints to reduce resource volume. </w:t>
      </w:r>
    </w:p>
    <w:p w14:paraId="040BAF96" w14:textId="77777777" w:rsidR="003F0DB8" w:rsidRDefault="00000000">
      <w:pPr>
        <w:numPr>
          <w:ilvl w:val="0"/>
          <w:numId w:val="52"/>
        </w:numPr>
        <w:ind w:right="5" w:hanging="284"/>
      </w:pPr>
      <w:r>
        <w:rPr>
          <w:b/>
        </w:rPr>
        <w:t>Centralise DNS under Azure DNS</w:t>
      </w:r>
      <w:r>
        <w:t xml:space="preserve">: make Azure DNS the single authoritative source for name resolution or move to a Private DNS Zone when linking into isolated Vnets. </w:t>
      </w:r>
    </w:p>
    <w:p w14:paraId="4F5BC1DE" w14:textId="77777777" w:rsidR="003F0DB8" w:rsidRDefault="00000000">
      <w:pPr>
        <w:spacing w:after="124" w:line="259" w:lineRule="auto"/>
        <w:ind w:left="1132" w:firstLine="0"/>
      </w:pPr>
      <w:r>
        <w:t xml:space="preserve"> </w:t>
      </w:r>
    </w:p>
    <w:p w14:paraId="0E293A38" w14:textId="77777777" w:rsidR="003F0DB8" w:rsidRDefault="00000000">
      <w:pPr>
        <w:spacing w:after="130" w:line="259" w:lineRule="auto"/>
        <w:ind w:left="-5" w:hanging="10"/>
      </w:pPr>
      <w:r>
        <w:rPr>
          <w:b/>
          <w:sz w:val="24"/>
        </w:rPr>
        <w:t>Hybrid Connectivity</w:t>
      </w:r>
      <w:r>
        <w:rPr>
          <w:sz w:val="24"/>
        </w:rPr>
        <w:t xml:space="preserve"> </w:t>
      </w:r>
    </w:p>
    <w:p w14:paraId="5EAB1E47" w14:textId="77777777" w:rsidR="003F0DB8" w:rsidRDefault="00000000">
      <w:pPr>
        <w:numPr>
          <w:ilvl w:val="0"/>
          <w:numId w:val="52"/>
        </w:numPr>
        <w:ind w:right="5" w:hanging="284"/>
      </w:pPr>
      <w:r>
        <w:rPr>
          <w:b/>
        </w:rPr>
        <w:t>Complete ExpressRoute Decommissioning</w:t>
      </w:r>
      <w:r>
        <w:t xml:space="preserve">: finish ExpressRoute decommissioning on schedule and confirm the AVS exit timeline. </w:t>
      </w:r>
    </w:p>
    <w:p w14:paraId="65B582E0" w14:textId="77777777" w:rsidR="003F0DB8" w:rsidRDefault="00000000">
      <w:pPr>
        <w:spacing w:after="0" w:line="259" w:lineRule="auto"/>
        <w:ind w:left="852" w:firstLine="0"/>
      </w:pPr>
      <w:r>
        <w:t xml:space="preserve"> </w:t>
      </w:r>
    </w:p>
    <w:p w14:paraId="7F6AB997" w14:textId="77777777" w:rsidR="003F0DB8" w:rsidRDefault="00000000">
      <w:pPr>
        <w:spacing w:after="0" w:line="259" w:lineRule="auto"/>
        <w:ind w:left="1136" w:firstLine="0"/>
      </w:pPr>
      <w:r>
        <w:rPr>
          <w:b/>
        </w:rPr>
        <w:t xml:space="preserve"> </w:t>
      </w:r>
      <w:r>
        <w:rPr>
          <w:b/>
        </w:rPr>
        <w:tab/>
      </w:r>
      <w:r>
        <w:t xml:space="preserve"> </w:t>
      </w:r>
    </w:p>
    <w:p w14:paraId="3C5EDD7A" w14:textId="77777777" w:rsidR="003F0DB8" w:rsidRDefault="00000000">
      <w:pPr>
        <w:pStyle w:val="Heading1"/>
        <w:spacing w:after="86"/>
        <w:ind w:left="-5"/>
      </w:pPr>
      <w:bookmarkStart w:id="33" w:name="_Toc96815"/>
      <w:r>
        <w:rPr>
          <w:sz w:val="32"/>
        </w:rPr>
        <w:t xml:space="preserve">External Exposure </w:t>
      </w:r>
      <w:bookmarkEnd w:id="33"/>
    </w:p>
    <w:p w14:paraId="1E636278" w14:textId="77777777" w:rsidR="003F0DB8" w:rsidRDefault="00000000">
      <w:pPr>
        <w:pStyle w:val="Heading1"/>
        <w:ind w:left="-5"/>
      </w:pPr>
      <w:bookmarkStart w:id="34" w:name="_Toc96816"/>
      <w:r>
        <w:t xml:space="preserve">Current State Overview </w:t>
      </w:r>
      <w:bookmarkEnd w:id="34"/>
    </w:p>
    <w:p w14:paraId="65C56491" w14:textId="77777777" w:rsidR="003F0DB8" w:rsidRDefault="00000000">
      <w:pPr>
        <w:spacing w:after="214" w:line="269" w:lineRule="auto"/>
        <w:ind w:left="10" w:right="3" w:hanging="10"/>
      </w:pPr>
      <w:r>
        <w:rPr>
          <w:sz w:val="24"/>
        </w:rPr>
        <w:t xml:space="preserve">CQC's internet-facing surface is broad but lightly defended at the perimeter. The estate exposes a sizeable set of Public IP addresses, several Azure Firewalls and a number of Application Gateways, yet the controls that protect those entry points against volumetric attack and inspect traffic for threats are either absent or set to their lowest tier. No public address sits behind a managed DDoS plan, every firewall runs on the Standard tier with no advanced inspection, and a small number of legacy address </w:t>
      </w:r>
      <w:r>
        <w:rPr>
          <w:sz w:val="24"/>
        </w:rPr>
        <w:lastRenderedPageBreak/>
        <w:t xml:space="preserve">objects remain on a retiring SKU. The Web Application Firewall posture is addressed in the Networking and Security chapter; this chapter covers the exposure that sits in front of it. For a public-facing regulator, the perimeter is the part of the estate most visible to an external actor and currently the least protected. </w:t>
      </w:r>
    </w:p>
    <w:p w14:paraId="60AFF9BF" w14:textId="77777777" w:rsidR="003F0DB8" w:rsidRDefault="00000000">
      <w:pPr>
        <w:pStyle w:val="Heading1"/>
        <w:ind w:left="-5"/>
      </w:pPr>
      <w:bookmarkStart w:id="35" w:name="_Toc96817"/>
      <w:r>
        <w:t xml:space="preserve">No Managed DDoS Protection </w:t>
      </w:r>
      <w:bookmarkEnd w:id="35"/>
    </w:p>
    <w:p w14:paraId="5A0D03E1" w14:textId="77777777" w:rsidR="003F0DB8" w:rsidRDefault="00000000">
      <w:pPr>
        <w:numPr>
          <w:ilvl w:val="0"/>
          <w:numId w:val="53"/>
        </w:numPr>
        <w:spacing w:after="46"/>
        <w:ind w:right="5" w:hanging="284"/>
      </w:pPr>
      <w:r>
        <w:t xml:space="preserve">No Public IP address in the estate is protected by a managed DDoS Standard plan. Protection relies entirely on the platform-level basic tier that Azure applies to every tenant. </w:t>
      </w:r>
    </w:p>
    <w:p w14:paraId="405AB35E" w14:textId="77777777" w:rsidR="003F0DB8" w:rsidRDefault="00000000">
      <w:pPr>
        <w:numPr>
          <w:ilvl w:val="0"/>
          <w:numId w:val="53"/>
        </w:numPr>
        <w:spacing w:after="45"/>
        <w:ind w:right="5" w:hanging="284"/>
      </w:pPr>
      <w:r>
        <w:t xml:space="preserve">The basic tier provides no per-resource alerting, no attack telemetry and no post-incident reporting. A volumetric or protocol-level attack against a CQC service could not be detected, scoped or evidenced. </w:t>
      </w:r>
    </w:p>
    <w:p w14:paraId="729FF4D0" w14:textId="77777777" w:rsidR="003F0DB8" w:rsidRDefault="00000000">
      <w:pPr>
        <w:numPr>
          <w:ilvl w:val="0"/>
          <w:numId w:val="53"/>
        </w:numPr>
        <w:spacing w:after="241"/>
        <w:ind w:right="5" w:hanging="284"/>
      </w:pPr>
      <w:r>
        <w:t xml:space="preserve">The internet-facing Application Gateways that terminate TLS for CQC services carry no dedicated protection, leaving the most exposed entry points without managed mitigation. </w:t>
      </w:r>
    </w:p>
    <w:p w14:paraId="7D7FBD54" w14:textId="77777777" w:rsidR="003F0DB8" w:rsidRDefault="00000000">
      <w:pPr>
        <w:pStyle w:val="Heading1"/>
        <w:ind w:left="-5"/>
      </w:pPr>
      <w:bookmarkStart w:id="36" w:name="_Toc96818"/>
      <w:r>
        <w:t xml:space="preserve">Public IP SKU Posture </w:t>
      </w:r>
      <w:bookmarkEnd w:id="36"/>
    </w:p>
    <w:p w14:paraId="288F43C4" w14:textId="77777777" w:rsidR="003F0DB8" w:rsidRDefault="00000000">
      <w:pPr>
        <w:numPr>
          <w:ilvl w:val="0"/>
          <w:numId w:val="54"/>
        </w:numPr>
        <w:ind w:right="5" w:hanging="284"/>
      </w:pPr>
      <w:r>
        <w:t xml:space="preserve">Almost all Public IP addresses are on the modern Standard SKU, which is the correct posture for zone redundancy and resilient networking. </w:t>
      </w:r>
    </w:p>
    <w:p w14:paraId="1B27809C" w14:textId="77777777" w:rsidR="003F0DB8" w:rsidRDefault="00000000">
      <w:pPr>
        <w:numPr>
          <w:ilvl w:val="0"/>
          <w:numId w:val="54"/>
        </w:numPr>
        <w:ind w:right="5" w:hanging="284"/>
      </w:pPr>
      <w:r>
        <w:t xml:space="preserve">A small number remain on the legacy Basic SKU, which Microsoft has scheduled for retirement. These require migration to Standard before the deadline. </w:t>
      </w:r>
    </w:p>
    <w:p w14:paraId="557DA24F" w14:textId="77777777" w:rsidR="003F0DB8" w:rsidRDefault="00000000">
      <w:pPr>
        <w:numPr>
          <w:ilvl w:val="0"/>
          <w:numId w:val="54"/>
        </w:numPr>
        <w:ind w:right="5" w:hanging="284"/>
      </w:pPr>
      <w:r>
        <w:t xml:space="preserve">At least one address is unassociated with any resource, accruing cost with no operational benefit, and should be released. </w:t>
      </w:r>
    </w:p>
    <w:p w14:paraId="4FC88F09" w14:textId="77777777" w:rsidR="003F0DB8" w:rsidRDefault="00000000">
      <w:pPr>
        <w:numPr>
          <w:ilvl w:val="0"/>
          <w:numId w:val="54"/>
        </w:numPr>
        <w:spacing w:after="182"/>
        <w:ind w:right="5" w:hanging="284"/>
      </w:pPr>
      <w:r>
        <w:t xml:space="preserve">Six Public IPs are attached directly to virtual machine network interfaces, exposing those machines to the internet with no Layer 7 inspection. </w:t>
      </w:r>
    </w:p>
    <w:p w14:paraId="5C241A0B" w14:textId="77777777" w:rsidR="003F0DB8" w:rsidRDefault="00000000">
      <w:pPr>
        <w:pStyle w:val="Heading1"/>
        <w:ind w:left="-5"/>
      </w:pPr>
      <w:bookmarkStart w:id="37" w:name="_Toc96819"/>
      <w:r>
        <w:t xml:space="preserve">Firewall Tier and Inspection Gap </w:t>
      </w:r>
      <w:bookmarkEnd w:id="37"/>
    </w:p>
    <w:p w14:paraId="700806AA" w14:textId="77777777" w:rsidR="003F0DB8" w:rsidRDefault="00000000">
      <w:pPr>
        <w:numPr>
          <w:ilvl w:val="0"/>
          <w:numId w:val="55"/>
        </w:numPr>
        <w:ind w:right="5" w:hanging="284"/>
      </w:pPr>
      <w:r>
        <w:t xml:space="preserve">The entire Azure Firewall estate runs on the Standard tier, with no instance on Premium. </w:t>
      </w:r>
    </w:p>
    <w:p w14:paraId="7EF48C75" w14:textId="77777777" w:rsidR="003F0DB8" w:rsidRDefault="00000000">
      <w:pPr>
        <w:numPr>
          <w:ilvl w:val="0"/>
          <w:numId w:val="55"/>
        </w:numPr>
        <w:ind w:right="5" w:hanging="284"/>
      </w:pPr>
      <w:r>
        <w:t xml:space="preserve">Standard tier provides no Intrusion Detection and Prevention (IDPS) and no TLS inspection, so internet-bound egress and encrypted traffic leave the estate uninspected. </w:t>
      </w:r>
    </w:p>
    <w:p w14:paraId="06BD6981" w14:textId="77777777" w:rsidR="003F0DB8" w:rsidRDefault="00000000">
      <w:pPr>
        <w:numPr>
          <w:ilvl w:val="0"/>
          <w:numId w:val="55"/>
        </w:numPr>
        <w:ind w:right="5" w:hanging="284"/>
      </w:pPr>
      <w:r>
        <w:t xml:space="preserve">Firewalls are configured through inline rules, rather than Azure Firewall Policy which allows greater flexibility and simplifies rule reuse. </w:t>
      </w:r>
    </w:p>
    <w:p w14:paraId="2B853D3A" w14:textId="77777777" w:rsidR="003F0DB8" w:rsidRDefault="00000000">
      <w:pPr>
        <w:numPr>
          <w:ilvl w:val="0"/>
          <w:numId w:val="55"/>
        </w:numPr>
        <w:spacing w:after="241"/>
        <w:ind w:right="5" w:hanging="284"/>
      </w:pPr>
      <w:r>
        <w:t xml:space="preserve">The review rates the firewall posture as "Fair", held back by the missing advanced security capabilities. The hub firewall on the egress path is the priority candidate for a Premium upgrade with zone redundancy. </w:t>
      </w:r>
    </w:p>
    <w:p w14:paraId="318A98DD" w14:textId="77777777" w:rsidR="003F0DB8" w:rsidRDefault="00000000">
      <w:pPr>
        <w:pStyle w:val="Heading1"/>
        <w:ind w:left="-5"/>
      </w:pPr>
      <w:bookmarkStart w:id="38" w:name="_Toc96820"/>
      <w:r>
        <w:lastRenderedPageBreak/>
        <w:t xml:space="preserve">Recommendations </w:t>
      </w:r>
      <w:bookmarkEnd w:id="38"/>
    </w:p>
    <w:p w14:paraId="2D171201" w14:textId="77777777" w:rsidR="003F0DB8" w:rsidRDefault="00000000">
      <w:pPr>
        <w:numPr>
          <w:ilvl w:val="0"/>
          <w:numId w:val="56"/>
        </w:numPr>
        <w:spacing w:after="46"/>
        <w:ind w:right="5" w:hanging="284"/>
      </w:pPr>
      <w:r>
        <w:rPr>
          <w:b/>
        </w:rPr>
        <w:t>Enable DDoS Network Protection:</w:t>
      </w:r>
      <w:r>
        <w:t xml:space="preserve"> apply an Azure DDoS Network Protection plan to the virtual networks hosting internet-facing services, prioritising those fronting CQC's public Application Gateways and Public IPs. Configure per-resource alerting and attack telemetry so volumetric and protocol attacks can be detected, scoped and evidenced for assurance reporting. </w:t>
      </w:r>
    </w:p>
    <w:p w14:paraId="691A8149" w14:textId="77777777" w:rsidR="003F0DB8" w:rsidRDefault="00000000">
      <w:pPr>
        <w:numPr>
          <w:ilvl w:val="0"/>
          <w:numId w:val="56"/>
        </w:numPr>
        <w:spacing w:after="46"/>
        <w:ind w:right="5" w:hanging="284"/>
      </w:pPr>
      <w:r>
        <w:rPr>
          <w:b/>
        </w:rPr>
        <w:t>Rationalise the Public IP Estate:</w:t>
      </w:r>
      <w:r>
        <w:t xml:space="preserve"> migrate the remaining Basic SKU addresses to Standard ahead of Microsoft's retirement deadline, release any unassociated addresses to remove idle cost, and enforce Standard SKU on new Public IPs through Azure Policy. </w:t>
      </w:r>
    </w:p>
    <w:p w14:paraId="38DEADF4" w14:textId="77777777" w:rsidR="003F0DB8" w:rsidRDefault="00000000">
      <w:pPr>
        <w:numPr>
          <w:ilvl w:val="0"/>
          <w:numId w:val="56"/>
        </w:numPr>
        <w:spacing w:after="46"/>
        <w:ind w:right="5" w:hanging="284"/>
      </w:pPr>
      <w:r>
        <w:rPr>
          <w:b/>
        </w:rPr>
        <w:t>Upgrade the Hub Firewall to Premium:</w:t>
      </w:r>
      <w:r>
        <w:t xml:space="preserve"> move the egress-path hub firewall to Premium tier to enable IDPS and TLS inspection, adopting zone redundancy at the same time. Evaluate the remaining Standard-tier instances against measured egress traffic before committing to further Premium upgrades, so cost is not added where it is not justified. Move to modern Firewall Policy rules to allow greater flexibility. </w:t>
      </w:r>
    </w:p>
    <w:p w14:paraId="51C43AB6" w14:textId="77777777" w:rsidR="003F0DB8" w:rsidRDefault="00000000">
      <w:pPr>
        <w:numPr>
          <w:ilvl w:val="0"/>
          <w:numId w:val="56"/>
        </w:numPr>
        <w:ind w:right="5" w:hanging="284"/>
      </w:pPr>
      <w:r>
        <w:rPr>
          <w:b/>
        </w:rPr>
        <w:t>Remove Direct VM Public IP Exposure:</w:t>
      </w:r>
      <w:r>
        <w:t xml:space="preserve"> remove the public IPs attached directly to virtual machine network interfaces and route inbound traffic through the Application Gateway and firewall, so all internet-facing access passes through Layer 7 inspection. </w:t>
      </w:r>
    </w:p>
    <w:p w14:paraId="700D467C" w14:textId="77777777" w:rsidR="003F0DB8" w:rsidRDefault="00000000">
      <w:pPr>
        <w:spacing w:after="132" w:line="259" w:lineRule="auto"/>
        <w:ind w:left="852" w:firstLine="0"/>
      </w:pPr>
      <w:r>
        <w:t xml:space="preserve"> </w:t>
      </w:r>
    </w:p>
    <w:p w14:paraId="4855F23E" w14:textId="77777777" w:rsidR="003F0DB8" w:rsidRDefault="00000000">
      <w:pPr>
        <w:spacing w:after="0" w:line="259" w:lineRule="auto"/>
        <w:ind w:left="0" w:firstLine="0"/>
      </w:pPr>
      <w:r>
        <w:rPr>
          <w:sz w:val="24"/>
        </w:rPr>
        <w:t xml:space="preserve"> </w:t>
      </w:r>
      <w:r>
        <w:rPr>
          <w:sz w:val="24"/>
        </w:rPr>
        <w:tab/>
      </w:r>
      <w:r>
        <w:rPr>
          <w:b/>
          <w:sz w:val="32"/>
        </w:rPr>
        <w:t xml:space="preserve"> </w:t>
      </w:r>
      <w:r>
        <w:br w:type="page"/>
      </w:r>
    </w:p>
    <w:p w14:paraId="243AFD48" w14:textId="77777777" w:rsidR="003F0DB8" w:rsidRDefault="00000000">
      <w:pPr>
        <w:pStyle w:val="Heading1"/>
        <w:spacing w:after="86"/>
        <w:ind w:left="-5"/>
      </w:pPr>
      <w:bookmarkStart w:id="39" w:name="_Toc96821"/>
      <w:r>
        <w:rPr>
          <w:sz w:val="32"/>
        </w:rPr>
        <w:lastRenderedPageBreak/>
        <w:t xml:space="preserve">Secret &amp; Key Management </w:t>
      </w:r>
      <w:bookmarkEnd w:id="39"/>
    </w:p>
    <w:p w14:paraId="061374F2" w14:textId="77777777" w:rsidR="003F0DB8" w:rsidRDefault="00000000">
      <w:pPr>
        <w:pStyle w:val="Heading1"/>
        <w:ind w:left="-5"/>
      </w:pPr>
      <w:bookmarkStart w:id="40" w:name="_Toc96822"/>
      <w:r>
        <w:t xml:space="preserve">Current State Overview </w:t>
      </w:r>
      <w:bookmarkEnd w:id="40"/>
    </w:p>
    <w:p w14:paraId="337A2DD3" w14:textId="77777777" w:rsidR="003F0DB8" w:rsidRDefault="00000000">
      <w:pPr>
        <w:spacing w:after="210" w:line="269" w:lineRule="auto"/>
        <w:ind w:left="10" w:right="3" w:hanging="10"/>
      </w:pPr>
      <w:r>
        <w:rPr>
          <w:sz w:val="24"/>
        </w:rPr>
        <w:t xml:space="preserve">CQC operates a large Key Vault estate concentrated in the legacy VDC subscriptions and pre-platform workloads. The estate is recoverable but exposed. Soft Delete is enabled everywhere, yet the majority of vaults are reachable over the public internet, still use the legacy authorisation model, and lack the controls that would make a leaked secret recoverable and auditable. Secret management currently behaves as "internet-reachable by default", with network restriction and RBAC applied inconsistently across the estate. The new-world platform vaults are configured correctly, so the target pattern already exists; the work is to extend it across the legacy footprint. </w:t>
      </w:r>
    </w:p>
    <w:p w14:paraId="713CBD2F" w14:textId="77777777" w:rsidR="003F0DB8" w:rsidRDefault="00000000">
      <w:pPr>
        <w:pStyle w:val="Heading1"/>
        <w:ind w:left="-5"/>
      </w:pPr>
      <w:bookmarkStart w:id="41" w:name="_Toc96823"/>
      <w:r>
        <w:t xml:space="preserve">Public Network Access by Default </w:t>
      </w:r>
      <w:bookmarkEnd w:id="41"/>
    </w:p>
    <w:p w14:paraId="4232A37E" w14:textId="77777777" w:rsidR="003F0DB8" w:rsidRDefault="00000000">
      <w:pPr>
        <w:numPr>
          <w:ilvl w:val="0"/>
          <w:numId w:val="57"/>
        </w:numPr>
        <w:ind w:right="5" w:hanging="284"/>
      </w:pPr>
      <w:r>
        <w:t xml:space="preserve">The majority of Key Vaults allow public network access, and only some sit behind Private Endpoints. </w:t>
      </w:r>
    </w:p>
    <w:p w14:paraId="2BB6F683" w14:textId="77777777" w:rsidR="003F0DB8" w:rsidRDefault="00000000">
      <w:pPr>
        <w:numPr>
          <w:ilvl w:val="0"/>
          <w:numId w:val="57"/>
        </w:numPr>
        <w:ind w:right="5" w:hanging="284"/>
      </w:pPr>
      <w:r>
        <w:t xml:space="preserve">Even where RBAC and firewall rules limit who can authenticate, the attack surface is large because the vaults are reachable from the internet by default. </w:t>
      </w:r>
    </w:p>
    <w:p w14:paraId="251BBBFC" w14:textId="77777777" w:rsidR="003F0DB8" w:rsidRDefault="00000000">
      <w:pPr>
        <w:numPr>
          <w:ilvl w:val="0"/>
          <w:numId w:val="57"/>
        </w:numPr>
        <w:spacing w:after="240"/>
        <w:ind w:right="5" w:hanging="284"/>
      </w:pPr>
      <w:r>
        <w:t xml:space="preserve">Vaults holding production and pre-production secrets carry the same exposure as development vaults, with no consistent network boundary separating them. </w:t>
      </w:r>
    </w:p>
    <w:p w14:paraId="34077575" w14:textId="77777777" w:rsidR="003F0DB8" w:rsidRDefault="00000000">
      <w:pPr>
        <w:pStyle w:val="Heading1"/>
        <w:ind w:left="-5"/>
      </w:pPr>
      <w:bookmarkStart w:id="42" w:name="_Toc96824"/>
      <w:r>
        <w:t xml:space="preserve">Legacy Authorisation Model </w:t>
      </w:r>
      <w:bookmarkEnd w:id="42"/>
    </w:p>
    <w:p w14:paraId="1D31EB36" w14:textId="77777777" w:rsidR="003F0DB8" w:rsidRDefault="00000000">
      <w:pPr>
        <w:numPr>
          <w:ilvl w:val="0"/>
          <w:numId w:val="58"/>
        </w:numPr>
        <w:ind w:right="5" w:hanging="284"/>
      </w:pPr>
      <w:r>
        <w:t xml:space="preserve">Many vaults still use the legacy Access Policy model rather than RBAC. </w:t>
      </w:r>
    </w:p>
    <w:p w14:paraId="1F194B10" w14:textId="77777777" w:rsidR="003F0DB8" w:rsidRDefault="00000000">
      <w:pPr>
        <w:numPr>
          <w:ilvl w:val="0"/>
          <w:numId w:val="58"/>
        </w:numPr>
        <w:spacing w:after="45"/>
        <w:ind w:right="5" w:hanging="284"/>
      </w:pPr>
      <w:r>
        <w:t xml:space="preserve">Access Policies sit outside the tenant's central identity governance. They cannot enforce Conditional Access, integrate with Privileged Identity Management, or provide the centralised auditing that RBAC offers. </w:t>
      </w:r>
    </w:p>
    <w:p w14:paraId="2861737D" w14:textId="77777777" w:rsidR="003F0DB8" w:rsidRDefault="00000000">
      <w:pPr>
        <w:numPr>
          <w:ilvl w:val="0"/>
          <w:numId w:val="58"/>
        </w:numPr>
        <w:spacing w:after="242"/>
        <w:ind w:right="5" w:hanging="284"/>
      </w:pPr>
      <w:r>
        <w:t xml:space="preserve">Where RBAC is in use, scope is frequently set at subscription or management-group level rather than the individual vault, which over-grants access beyond the vault that needs it. </w:t>
      </w:r>
    </w:p>
    <w:p w14:paraId="3D98519C" w14:textId="77777777" w:rsidR="003F0DB8" w:rsidRDefault="00000000">
      <w:pPr>
        <w:pStyle w:val="Heading1"/>
        <w:ind w:left="-5"/>
      </w:pPr>
      <w:bookmarkStart w:id="43" w:name="_Toc96825"/>
      <w:r>
        <w:t xml:space="preserve">Resilience and Forensic Controls </w:t>
      </w:r>
      <w:bookmarkEnd w:id="43"/>
    </w:p>
    <w:p w14:paraId="177FA74A" w14:textId="77777777" w:rsidR="003F0DB8" w:rsidRDefault="00000000">
      <w:pPr>
        <w:numPr>
          <w:ilvl w:val="0"/>
          <w:numId w:val="59"/>
        </w:numPr>
        <w:spacing w:after="45"/>
        <w:ind w:right="5" w:hanging="284"/>
      </w:pPr>
      <w:r>
        <w:t xml:space="preserve">Soft Delete is enabled on every vault in the estate. This is the one control that is consistent across the estate and gives a recoverable position even where other settings are weak. </w:t>
      </w:r>
    </w:p>
    <w:p w14:paraId="17417EA7" w14:textId="77777777" w:rsidR="003F0DB8" w:rsidRDefault="00000000">
      <w:pPr>
        <w:numPr>
          <w:ilvl w:val="0"/>
          <w:numId w:val="59"/>
        </w:numPr>
        <w:spacing w:after="47"/>
        <w:ind w:right="5" w:hanging="284"/>
      </w:pPr>
      <w:r>
        <w:t xml:space="preserve">Over half of the vaults do not have Purge Protection enabled. Without it, a soft-deleted secret can be permanently purged before the recovery window expires, which undermines Soft Delete and creates a credible insider or compromised-identity attack vector. </w:t>
      </w:r>
    </w:p>
    <w:p w14:paraId="46A48C0F" w14:textId="77777777" w:rsidR="003F0DB8" w:rsidRDefault="00000000">
      <w:pPr>
        <w:numPr>
          <w:ilvl w:val="0"/>
          <w:numId w:val="59"/>
        </w:numPr>
        <w:ind w:right="5" w:hanging="284"/>
      </w:pPr>
      <w:r>
        <w:lastRenderedPageBreak/>
        <w:t xml:space="preserve">Diagnostic logging is not consistently configured, so there is limited forensic capability if a secret is leaked or misused. </w:t>
      </w:r>
    </w:p>
    <w:p w14:paraId="319DE88D" w14:textId="77777777" w:rsidR="003F0DB8" w:rsidRDefault="00000000">
      <w:pPr>
        <w:pStyle w:val="Heading1"/>
        <w:ind w:left="-5"/>
      </w:pPr>
      <w:bookmarkStart w:id="44" w:name="_Toc96826"/>
      <w:r>
        <w:t xml:space="preserve">Cross-Environment Vault Linkage </w:t>
      </w:r>
      <w:bookmarkEnd w:id="44"/>
    </w:p>
    <w:p w14:paraId="11EF3F8B" w14:textId="77777777" w:rsidR="003F0DB8" w:rsidRDefault="00000000">
      <w:pPr>
        <w:numPr>
          <w:ilvl w:val="0"/>
          <w:numId w:val="60"/>
        </w:numPr>
        <w:ind w:right="5" w:hanging="284"/>
      </w:pPr>
      <w:r>
        <w:t xml:space="preserve">A Production Key Vault was observed with virtual-network links to both development and production environments. </w:t>
      </w:r>
    </w:p>
    <w:p w14:paraId="22657491" w14:textId="77777777" w:rsidR="003F0DB8" w:rsidRDefault="00000000">
      <w:pPr>
        <w:numPr>
          <w:ilvl w:val="0"/>
          <w:numId w:val="60"/>
        </w:numPr>
        <w:spacing w:after="241"/>
        <w:ind w:right="5" w:hanging="284"/>
      </w:pPr>
      <w:r>
        <w:t xml:space="preserve">A shared SSL certificate vault can be a legitimate pattern, but the cross-environment link breaks the environment boundary that policy is otherwise trying to enforce. </w:t>
      </w:r>
    </w:p>
    <w:p w14:paraId="29359394" w14:textId="77777777" w:rsidR="003F0DB8" w:rsidRDefault="00000000">
      <w:pPr>
        <w:pStyle w:val="Heading1"/>
        <w:ind w:left="-5"/>
      </w:pPr>
      <w:bookmarkStart w:id="45" w:name="_Toc96827"/>
      <w:r>
        <w:t xml:space="preserve">Recommendations </w:t>
      </w:r>
      <w:bookmarkEnd w:id="45"/>
    </w:p>
    <w:p w14:paraId="076B5163" w14:textId="77777777" w:rsidR="003F0DB8" w:rsidRDefault="00000000">
      <w:pPr>
        <w:numPr>
          <w:ilvl w:val="0"/>
          <w:numId w:val="61"/>
        </w:numPr>
        <w:spacing w:after="46"/>
        <w:ind w:right="5" w:hanging="284"/>
      </w:pPr>
      <w:r>
        <w:rPr>
          <w:b/>
        </w:rPr>
        <w:t>Disable Public Network Access:</w:t>
      </w:r>
      <w:r>
        <w:t xml:space="preserve"> Set public network access to disabled on all production and pre-production vaults, and front them with either Private Endpoints or isolated Vnets. Enforce the control through Azure Policy so new vaults are created closed by default. </w:t>
      </w:r>
    </w:p>
    <w:p w14:paraId="3B1DF46B" w14:textId="77777777" w:rsidR="003F0DB8" w:rsidRDefault="00000000">
      <w:pPr>
        <w:numPr>
          <w:ilvl w:val="0"/>
          <w:numId w:val="61"/>
        </w:numPr>
        <w:spacing w:after="46"/>
        <w:ind w:right="5" w:hanging="284"/>
      </w:pPr>
      <w:r>
        <w:rPr>
          <w:b/>
        </w:rPr>
        <w:t>Migrate to RBAC Authorisation:</w:t>
      </w:r>
      <w:r>
        <w:t xml:space="preserve"> Move the vaults on legacy Access Policies to RBAC, scoped at the individual vault rather than the subscription or management group. This brings vault access under Conditional Access and PIM. </w:t>
      </w:r>
    </w:p>
    <w:p w14:paraId="07368238" w14:textId="77777777" w:rsidR="003F0DB8" w:rsidRDefault="00000000">
      <w:pPr>
        <w:numPr>
          <w:ilvl w:val="0"/>
          <w:numId w:val="61"/>
        </w:numPr>
        <w:spacing w:after="45"/>
        <w:ind w:right="5" w:hanging="284"/>
      </w:pPr>
      <w:r>
        <w:rPr>
          <w:b/>
        </w:rPr>
        <w:t>Close the Resilience Gap:</w:t>
      </w:r>
      <w:r>
        <w:t xml:space="preserve"> Enable Purge Protection on higher environments, and configure diagnostic settings on all vaults so secret access is logged and auditable. </w:t>
      </w:r>
    </w:p>
    <w:p w14:paraId="512E4D8C" w14:textId="77777777" w:rsidR="003F0DB8" w:rsidRDefault="00000000">
      <w:pPr>
        <w:numPr>
          <w:ilvl w:val="0"/>
          <w:numId w:val="61"/>
        </w:numPr>
        <w:spacing w:after="147"/>
        <w:ind w:right="5" w:hanging="284"/>
      </w:pPr>
      <w:r>
        <w:rPr>
          <w:b/>
        </w:rPr>
        <w:t>Resolve the Shared Vault:</w:t>
      </w:r>
      <w:r>
        <w:t xml:space="preserve"> Remove or isolate the cross-environment vault so the development and production boundary is restored, retaining a dedicated shared certificate vault only where there is a documented need. </w:t>
      </w:r>
    </w:p>
    <w:p w14:paraId="7861DE54" w14:textId="77777777" w:rsidR="003F0DB8" w:rsidRDefault="00000000">
      <w:pPr>
        <w:spacing w:after="0" w:line="259" w:lineRule="auto"/>
        <w:ind w:left="0" w:firstLine="0"/>
      </w:pPr>
      <w:r>
        <w:rPr>
          <w:sz w:val="24"/>
        </w:rPr>
        <w:t xml:space="preserve"> </w:t>
      </w:r>
      <w:r>
        <w:rPr>
          <w:sz w:val="24"/>
        </w:rPr>
        <w:tab/>
      </w:r>
      <w:r>
        <w:rPr>
          <w:sz w:val="32"/>
        </w:rPr>
        <w:t xml:space="preserve"> </w:t>
      </w:r>
      <w:r>
        <w:br w:type="page"/>
      </w:r>
    </w:p>
    <w:p w14:paraId="5D9B40FD" w14:textId="77777777" w:rsidR="003F0DB8" w:rsidRDefault="00000000">
      <w:pPr>
        <w:pStyle w:val="Heading1"/>
        <w:spacing w:after="86"/>
        <w:ind w:left="-5"/>
      </w:pPr>
      <w:bookmarkStart w:id="46" w:name="_Toc96828"/>
      <w:r>
        <w:rPr>
          <w:sz w:val="32"/>
        </w:rPr>
        <w:lastRenderedPageBreak/>
        <w:t xml:space="preserve">Identity Management </w:t>
      </w:r>
      <w:bookmarkEnd w:id="46"/>
    </w:p>
    <w:p w14:paraId="28190925" w14:textId="77777777" w:rsidR="003F0DB8" w:rsidRDefault="00000000">
      <w:pPr>
        <w:pStyle w:val="Heading1"/>
        <w:ind w:left="-5"/>
      </w:pPr>
      <w:bookmarkStart w:id="47" w:name="_Toc96829"/>
      <w:r>
        <w:t xml:space="preserve">Current State Overview </w:t>
      </w:r>
      <w:bookmarkEnd w:id="47"/>
    </w:p>
    <w:p w14:paraId="6380A51C" w14:textId="77777777" w:rsidR="003F0DB8" w:rsidRDefault="00000000">
      <w:pPr>
        <w:spacing w:after="110" w:line="269" w:lineRule="auto"/>
        <w:ind w:left="10" w:right="3" w:hanging="10"/>
      </w:pPr>
      <w:r>
        <w:rPr>
          <w:sz w:val="24"/>
        </w:rPr>
        <w:t xml:space="preserve">CQC's security and identity posture is built on a single Entra tenant administered by Littlefish. Microsoft Sentinel and Defender for Cloud are in place and operated jointly with NHS CSOC via Azure Lighthouse. The control fabric is strong on the detective side and weak on the preventive side. Standing privilege is the dominant blast-radius lever, break-glass discipline is informal, and Key Vault hygiene is uneven. The preventive layer is weak, segmentation is reactive rather than designed, and encryption is inconsistent across data tiers. Sentinel and Defender for Cloud are compensating for gaps that should be closed by preventive controls. </w:t>
      </w:r>
    </w:p>
    <w:p w14:paraId="594B06C0" w14:textId="77777777" w:rsidR="003F0DB8" w:rsidRDefault="00000000">
      <w:pPr>
        <w:spacing w:after="211" w:line="269" w:lineRule="auto"/>
        <w:ind w:left="10" w:right="3" w:hanging="10"/>
      </w:pPr>
      <w:r>
        <w:rPr>
          <w:sz w:val="24"/>
        </w:rPr>
        <w:t xml:space="preserve">The gap is not unusual for an organisation in transition. CQC is carrying a legacy estate that was never designed with Zero Trust in mind alongside a new CAF environment where stronger controls are beginning to emerge. The challenge is to extend Zero Trust controls consistently across both, starting with the areas of highest risk. </w:t>
      </w:r>
    </w:p>
    <w:p w14:paraId="2E4EDCF3" w14:textId="77777777" w:rsidR="003F0DB8" w:rsidRDefault="00000000">
      <w:pPr>
        <w:pStyle w:val="Heading1"/>
        <w:ind w:left="-5"/>
      </w:pPr>
      <w:bookmarkStart w:id="48" w:name="_Toc96830"/>
      <w:r>
        <w:t xml:space="preserve">Identity Infrastructure </w:t>
      </w:r>
      <w:bookmarkEnd w:id="48"/>
    </w:p>
    <w:p w14:paraId="227F3105" w14:textId="77777777" w:rsidR="003F0DB8" w:rsidRDefault="00000000">
      <w:pPr>
        <w:pStyle w:val="Heading3"/>
        <w:ind w:left="-5"/>
      </w:pPr>
      <w:r>
        <w:t>Entra Tenant and Legacy AD Sync</w:t>
      </w:r>
      <w:r>
        <w:rPr>
          <w:b w:val="0"/>
        </w:rPr>
        <w:t xml:space="preserve"> </w:t>
      </w:r>
    </w:p>
    <w:p w14:paraId="04883F06" w14:textId="77777777" w:rsidR="003F0DB8" w:rsidRDefault="00000000">
      <w:pPr>
        <w:numPr>
          <w:ilvl w:val="0"/>
          <w:numId w:val="62"/>
        </w:numPr>
        <w:ind w:right="5" w:hanging="284"/>
      </w:pPr>
      <w:r>
        <w:t xml:space="preserve">One Entra tenant ("Care Quality Commission") spans all subscriptions. A separate sandpit tenant exists under a different internal team. </w:t>
      </w:r>
    </w:p>
    <w:p w14:paraId="79E6711D" w14:textId="77777777" w:rsidR="003F0DB8" w:rsidRDefault="00000000">
      <w:pPr>
        <w:numPr>
          <w:ilvl w:val="0"/>
          <w:numId w:val="62"/>
        </w:numPr>
        <w:spacing w:after="46"/>
        <w:ind w:right="5" w:hanging="284"/>
      </w:pPr>
      <w:r>
        <w:t xml:space="preserve">Directory sync exists with the legacy on-premises IMS Active Directory. The synchronisation direction (one-way or two-way) was not confirmed during the workshop. </w:t>
      </w:r>
    </w:p>
    <w:p w14:paraId="188E5E9F" w14:textId="77777777" w:rsidR="003F0DB8" w:rsidRDefault="00000000">
      <w:pPr>
        <w:numPr>
          <w:ilvl w:val="0"/>
          <w:numId w:val="62"/>
        </w:numPr>
        <w:ind w:right="5" w:hanging="284"/>
      </w:pPr>
      <w:r>
        <w:t xml:space="preserve">Legacy AD domain controllers still serve primary DNS for the IMS domain and for VPN clients. </w:t>
      </w:r>
    </w:p>
    <w:p w14:paraId="28D0C19F" w14:textId="77777777" w:rsidR="003F0DB8" w:rsidRDefault="00000000">
      <w:pPr>
        <w:numPr>
          <w:ilvl w:val="0"/>
          <w:numId w:val="62"/>
        </w:numPr>
        <w:spacing w:after="78"/>
        <w:ind w:right="5" w:hanging="284"/>
      </w:pPr>
      <w:r>
        <w:t xml:space="preserve">The new world will continue to use the existing tenant, which means it inherits the tenant's current identity debt. </w:t>
      </w:r>
    </w:p>
    <w:p w14:paraId="6BA0ABA7" w14:textId="77777777" w:rsidR="003F0DB8" w:rsidRDefault="00000000">
      <w:pPr>
        <w:pStyle w:val="Heading3"/>
        <w:ind w:left="-5"/>
      </w:pPr>
      <w:r>
        <w:t>Legacy Access in Production</w:t>
      </w:r>
      <w:r>
        <w:rPr>
          <w:b w:val="0"/>
        </w:rPr>
        <w:t xml:space="preserve"> </w:t>
      </w:r>
    </w:p>
    <w:p w14:paraId="0DE61D08" w14:textId="77777777" w:rsidR="003F0DB8" w:rsidRDefault="00000000">
      <w:pPr>
        <w:numPr>
          <w:ilvl w:val="0"/>
          <w:numId w:val="63"/>
        </w:numPr>
        <w:spacing w:after="41"/>
        <w:ind w:right="5" w:hanging="284"/>
      </w:pPr>
      <w:r>
        <w:t xml:space="preserve">A number of Entra ID groups hold Contributor access to Production. At least one group is believed to belong to a previous delivery partner (KPMG) and remains active. </w:t>
      </w:r>
    </w:p>
    <w:p w14:paraId="4FF47D05" w14:textId="77777777" w:rsidR="003F0DB8" w:rsidRDefault="00000000">
      <w:pPr>
        <w:numPr>
          <w:ilvl w:val="0"/>
          <w:numId w:val="63"/>
        </w:numPr>
        <w:spacing w:after="182"/>
        <w:ind w:right="5" w:hanging="284"/>
      </w:pPr>
      <w:r>
        <w:t xml:space="preserve">A previous account-hygiene exercise identified a large volume of stale accounts.  </w:t>
      </w:r>
    </w:p>
    <w:p w14:paraId="716CFCBC" w14:textId="77777777" w:rsidR="003F0DB8" w:rsidRDefault="00000000">
      <w:pPr>
        <w:pStyle w:val="Heading1"/>
        <w:ind w:left="-5"/>
      </w:pPr>
      <w:bookmarkStart w:id="49" w:name="_Toc96831"/>
      <w:r>
        <w:lastRenderedPageBreak/>
        <w:t xml:space="preserve">Privileged Access </w:t>
      </w:r>
      <w:bookmarkEnd w:id="49"/>
    </w:p>
    <w:p w14:paraId="7D28A2EB" w14:textId="77777777" w:rsidR="003F0DB8" w:rsidRDefault="00000000">
      <w:pPr>
        <w:pStyle w:val="Heading3"/>
        <w:ind w:left="-5"/>
      </w:pPr>
      <w:r>
        <w:t>Global Administrator Accounts</w:t>
      </w:r>
      <w:r>
        <w:rPr>
          <w:b w:val="0"/>
        </w:rPr>
        <w:t xml:space="preserve"> </w:t>
      </w:r>
    </w:p>
    <w:p w14:paraId="1AFEFD7F" w14:textId="77777777" w:rsidR="003F0DB8" w:rsidRDefault="00000000">
      <w:pPr>
        <w:numPr>
          <w:ilvl w:val="0"/>
          <w:numId w:val="64"/>
        </w:numPr>
        <w:ind w:right="5" w:hanging="284"/>
      </w:pPr>
      <w:r>
        <w:t xml:space="preserve">Four Global Administrator accounts exist. They are permanently active, with no approval required to activate and no alerting on activation. </w:t>
      </w:r>
    </w:p>
    <w:p w14:paraId="434FA8CF" w14:textId="77777777" w:rsidR="003F0DB8" w:rsidRDefault="00000000">
      <w:pPr>
        <w:numPr>
          <w:ilvl w:val="0"/>
          <w:numId w:val="64"/>
        </w:numPr>
        <w:ind w:right="5" w:hanging="284"/>
      </w:pPr>
      <w:r>
        <w:t xml:space="preserve">The current model relies on Sentinel as a detective rather than a preventive control. A compromised-admin scenario has no preventive gate. </w:t>
      </w:r>
    </w:p>
    <w:p w14:paraId="620BE577" w14:textId="77777777" w:rsidR="003F0DB8" w:rsidRDefault="00000000">
      <w:pPr>
        <w:spacing w:after="123" w:line="259" w:lineRule="auto"/>
        <w:ind w:left="1136" w:firstLine="0"/>
      </w:pPr>
      <w:r>
        <w:t xml:space="preserve"> </w:t>
      </w:r>
    </w:p>
    <w:p w14:paraId="7D6EDF04" w14:textId="77777777" w:rsidR="003F0DB8" w:rsidRDefault="00000000">
      <w:pPr>
        <w:pStyle w:val="Heading3"/>
        <w:ind w:left="-5"/>
      </w:pPr>
      <w:r>
        <w:t>Standing Privilege</w:t>
      </w:r>
      <w:r>
        <w:rPr>
          <w:b w:val="0"/>
        </w:rPr>
        <w:t xml:space="preserve"> </w:t>
      </w:r>
    </w:p>
    <w:p w14:paraId="216EA606" w14:textId="77777777" w:rsidR="003F0DB8" w:rsidRDefault="00000000">
      <w:pPr>
        <w:numPr>
          <w:ilvl w:val="0"/>
          <w:numId w:val="65"/>
        </w:numPr>
        <w:ind w:right="5" w:hanging="284"/>
      </w:pPr>
      <w:r>
        <w:t xml:space="preserve">A significant volume of permanent Owner and Contributor assignments exist across subscriptions. </w:t>
      </w:r>
    </w:p>
    <w:p w14:paraId="2CE3FA8A" w14:textId="77777777" w:rsidR="003F0DB8" w:rsidRDefault="00000000">
      <w:pPr>
        <w:numPr>
          <w:ilvl w:val="0"/>
          <w:numId w:val="65"/>
        </w:numPr>
        <w:ind w:right="5" w:hanging="284"/>
      </w:pPr>
      <w:r>
        <w:t xml:space="preserve">Developers hold permanent Contributor on production in some areas, with Click-Ops changes routinely invalidating Terraform. </w:t>
      </w:r>
    </w:p>
    <w:p w14:paraId="410F491D" w14:textId="77777777" w:rsidR="003F0DB8" w:rsidRDefault="00000000">
      <w:pPr>
        <w:numPr>
          <w:ilvl w:val="0"/>
          <w:numId w:val="65"/>
        </w:numPr>
        <w:ind w:right="5" w:hanging="284"/>
      </w:pPr>
      <w:r>
        <w:t xml:space="preserve">A large number of Classic Administrators remain active, bypassing RBAC entirely. </w:t>
      </w:r>
    </w:p>
    <w:p w14:paraId="0274B43B" w14:textId="77777777" w:rsidR="003F0DB8" w:rsidRDefault="00000000">
      <w:pPr>
        <w:numPr>
          <w:ilvl w:val="0"/>
          <w:numId w:val="65"/>
        </w:numPr>
        <w:spacing w:after="137"/>
        <w:ind w:right="5" w:hanging="284"/>
      </w:pPr>
      <w:r>
        <w:t xml:space="preserve">Standing privilege is the dominant blast-radius lever in the estate, and identity hygiene cannot improve while Click-Ops in production remains the operating model. </w:t>
      </w:r>
    </w:p>
    <w:p w14:paraId="5232F4FA" w14:textId="77777777" w:rsidR="003F0DB8" w:rsidRDefault="00000000">
      <w:pPr>
        <w:pStyle w:val="Heading3"/>
        <w:ind w:left="-5"/>
      </w:pPr>
      <w:r>
        <w:t>Guest Onboarding</w:t>
      </w:r>
      <w:r>
        <w:rPr>
          <w:b w:val="0"/>
        </w:rPr>
        <w:t xml:space="preserve"> </w:t>
      </w:r>
    </w:p>
    <w:p w14:paraId="07ED07D9" w14:textId="77777777" w:rsidR="003F0DB8" w:rsidRDefault="00000000">
      <w:pPr>
        <w:numPr>
          <w:ilvl w:val="0"/>
          <w:numId w:val="66"/>
        </w:numPr>
        <w:ind w:right="5" w:hanging="284"/>
      </w:pPr>
      <w:r>
        <w:t xml:space="preserve">Guest onboarding is ad hoc with no consistent process. Some accounts are created directly, others as B2B. </w:t>
      </w:r>
    </w:p>
    <w:p w14:paraId="2B52BEF7" w14:textId="77777777" w:rsidR="003F0DB8" w:rsidRDefault="00000000">
      <w:pPr>
        <w:numPr>
          <w:ilvl w:val="0"/>
          <w:numId w:val="66"/>
        </w:numPr>
        <w:ind w:right="5" w:hanging="284"/>
      </w:pPr>
      <w:r>
        <w:t xml:space="preserve">There are no visible Access Packages or Access Reviews for the guest lifecycle. </w:t>
      </w:r>
    </w:p>
    <w:p w14:paraId="2074C6E0" w14:textId="77777777" w:rsidR="003F0DB8" w:rsidRDefault="00000000">
      <w:pPr>
        <w:numPr>
          <w:ilvl w:val="0"/>
          <w:numId w:val="66"/>
        </w:numPr>
        <w:spacing w:after="183"/>
        <w:ind w:right="5" w:hanging="284"/>
      </w:pPr>
      <w:r>
        <w:t xml:space="preserve">Orphaned guests persist, and the risky-user portal accumulates alerts that are actioned but not cleared down. </w:t>
      </w:r>
    </w:p>
    <w:p w14:paraId="3AFE3B3E" w14:textId="77777777" w:rsidR="003F0DB8" w:rsidRDefault="00000000">
      <w:pPr>
        <w:pStyle w:val="Heading1"/>
        <w:ind w:left="-5"/>
      </w:pPr>
      <w:bookmarkStart w:id="50" w:name="_Toc96832"/>
      <w:r>
        <w:t xml:space="preserve">Managed Identities and Automation </w:t>
      </w:r>
      <w:bookmarkEnd w:id="50"/>
    </w:p>
    <w:p w14:paraId="46339862" w14:textId="77777777" w:rsidR="003F0DB8" w:rsidRDefault="00000000">
      <w:pPr>
        <w:numPr>
          <w:ilvl w:val="0"/>
          <w:numId w:val="67"/>
        </w:numPr>
        <w:ind w:right="5" w:hanging="284"/>
      </w:pPr>
      <w:r>
        <w:t xml:space="preserve">Managed Identity adoption is recognised as the right pattern for resource-to-resource access. </w:t>
      </w:r>
    </w:p>
    <w:p w14:paraId="4469BFCB" w14:textId="77777777" w:rsidR="003F0DB8" w:rsidRDefault="00000000">
      <w:pPr>
        <w:numPr>
          <w:ilvl w:val="0"/>
          <w:numId w:val="67"/>
        </w:numPr>
        <w:ind w:right="5" w:hanging="284"/>
      </w:pPr>
      <w:r>
        <w:t xml:space="preserve">APIM correctly pulls named values from Key Vault rather than storing plaintext, and an automated App Gateway certificate process has been built. </w:t>
      </w:r>
    </w:p>
    <w:p w14:paraId="27EFA092" w14:textId="77777777" w:rsidR="003F0DB8" w:rsidRDefault="00000000">
      <w:pPr>
        <w:numPr>
          <w:ilvl w:val="0"/>
          <w:numId w:val="67"/>
        </w:numPr>
        <w:ind w:right="5" w:hanging="284"/>
      </w:pPr>
      <w:r>
        <w:t xml:space="preserve">The estate cannot reach the new-world hygiene baseline while user-identity-backed flows persist. </w:t>
      </w:r>
    </w:p>
    <w:p w14:paraId="2EEFC201" w14:textId="77777777" w:rsidR="003F0DB8" w:rsidRDefault="00000000">
      <w:pPr>
        <w:spacing w:after="227" w:line="259" w:lineRule="auto"/>
        <w:ind w:left="1136" w:firstLine="0"/>
      </w:pPr>
      <w:r>
        <w:t xml:space="preserve"> </w:t>
      </w:r>
    </w:p>
    <w:p w14:paraId="3EF26659" w14:textId="77777777" w:rsidR="003F0DB8" w:rsidRDefault="00000000">
      <w:pPr>
        <w:pStyle w:val="Heading1"/>
        <w:ind w:left="-5"/>
      </w:pPr>
      <w:bookmarkStart w:id="51" w:name="_Toc96833"/>
      <w:r>
        <w:t xml:space="preserve">Defender for Cloud and Sentinel </w:t>
      </w:r>
      <w:bookmarkEnd w:id="51"/>
    </w:p>
    <w:p w14:paraId="744D30D5" w14:textId="77777777" w:rsidR="003F0DB8" w:rsidRDefault="00000000">
      <w:pPr>
        <w:pStyle w:val="Heading3"/>
        <w:ind w:left="-5"/>
      </w:pPr>
      <w:r>
        <w:t>Defender for Cloud</w:t>
      </w:r>
      <w:r>
        <w:rPr>
          <w:b w:val="0"/>
        </w:rPr>
        <w:t xml:space="preserve"> </w:t>
      </w:r>
    </w:p>
    <w:p w14:paraId="505746AD" w14:textId="77777777" w:rsidR="003F0DB8" w:rsidRDefault="00000000">
      <w:pPr>
        <w:numPr>
          <w:ilvl w:val="0"/>
          <w:numId w:val="68"/>
        </w:numPr>
        <w:ind w:right="5" w:hanging="284"/>
      </w:pPr>
      <w:r>
        <w:t xml:space="preserve">Defender plans were enabled across all subscriptions, including decommissioned and sandbox subscriptions, via manual portal toggling. </w:t>
      </w:r>
    </w:p>
    <w:p w14:paraId="3F3F38E2" w14:textId="77777777" w:rsidR="003F0DB8" w:rsidRDefault="00000000">
      <w:pPr>
        <w:numPr>
          <w:ilvl w:val="0"/>
          <w:numId w:val="68"/>
        </w:numPr>
        <w:ind w:right="5" w:hanging="284"/>
      </w:pPr>
      <w:r>
        <w:t xml:space="preserve">Manual onboarding causes drift. Decommissioned and sandbox subscriptions generate cost waste with no security return. </w:t>
      </w:r>
    </w:p>
    <w:p w14:paraId="77760E5D" w14:textId="77777777" w:rsidR="003F0DB8" w:rsidRDefault="00000000">
      <w:pPr>
        <w:numPr>
          <w:ilvl w:val="0"/>
          <w:numId w:val="68"/>
        </w:numPr>
        <w:spacing w:after="136"/>
        <w:ind w:right="5" w:hanging="284"/>
      </w:pPr>
      <w:r>
        <w:lastRenderedPageBreak/>
        <w:t xml:space="preserve">A large backlog of critical and high-severity Defender recommendations sit across the estate. Standing critical findings will largely retire with the legacy estate rather than be remediated in place. </w:t>
      </w:r>
    </w:p>
    <w:p w14:paraId="071204F1" w14:textId="77777777" w:rsidR="003F0DB8" w:rsidRDefault="00000000">
      <w:pPr>
        <w:pStyle w:val="Heading3"/>
        <w:ind w:left="-5"/>
      </w:pPr>
      <w:r>
        <w:t>Sentinel</w:t>
      </w:r>
      <w:r>
        <w:rPr>
          <w:b w:val="0"/>
        </w:rPr>
        <w:t xml:space="preserve"> </w:t>
      </w:r>
    </w:p>
    <w:p w14:paraId="59544E77" w14:textId="77777777" w:rsidR="003F0DB8" w:rsidRDefault="00000000">
      <w:pPr>
        <w:numPr>
          <w:ilvl w:val="0"/>
          <w:numId w:val="69"/>
        </w:numPr>
        <w:ind w:right="5" w:hanging="284"/>
      </w:pPr>
      <w:r>
        <w:t xml:space="preserve">A single Microsoft Sentinel resource is operated by Ryan Torrance's team, supported by NHS CSOC via Azure Lighthouse. </w:t>
      </w:r>
    </w:p>
    <w:p w14:paraId="12531EEC" w14:textId="77777777" w:rsidR="003F0DB8" w:rsidRDefault="00000000">
      <w:pPr>
        <w:numPr>
          <w:ilvl w:val="0"/>
          <w:numId w:val="69"/>
        </w:numPr>
        <w:ind w:right="5" w:hanging="284"/>
      </w:pPr>
      <w:r>
        <w:t xml:space="preserve">A use-case document links analytic rules to use cases with review cadence and testability. Some analytic rules sit in disabled or development state. </w:t>
      </w:r>
    </w:p>
    <w:p w14:paraId="19D60899" w14:textId="77777777" w:rsidR="003F0DB8" w:rsidRDefault="00000000">
      <w:pPr>
        <w:numPr>
          <w:ilvl w:val="0"/>
          <w:numId w:val="69"/>
        </w:numPr>
        <w:ind w:right="5" w:hanging="284"/>
      </w:pPr>
      <w:r>
        <w:t xml:space="preserve">Detective capability is strong, but the preventive layer (PIM, Conditional Access, break-glass) is not yet at parity. Sentinel is currently compensating for gaps that should be closed by preventive controls. </w:t>
      </w:r>
    </w:p>
    <w:p w14:paraId="43148649" w14:textId="77777777" w:rsidR="003F0DB8" w:rsidRDefault="00000000">
      <w:pPr>
        <w:spacing w:after="227" w:line="259" w:lineRule="auto"/>
        <w:ind w:left="284" w:firstLine="0"/>
      </w:pPr>
      <w:r>
        <w:t xml:space="preserve"> </w:t>
      </w:r>
    </w:p>
    <w:p w14:paraId="05707AE9" w14:textId="77777777" w:rsidR="003F0DB8" w:rsidRDefault="00000000">
      <w:pPr>
        <w:pStyle w:val="Heading1"/>
        <w:ind w:left="-5"/>
      </w:pPr>
      <w:bookmarkStart w:id="52" w:name="_Toc96834"/>
      <w:r>
        <w:t xml:space="preserve">Recommendations </w:t>
      </w:r>
      <w:bookmarkEnd w:id="52"/>
    </w:p>
    <w:p w14:paraId="4727EEB2" w14:textId="77777777" w:rsidR="003F0DB8" w:rsidRDefault="00000000">
      <w:pPr>
        <w:pStyle w:val="Heading3"/>
        <w:ind w:left="-5"/>
      </w:pPr>
      <w:r>
        <w:t>Identity Infrastructure</w:t>
      </w:r>
      <w:r>
        <w:rPr>
          <w:b w:val="0"/>
        </w:rPr>
        <w:t xml:space="preserve"> </w:t>
      </w:r>
    </w:p>
    <w:p w14:paraId="61FD0964" w14:textId="77777777" w:rsidR="003F0DB8" w:rsidRDefault="00000000">
      <w:pPr>
        <w:numPr>
          <w:ilvl w:val="0"/>
          <w:numId w:val="70"/>
        </w:numPr>
        <w:spacing w:after="46"/>
        <w:ind w:right="5" w:hanging="284"/>
      </w:pPr>
      <w:r>
        <w:rPr>
          <w:b/>
        </w:rPr>
        <w:t>Confirm the Directory Sync Direction:</w:t>
      </w:r>
      <w:r>
        <w:t xml:space="preserve"> confirm and document whether the legacy AD sync is one-way or two-way, and plan for legacy AD decommissioning as the DNS and VPN dependencies are retired. </w:t>
      </w:r>
    </w:p>
    <w:p w14:paraId="435E1C4B" w14:textId="77777777" w:rsidR="003F0DB8" w:rsidRDefault="00000000">
      <w:pPr>
        <w:numPr>
          <w:ilvl w:val="0"/>
          <w:numId w:val="70"/>
        </w:numPr>
        <w:spacing w:after="46"/>
        <w:ind w:right="5" w:hanging="284"/>
      </w:pPr>
      <w:r>
        <w:rPr>
          <w:b/>
        </w:rPr>
        <w:t>Migrate User-Identity Flows:</w:t>
      </w:r>
      <w:r>
        <w:t xml:space="preserve"> map all user-identity-backed Power Apps and Dynamics flows and migrate them to service principals or Managed Identities, unblocking the stale-account cleanup. </w:t>
      </w:r>
    </w:p>
    <w:p w14:paraId="0C70305B" w14:textId="77777777" w:rsidR="003F0DB8" w:rsidRDefault="00000000">
      <w:pPr>
        <w:numPr>
          <w:ilvl w:val="0"/>
          <w:numId w:val="70"/>
        </w:numPr>
        <w:ind w:right="5" w:hanging="284"/>
      </w:pPr>
      <w:r>
        <w:rPr>
          <w:b/>
        </w:rPr>
        <w:t>Remove Former Partner Access:</w:t>
      </w:r>
      <w:r>
        <w:t xml:space="preserve"> remove or re-validate all former partner access in Production, including the networking-level exceptions. </w:t>
      </w:r>
    </w:p>
    <w:p w14:paraId="46FBD4FF" w14:textId="77777777" w:rsidR="003F0DB8" w:rsidRDefault="00000000">
      <w:pPr>
        <w:numPr>
          <w:ilvl w:val="0"/>
          <w:numId w:val="70"/>
        </w:numPr>
        <w:ind w:right="5" w:hanging="284"/>
      </w:pPr>
      <w:r>
        <w:rPr>
          <w:b/>
        </w:rPr>
        <w:t>Extend PIM to Global Administrators:</w:t>
      </w:r>
      <w:r>
        <w:t xml:space="preserve"> bring all Global Administrator accounts under PIM with mandatory approval and alerting on activation. </w:t>
      </w:r>
    </w:p>
    <w:p w14:paraId="46270E7B" w14:textId="77777777" w:rsidR="003F0DB8" w:rsidRDefault="00000000">
      <w:pPr>
        <w:numPr>
          <w:ilvl w:val="0"/>
          <w:numId w:val="70"/>
        </w:numPr>
        <w:spacing w:after="42"/>
        <w:ind w:right="5" w:hanging="284"/>
      </w:pPr>
      <w:r>
        <w:rPr>
          <w:b/>
        </w:rPr>
        <w:t>Rationalise Standing Privilege:</w:t>
      </w:r>
      <w:r>
        <w:t xml:space="preserve"> rationalise Owner and Contributor assignments, remove Classic Administrators, and target a maximum of three Owners per subscription. </w:t>
      </w:r>
    </w:p>
    <w:p w14:paraId="63636856" w14:textId="77777777" w:rsidR="003F0DB8" w:rsidRDefault="00000000">
      <w:pPr>
        <w:numPr>
          <w:ilvl w:val="0"/>
          <w:numId w:val="70"/>
        </w:numPr>
        <w:ind w:right="5" w:hanging="284"/>
      </w:pPr>
      <w:r>
        <w:rPr>
          <w:b/>
        </w:rPr>
        <w:t>Eliminate Click-Ops in Production:</w:t>
      </w:r>
      <w:r>
        <w:t xml:space="preserve"> enforce deployment via pipeline only, so manual changes no longer override Terraform. </w:t>
      </w:r>
    </w:p>
    <w:p w14:paraId="77A69B68" w14:textId="77777777" w:rsidR="003F0DB8" w:rsidRDefault="00000000">
      <w:pPr>
        <w:spacing w:after="123" w:line="259" w:lineRule="auto"/>
        <w:ind w:left="1136" w:firstLine="0"/>
      </w:pPr>
      <w:r>
        <w:t xml:space="preserve"> </w:t>
      </w:r>
    </w:p>
    <w:p w14:paraId="4DA4E1C3" w14:textId="77777777" w:rsidR="003F0DB8" w:rsidRDefault="00000000">
      <w:pPr>
        <w:pStyle w:val="Heading3"/>
        <w:ind w:left="-5"/>
      </w:pPr>
      <w:r>
        <w:t>Guest Lifecycle</w:t>
      </w:r>
      <w:r>
        <w:rPr>
          <w:b w:val="0"/>
        </w:rPr>
        <w:t xml:space="preserve"> </w:t>
      </w:r>
    </w:p>
    <w:p w14:paraId="4975CEC8" w14:textId="77777777" w:rsidR="003F0DB8" w:rsidRDefault="00000000">
      <w:pPr>
        <w:numPr>
          <w:ilvl w:val="0"/>
          <w:numId w:val="71"/>
        </w:numPr>
        <w:ind w:right="5" w:firstLine="0"/>
      </w:pPr>
      <w:r>
        <w:rPr>
          <w:b/>
        </w:rPr>
        <w:t>Govern the Guest Lifecycle:</w:t>
      </w:r>
      <w:r>
        <w:t xml:space="preserve"> implement Access Packages and Access Reviews for all guest accounts. </w:t>
      </w:r>
    </w:p>
    <w:p w14:paraId="478A996F" w14:textId="77777777" w:rsidR="003F0DB8" w:rsidRDefault="00000000">
      <w:pPr>
        <w:numPr>
          <w:ilvl w:val="0"/>
          <w:numId w:val="71"/>
        </w:numPr>
        <w:spacing w:after="62" w:line="310" w:lineRule="auto"/>
        <w:ind w:right="5" w:firstLine="0"/>
      </w:pPr>
      <w:r>
        <w:rPr>
          <w:b/>
        </w:rPr>
        <w:t>Clear the Risky-User Backlog:</w:t>
      </w:r>
      <w:r>
        <w:t xml:space="preserve"> clear down the risky-user portal backlog and define a standing triage cadence. </w:t>
      </w:r>
      <w:r>
        <w:rPr>
          <w:b/>
          <w:sz w:val="24"/>
        </w:rPr>
        <w:t>Managed Identities</w:t>
      </w:r>
      <w:r>
        <w:rPr>
          <w:sz w:val="24"/>
        </w:rPr>
        <w:t xml:space="preserve"> </w:t>
      </w:r>
    </w:p>
    <w:p w14:paraId="2B2D1BCE" w14:textId="77777777" w:rsidR="003F0DB8" w:rsidRDefault="00000000">
      <w:pPr>
        <w:numPr>
          <w:ilvl w:val="0"/>
          <w:numId w:val="71"/>
        </w:numPr>
        <w:ind w:right="5" w:firstLine="0"/>
      </w:pPr>
      <w:r>
        <w:rPr>
          <w:b/>
        </w:rPr>
        <w:t>Complete the Flow Migration:</w:t>
      </w:r>
      <w:r>
        <w:t xml:space="preserve"> finish migrating user-identity-backed flows to Managed Identities or service principals. </w:t>
      </w:r>
    </w:p>
    <w:p w14:paraId="7C907790" w14:textId="77777777" w:rsidR="003F0DB8" w:rsidRDefault="00000000">
      <w:pPr>
        <w:numPr>
          <w:ilvl w:val="0"/>
          <w:numId w:val="71"/>
        </w:numPr>
        <w:ind w:right="5" w:firstLine="0"/>
      </w:pPr>
      <w:r>
        <w:rPr>
          <w:b/>
        </w:rPr>
        <w:t>Scope Key Vault RBAC to the Vault:</w:t>
      </w:r>
      <w:r>
        <w:t xml:space="preserve"> scope Key Vault RBAC to individual vaults rather than subscription or management-group level. </w:t>
      </w:r>
    </w:p>
    <w:p w14:paraId="4D47C553" w14:textId="77777777" w:rsidR="003F0DB8" w:rsidRDefault="00000000">
      <w:pPr>
        <w:spacing w:after="124" w:line="259" w:lineRule="auto"/>
        <w:ind w:left="1136" w:firstLine="0"/>
      </w:pPr>
      <w:r>
        <w:t xml:space="preserve"> </w:t>
      </w:r>
    </w:p>
    <w:p w14:paraId="5569DE4A" w14:textId="77777777" w:rsidR="003F0DB8" w:rsidRDefault="00000000">
      <w:pPr>
        <w:pStyle w:val="Heading3"/>
        <w:ind w:left="-5"/>
      </w:pPr>
      <w:r>
        <w:lastRenderedPageBreak/>
        <w:t>Defender for Cloud</w:t>
      </w:r>
      <w:r>
        <w:rPr>
          <w:b w:val="0"/>
        </w:rPr>
        <w:t xml:space="preserve"> </w:t>
      </w:r>
    </w:p>
    <w:p w14:paraId="59818E41" w14:textId="77777777" w:rsidR="003F0DB8" w:rsidRDefault="00000000">
      <w:pPr>
        <w:numPr>
          <w:ilvl w:val="0"/>
          <w:numId w:val="72"/>
        </w:numPr>
        <w:ind w:right="5" w:hanging="284"/>
      </w:pPr>
      <w:r>
        <w:rPr>
          <w:b/>
        </w:rPr>
        <w:t>Right-Size Defender Coverage:</w:t>
      </w:r>
      <w:r>
        <w:t xml:space="preserve"> remove Defender plans from decommissioned and sandbox subscriptions. </w:t>
      </w:r>
    </w:p>
    <w:p w14:paraId="5A3B377E" w14:textId="77777777" w:rsidR="003F0DB8" w:rsidRDefault="00000000">
      <w:pPr>
        <w:numPr>
          <w:ilvl w:val="0"/>
          <w:numId w:val="72"/>
        </w:numPr>
        <w:ind w:right="5" w:hanging="284"/>
      </w:pPr>
      <w:r>
        <w:rPr>
          <w:b/>
        </w:rPr>
        <w:t>Automate Defender Onboarding:</w:t>
      </w:r>
      <w:r>
        <w:t xml:space="preserve"> onboard Defender via policy to prevent configuration drift. </w:t>
      </w:r>
    </w:p>
    <w:p w14:paraId="2CCCBB7C" w14:textId="77777777" w:rsidR="003F0DB8" w:rsidRDefault="00000000">
      <w:pPr>
        <w:numPr>
          <w:ilvl w:val="0"/>
          <w:numId w:val="72"/>
        </w:numPr>
        <w:ind w:right="5" w:hanging="284"/>
      </w:pPr>
      <w:r>
        <w:rPr>
          <w:b/>
        </w:rPr>
        <w:t>Triage the Recommendation Backlog:</w:t>
      </w:r>
      <w:r>
        <w:t xml:space="preserve"> triage and prioritise the critical and high-severity Defender recommendation backlog. </w:t>
      </w:r>
    </w:p>
    <w:p w14:paraId="45414E4D" w14:textId="77777777" w:rsidR="003F0DB8" w:rsidRDefault="00000000">
      <w:pPr>
        <w:spacing w:after="124" w:line="259" w:lineRule="auto"/>
        <w:ind w:left="1136" w:firstLine="0"/>
      </w:pPr>
      <w:r>
        <w:t xml:space="preserve"> </w:t>
      </w:r>
    </w:p>
    <w:p w14:paraId="7565BA09" w14:textId="77777777" w:rsidR="003F0DB8" w:rsidRDefault="00000000">
      <w:pPr>
        <w:pStyle w:val="Heading3"/>
        <w:ind w:left="-5"/>
      </w:pPr>
      <w:r>
        <w:t>Sentinel and Preventive Controls</w:t>
      </w:r>
      <w:r>
        <w:rPr>
          <w:b w:val="0"/>
        </w:rPr>
        <w:t xml:space="preserve"> </w:t>
      </w:r>
    </w:p>
    <w:p w14:paraId="5A9ED1D8" w14:textId="77777777" w:rsidR="003F0DB8" w:rsidRDefault="00000000">
      <w:pPr>
        <w:numPr>
          <w:ilvl w:val="0"/>
          <w:numId w:val="73"/>
        </w:numPr>
        <w:spacing w:after="41"/>
        <w:ind w:right="5" w:hanging="284"/>
      </w:pPr>
      <w:r>
        <w:rPr>
          <w:b/>
        </w:rPr>
        <w:t>Close the Detective-Preventive Gap:</w:t>
      </w:r>
      <w:r>
        <w:t xml:space="preserve"> bring PIM, Conditional Access and break-glass procedures to parity with Sentinel coverage, so detection is no longer compensating for missing preventive controls. </w:t>
      </w:r>
    </w:p>
    <w:p w14:paraId="19E53EF0" w14:textId="77777777" w:rsidR="003F0DB8" w:rsidRDefault="00000000">
      <w:pPr>
        <w:numPr>
          <w:ilvl w:val="0"/>
          <w:numId w:val="73"/>
        </w:numPr>
        <w:ind w:right="5" w:hanging="284"/>
      </w:pPr>
      <w:r>
        <w:rPr>
          <w:b/>
        </w:rPr>
        <w:t>Rationalise Analytic Rules:</w:t>
      </w:r>
      <w:r>
        <w:t xml:space="preserve"> review disabled analytic rules and either enable or retire them. </w:t>
      </w:r>
    </w:p>
    <w:p w14:paraId="0AAC2D25" w14:textId="77777777" w:rsidR="003F0DB8" w:rsidRDefault="00000000">
      <w:pPr>
        <w:spacing w:after="0" w:line="259" w:lineRule="auto"/>
        <w:ind w:left="1136" w:firstLine="0"/>
      </w:pPr>
      <w:r>
        <w:t xml:space="preserve"> </w:t>
      </w:r>
    </w:p>
    <w:p w14:paraId="0A4CA183" w14:textId="77777777" w:rsidR="003F0DB8" w:rsidRDefault="00000000">
      <w:pPr>
        <w:spacing w:after="0" w:line="259" w:lineRule="auto"/>
        <w:ind w:left="284" w:firstLine="0"/>
      </w:pPr>
      <w:r>
        <w:t xml:space="preserve"> </w:t>
      </w:r>
      <w:r>
        <w:tab/>
        <w:t xml:space="preserve"> </w:t>
      </w:r>
      <w:r>
        <w:br w:type="page"/>
      </w:r>
    </w:p>
    <w:p w14:paraId="38DCD37D" w14:textId="77777777" w:rsidR="003F0DB8" w:rsidRDefault="00000000">
      <w:pPr>
        <w:pStyle w:val="Heading1"/>
        <w:spacing w:after="86"/>
        <w:ind w:left="-5"/>
      </w:pPr>
      <w:bookmarkStart w:id="53" w:name="_Toc96835"/>
      <w:r>
        <w:rPr>
          <w:sz w:val="32"/>
        </w:rPr>
        <w:lastRenderedPageBreak/>
        <w:t xml:space="preserve">Zero Trust </w:t>
      </w:r>
      <w:bookmarkEnd w:id="53"/>
    </w:p>
    <w:p w14:paraId="0AAA4565" w14:textId="77777777" w:rsidR="003F0DB8" w:rsidRDefault="00000000">
      <w:pPr>
        <w:pStyle w:val="Heading1"/>
        <w:ind w:left="-5"/>
      </w:pPr>
      <w:bookmarkStart w:id="54" w:name="_Toc96836"/>
      <w:r>
        <w:t xml:space="preserve">What Zero Trust Means in This Context </w:t>
      </w:r>
      <w:bookmarkEnd w:id="54"/>
    </w:p>
    <w:p w14:paraId="4134E525" w14:textId="77777777" w:rsidR="003F0DB8" w:rsidRDefault="00000000">
      <w:pPr>
        <w:spacing w:after="10" w:line="269" w:lineRule="auto"/>
        <w:ind w:left="10" w:right="3" w:hanging="10"/>
      </w:pPr>
      <w:r>
        <w:rPr>
          <w:sz w:val="24"/>
        </w:rPr>
        <w:t xml:space="preserve">Zero Trust is Microsoft's security model for modern cloud estates. It is not a product, a licence, or a one-off project. It is a set of design principles that shape how identity, access, networking, data and operations should behave across the entire platform. </w:t>
      </w:r>
    </w:p>
    <w:p w14:paraId="254791C9" w14:textId="77777777" w:rsidR="003F0DB8" w:rsidRDefault="00000000">
      <w:pPr>
        <w:spacing w:after="110" w:line="269" w:lineRule="auto"/>
        <w:ind w:left="10" w:right="3" w:hanging="10"/>
      </w:pPr>
      <w:r>
        <w:rPr>
          <w:sz w:val="24"/>
        </w:rPr>
        <w:t xml:space="preserve">Microsoft defines Zero Trust through three principles: </w:t>
      </w:r>
      <w:r>
        <w:rPr>
          <w:b/>
          <w:sz w:val="24"/>
        </w:rPr>
        <w:t>verify explicitly</w:t>
      </w:r>
      <w:r>
        <w:rPr>
          <w:sz w:val="24"/>
        </w:rPr>
        <w:t xml:space="preserve">, </w:t>
      </w:r>
      <w:r>
        <w:rPr>
          <w:b/>
          <w:sz w:val="24"/>
        </w:rPr>
        <w:t>use least privilege</w:t>
      </w:r>
      <w:r>
        <w:rPr>
          <w:sz w:val="24"/>
        </w:rPr>
        <w:t xml:space="preserve">, and </w:t>
      </w:r>
      <w:r>
        <w:rPr>
          <w:b/>
          <w:sz w:val="24"/>
        </w:rPr>
        <w:t>assume breach</w:t>
      </w:r>
      <w:r>
        <w:rPr>
          <w:sz w:val="24"/>
        </w:rPr>
        <w:t xml:space="preserve">. </w:t>
      </w:r>
    </w:p>
    <w:p w14:paraId="45B0A196" w14:textId="77777777" w:rsidR="003F0DB8" w:rsidRDefault="00000000">
      <w:pPr>
        <w:spacing w:after="110" w:line="269" w:lineRule="auto"/>
        <w:ind w:left="10" w:right="3" w:hanging="10"/>
      </w:pPr>
      <w:r>
        <w:rPr>
          <w:sz w:val="24"/>
        </w:rPr>
        <w:t xml:space="preserve">These principles are not standalone. They are embedded into the two frameworks this assessment aligns to: </w:t>
      </w:r>
    </w:p>
    <w:p w14:paraId="2433E1F8" w14:textId="77777777" w:rsidR="003F0DB8" w:rsidRDefault="00000000">
      <w:pPr>
        <w:numPr>
          <w:ilvl w:val="0"/>
          <w:numId w:val="74"/>
        </w:numPr>
        <w:spacing w:after="46"/>
        <w:ind w:right="-3" w:hanging="284"/>
      </w:pPr>
      <w:r>
        <w:rPr>
          <w:b/>
        </w:rPr>
        <w:t>The Cloud Adoption Framework (CAF)</w:t>
      </w:r>
      <w:r>
        <w:t xml:space="preserve"> integrates Zero Trust into its Secure methodology. CAF expects Zero Trust thinking to be applied from strategy through to governance and management. The CAF Landing Zone design guidance references Zero Trust for identity controls, network segmentation, and data protection. CQC's new CAF-aligned hierarchy is the right structural foundation, but Zero Trust controls are not yet consistently applied across it. </w:t>
      </w:r>
    </w:p>
    <w:p w14:paraId="75709ED6" w14:textId="77777777" w:rsidR="003F0DB8" w:rsidRDefault="00000000">
      <w:pPr>
        <w:numPr>
          <w:ilvl w:val="0"/>
          <w:numId w:val="74"/>
        </w:numPr>
        <w:spacing w:after="215" w:line="272" w:lineRule="auto"/>
        <w:ind w:right="-3" w:hanging="284"/>
      </w:pPr>
      <w:r>
        <w:rPr>
          <w:b/>
        </w:rPr>
        <w:t>The Well-Architected Framework (WAF)</w:t>
      </w:r>
      <w:r>
        <w:t xml:space="preserve"> treats Zero Trust as foundational to its Security pillar. Microsoft's WAF guidance states that a well-architected workload is built with a Zero Trust approach. The Security pillar evaluates workloads against the same three principles used below: whether identity is verified at every access point, whether privilege is minimised and time-bound, and whether the architecture limits blast radius in the event of compromise. </w:t>
      </w:r>
      <w:r>
        <w:rPr>
          <w:sz w:val="24"/>
        </w:rPr>
        <w:t xml:space="preserve">This section assesses CQC's current estate against those three principles. It does not introduce new findings. Every row in the tables below is drawn from the detailed technical chapters that follow. The purpose is to give the reader a single, consolidated view of where CQC stands against the security model that both CAF and WAF expect to be in place. </w:t>
      </w:r>
    </w:p>
    <w:p w14:paraId="7C8A7D56" w14:textId="77777777" w:rsidR="003F0DB8" w:rsidRDefault="00000000">
      <w:pPr>
        <w:pStyle w:val="Heading1"/>
        <w:ind w:left="-5"/>
      </w:pPr>
      <w:bookmarkStart w:id="55" w:name="_Toc96837"/>
      <w:r>
        <w:t xml:space="preserve">Zero Trust Assessment </w:t>
      </w:r>
      <w:bookmarkEnd w:id="55"/>
    </w:p>
    <w:p w14:paraId="67F74759" w14:textId="77777777" w:rsidR="003F0DB8" w:rsidRDefault="00000000">
      <w:pPr>
        <w:spacing w:after="110" w:line="269" w:lineRule="auto"/>
        <w:ind w:left="10" w:right="3" w:hanging="10"/>
      </w:pPr>
      <w:r>
        <w:rPr>
          <w:sz w:val="24"/>
        </w:rPr>
        <w:t xml:space="preserve">CQC named Zero Trust as a target outcome. The estate is assessed below against Microsoft's three Zero Trust principles. No new findings are introduced; each draws on the technical findings already set out in this report. </w:t>
      </w:r>
    </w:p>
    <w:p w14:paraId="14790BF5" w14:textId="77777777" w:rsidR="003F0DB8" w:rsidRDefault="00000000">
      <w:pPr>
        <w:pStyle w:val="Heading3"/>
        <w:ind w:left="-5"/>
      </w:pPr>
      <w:r>
        <w:t>Verify Explicitly</w:t>
      </w:r>
      <w:r>
        <w:rPr>
          <w:b w:val="0"/>
        </w:rPr>
        <w:t xml:space="preserve"> </w:t>
      </w:r>
      <w:r>
        <w:rPr>
          <w:b w:val="0"/>
          <w:i/>
        </w:rPr>
        <w:t>(always authenticate and authorise on all available data points)</w:t>
      </w:r>
      <w:r>
        <w:rPr>
          <w:b w:val="0"/>
        </w:rPr>
        <w:t xml:space="preserve"> </w:t>
      </w:r>
    </w:p>
    <w:p w14:paraId="02CC7BB1" w14:textId="77777777" w:rsidR="003F0DB8" w:rsidRDefault="00000000">
      <w:pPr>
        <w:numPr>
          <w:ilvl w:val="0"/>
          <w:numId w:val="75"/>
        </w:numPr>
        <w:ind w:right="5" w:hanging="284"/>
      </w:pPr>
      <w:r>
        <w:t xml:space="preserve">Global Administrator accounts activate without approval or alerting, leaving no preventive gate. </w:t>
      </w:r>
    </w:p>
    <w:p w14:paraId="79B1E5ED" w14:textId="77777777" w:rsidR="003F0DB8" w:rsidRDefault="00000000">
      <w:pPr>
        <w:numPr>
          <w:ilvl w:val="0"/>
          <w:numId w:val="75"/>
        </w:numPr>
        <w:ind w:right="5" w:hanging="284"/>
      </w:pPr>
      <w:r>
        <w:t xml:space="preserve">PIM is enforced selectively but not extended to Global Administrators, so coverage is only partial. </w:t>
      </w:r>
    </w:p>
    <w:p w14:paraId="38CEB0E2" w14:textId="77777777" w:rsidR="003F0DB8" w:rsidRDefault="00000000">
      <w:pPr>
        <w:numPr>
          <w:ilvl w:val="0"/>
          <w:numId w:val="75"/>
        </w:numPr>
        <w:ind w:right="5" w:hanging="284"/>
      </w:pPr>
      <w:r>
        <w:t xml:space="preserve">Guest onboarding is ad hoc with no Access Packages or Access Reviews, so there is no lifecycle governance. </w:t>
      </w:r>
    </w:p>
    <w:p w14:paraId="6C649B5A" w14:textId="77777777" w:rsidR="003F0DB8" w:rsidRDefault="00000000">
      <w:pPr>
        <w:numPr>
          <w:ilvl w:val="0"/>
          <w:numId w:val="75"/>
        </w:numPr>
        <w:ind w:right="5" w:hanging="284"/>
      </w:pPr>
      <w:r>
        <w:t xml:space="preserve">A legacy partner group retains Contributor on Production, an unverified access path. </w:t>
      </w:r>
    </w:p>
    <w:p w14:paraId="6AA8AFF2" w14:textId="77777777" w:rsidR="003F0DB8" w:rsidRDefault="00000000">
      <w:pPr>
        <w:numPr>
          <w:ilvl w:val="0"/>
          <w:numId w:val="75"/>
        </w:numPr>
        <w:ind w:right="5" w:hanging="284"/>
      </w:pPr>
      <w:r>
        <w:t xml:space="preserve">A number of stale accounts cannot be cleaned up because they are tied to user-identity-backed flows, leaving orphaned identities in place. </w:t>
      </w:r>
    </w:p>
    <w:p w14:paraId="6472D89D" w14:textId="77777777" w:rsidR="003F0DB8" w:rsidRDefault="00000000">
      <w:pPr>
        <w:numPr>
          <w:ilvl w:val="0"/>
          <w:numId w:val="75"/>
        </w:numPr>
        <w:ind w:right="5" w:hanging="284"/>
      </w:pPr>
      <w:r>
        <w:lastRenderedPageBreak/>
        <w:t xml:space="preserve">The directory sync direction is unconfirmed, leaving an unaudited identity surface. </w:t>
      </w:r>
    </w:p>
    <w:p w14:paraId="24ECE8FC" w14:textId="77777777" w:rsidR="003F0DB8" w:rsidRDefault="00000000">
      <w:pPr>
        <w:numPr>
          <w:ilvl w:val="0"/>
          <w:numId w:val="75"/>
        </w:numPr>
        <w:spacing w:after="78"/>
        <w:ind w:right="5" w:hanging="284"/>
      </w:pPr>
      <w:r>
        <w:t xml:space="preserve">Hitachi engineers were issued CQC user accounts rather than B2B guests, crossing the identity boundary. </w:t>
      </w:r>
    </w:p>
    <w:p w14:paraId="2FB2DF3E" w14:textId="77777777" w:rsidR="003F0DB8" w:rsidRDefault="00000000">
      <w:pPr>
        <w:spacing w:after="110" w:line="269" w:lineRule="auto"/>
        <w:ind w:left="10" w:right="3" w:hanging="10"/>
      </w:pPr>
      <w:r>
        <w:rPr>
          <w:sz w:val="24"/>
        </w:rPr>
        <w:t xml:space="preserve">CQC cannot verify explicitly while identity lifecycle is ungoverned, privileged access is permanent, and former partner access persists without dependency mapping. The estate relies on detective controls rather than preventive gates to manage identity risk. </w:t>
      </w:r>
    </w:p>
    <w:p w14:paraId="7C2B233D" w14:textId="77777777" w:rsidR="003F0DB8" w:rsidRDefault="00000000">
      <w:pPr>
        <w:pStyle w:val="Heading3"/>
        <w:ind w:left="-5"/>
      </w:pPr>
      <w:r>
        <w:t>Use Least Privilege</w:t>
      </w:r>
      <w:r>
        <w:rPr>
          <w:b w:val="0"/>
        </w:rPr>
        <w:t xml:space="preserve"> </w:t>
      </w:r>
      <w:r>
        <w:rPr>
          <w:b w:val="0"/>
          <w:i/>
        </w:rPr>
        <w:t>(limit access with just-in-time, just-enough-access and risk-based policies)</w:t>
      </w:r>
      <w:r>
        <w:rPr>
          <w:b w:val="0"/>
        </w:rPr>
        <w:t xml:space="preserve"> </w:t>
      </w:r>
    </w:p>
    <w:p w14:paraId="1DF3D393" w14:textId="77777777" w:rsidR="003F0DB8" w:rsidRDefault="00000000">
      <w:pPr>
        <w:numPr>
          <w:ilvl w:val="0"/>
          <w:numId w:val="76"/>
        </w:numPr>
        <w:ind w:right="5" w:hanging="284"/>
      </w:pPr>
      <w:r>
        <w:t xml:space="preserve">Excessive permanent Owner assignments exist across subscriptions, a structural standing-privilege problem. </w:t>
      </w:r>
    </w:p>
    <w:p w14:paraId="2E085DFC" w14:textId="77777777" w:rsidR="003F0DB8" w:rsidRDefault="00000000">
      <w:pPr>
        <w:numPr>
          <w:ilvl w:val="0"/>
          <w:numId w:val="76"/>
        </w:numPr>
        <w:ind w:right="5" w:hanging="284"/>
      </w:pPr>
      <w:r>
        <w:t xml:space="preserve">Classic Administrators bypass RBAC entirely, a legacy bypass. </w:t>
      </w:r>
    </w:p>
    <w:p w14:paraId="120A4D23" w14:textId="77777777" w:rsidR="003F0DB8" w:rsidRDefault="00000000">
      <w:pPr>
        <w:numPr>
          <w:ilvl w:val="0"/>
          <w:numId w:val="76"/>
        </w:numPr>
        <w:ind w:right="5" w:hanging="284"/>
      </w:pPr>
      <w:r>
        <w:t xml:space="preserve">Developers hold permanent Contributor on Production, sustaining Click-Ops in production. </w:t>
      </w:r>
    </w:p>
    <w:p w14:paraId="303E0139" w14:textId="77777777" w:rsidR="003F0DB8" w:rsidRDefault="00000000">
      <w:pPr>
        <w:numPr>
          <w:ilvl w:val="0"/>
          <w:numId w:val="76"/>
        </w:numPr>
        <w:ind w:right="5" w:hanging="284"/>
      </w:pPr>
      <w:r>
        <w:t xml:space="preserve">Multiple subscriptions have more than three Owners, leaving them over-provisioned. </w:t>
      </w:r>
    </w:p>
    <w:p w14:paraId="55C1A273" w14:textId="77777777" w:rsidR="003F0DB8" w:rsidRDefault="00000000">
      <w:pPr>
        <w:numPr>
          <w:ilvl w:val="0"/>
          <w:numId w:val="76"/>
        </w:numPr>
        <w:ind w:right="5" w:hanging="284"/>
      </w:pPr>
      <w:r>
        <w:t xml:space="preserve">Individual users carry a high average of role assignments, some with twenty or more, indicating privilege accumulation. </w:t>
      </w:r>
    </w:p>
    <w:p w14:paraId="0081FF35" w14:textId="77777777" w:rsidR="003F0DB8" w:rsidRDefault="00000000">
      <w:pPr>
        <w:numPr>
          <w:ilvl w:val="0"/>
          <w:numId w:val="76"/>
        </w:numPr>
        <w:ind w:right="5" w:hanging="284"/>
      </w:pPr>
      <w:r>
        <w:t xml:space="preserve">Key Vault RBAC is scoped at subscription or management-group level rather than the vault, over-scoping access. </w:t>
      </w:r>
    </w:p>
    <w:p w14:paraId="1628372C" w14:textId="77777777" w:rsidR="003F0DB8" w:rsidRDefault="00000000">
      <w:pPr>
        <w:numPr>
          <w:ilvl w:val="0"/>
          <w:numId w:val="76"/>
        </w:numPr>
        <w:ind w:right="5" w:hanging="284"/>
      </w:pPr>
      <w:r>
        <w:t xml:space="preserve">The bootstrap subscriptions inherit no management-group policy or RBAC, leaving them fully unconstrained. </w:t>
      </w:r>
    </w:p>
    <w:p w14:paraId="1FD95F31" w14:textId="77777777" w:rsidR="003F0DB8" w:rsidRDefault="00000000">
      <w:pPr>
        <w:numPr>
          <w:ilvl w:val="0"/>
          <w:numId w:val="76"/>
        </w:numPr>
        <w:spacing w:after="78"/>
        <w:ind w:right="5" w:hanging="284"/>
      </w:pPr>
      <w:r>
        <w:t xml:space="preserve">Service principals hold admin role assignments at scale, a machine-identity over-privilege. </w:t>
      </w:r>
    </w:p>
    <w:p w14:paraId="71258F5C" w14:textId="77777777" w:rsidR="003F0DB8" w:rsidRDefault="00000000">
      <w:pPr>
        <w:spacing w:after="110" w:line="269" w:lineRule="auto"/>
        <w:ind w:left="10" w:right="3" w:hanging="10"/>
      </w:pPr>
      <w:r>
        <w:rPr>
          <w:sz w:val="24"/>
        </w:rPr>
        <w:t xml:space="preserve">Least privilege is the weakest of the three principles in the current estate. Standing privilege is structural rather than incidental. It cannot be resolved while Click-Ops in production remains the operating model, Classic Administrators persist, and Owner grants are not subject to deliberate rationalisation. </w:t>
      </w:r>
    </w:p>
    <w:p w14:paraId="48F9B997" w14:textId="77777777" w:rsidR="003F0DB8" w:rsidRDefault="00000000">
      <w:pPr>
        <w:pStyle w:val="Heading3"/>
        <w:ind w:left="-5"/>
      </w:pPr>
      <w:r>
        <w:t>Assume Breach</w:t>
      </w:r>
      <w:r>
        <w:rPr>
          <w:b w:val="0"/>
        </w:rPr>
        <w:t xml:space="preserve"> </w:t>
      </w:r>
      <w:r>
        <w:rPr>
          <w:b w:val="0"/>
          <w:i/>
        </w:rPr>
        <w:t>(minimise blast radius, segment access, and verify end to end)</w:t>
      </w:r>
      <w:r>
        <w:rPr>
          <w:b w:val="0"/>
        </w:rPr>
        <w:t xml:space="preserve"> </w:t>
      </w:r>
    </w:p>
    <w:p w14:paraId="2F51AD26" w14:textId="77777777" w:rsidR="003F0DB8" w:rsidRDefault="00000000">
      <w:pPr>
        <w:numPr>
          <w:ilvl w:val="0"/>
          <w:numId w:val="77"/>
        </w:numPr>
        <w:ind w:right="5" w:hanging="284"/>
      </w:pPr>
      <w:r>
        <w:t xml:space="preserve">Network segmentation is reactive rather than designed, so lateral movement is constrained by chance rather than by policy. </w:t>
      </w:r>
    </w:p>
    <w:p w14:paraId="6B6C55BB" w14:textId="77777777" w:rsidR="003F0DB8" w:rsidRDefault="00000000">
      <w:pPr>
        <w:numPr>
          <w:ilvl w:val="0"/>
          <w:numId w:val="77"/>
        </w:numPr>
        <w:ind w:right="5" w:hanging="284"/>
      </w:pPr>
      <w:r>
        <w:t xml:space="preserve">Standing Owner and Contributor grants and active Classic Administrators give any compromised identity a wide blast radius. </w:t>
      </w:r>
    </w:p>
    <w:p w14:paraId="3621D95A" w14:textId="77777777" w:rsidR="003F0DB8" w:rsidRDefault="00000000">
      <w:pPr>
        <w:numPr>
          <w:ilvl w:val="0"/>
          <w:numId w:val="77"/>
        </w:numPr>
        <w:ind w:right="5" w:hanging="284"/>
      </w:pPr>
      <w:r>
        <w:t xml:space="preserve">Encryption is inconsistent across data tiers, with the AI workloads holding the most sensitive data on the weakest key model. </w:t>
      </w:r>
    </w:p>
    <w:p w14:paraId="4B9C1342" w14:textId="77777777" w:rsidR="003F0DB8" w:rsidRDefault="00000000">
      <w:pPr>
        <w:numPr>
          <w:ilvl w:val="0"/>
          <w:numId w:val="77"/>
        </w:numPr>
        <w:spacing w:after="46"/>
        <w:ind w:right="5" w:hanging="284"/>
      </w:pPr>
      <w:r>
        <w:t xml:space="preserve">Key Vaults are largely reachable from the public internet, many lack Purge Protection, and diagnostic logging is inconsistent, so a leaked secret may be neither contained nor traceable. </w:t>
      </w:r>
    </w:p>
    <w:p w14:paraId="3D9BA258" w14:textId="77777777" w:rsidR="003F0DB8" w:rsidRDefault="00000000">
      <w:pPr>
        <w:numPr>
          <w:ilvl w:val="0"/>
          <w:numId w:val="77"/>
        </w:numPr>
        <w:ind w:right="5" w:hanging="284"/>
      </w:pPr>
      <w:r>
        <w:t xml:space="preserve">Break-glass discipline is informal, and one B2C tenant is potentially locked out with no break-glass cover, so there is no tested recovery path. </w:t>
      </w:r>
    </w:p>
    <w:p w14:paraId="16AFDBDE" w14:textId="77777777" w:rsidR="003F0DB8" w:rsidRDefault="00000000">
      <w:pPr>
        <w:numPr>
          <w:ilvl w:val="0"/>
          <w:numId w:val="77"/>
        </w:numPr>
        <w:spacing w:after="198" w:line="285" w:lineRule="auto"/>
        <w:ind w:right="5" w:hanging="284"/>
      </w:pPr>
      <w:r>
        <w:t xml:space="preserve">Backup coverage is uneven, with suspended and failed items and Cross-Region Restore disabled, so recovery from a destructive event is not assured. </w:t>
      </w:r>
      <w:r>
        <w:rPr>
          <w:sz w:val="24"/>
        </w:rPr>
        <w:t xml:space="preserve">Assume Breach is undermined by wide standing privilege, weak segmentation and uneven data protection. The detective layer would observe a breach, but the estate does little to limit how far it could spread or to guarantee recovery. </w:t>
      </w:r>
    </w:p>
    <w:p w14:paraId="73929B94" w14:textId="77777777" w:rsidR="003F0DB8" w:rsidRDefault="00000000">
      <w:pPr>
        <w:spacing w:after="0" w:line="259" w:lineRule="auto"/>
        <w:ind w:left="0" w:firstLine="0"/>
      </w:pPr>
      <w:r>
        <w:rPr>
          <w:sz w:val="24"/>
        </w:rPr>
        <w:lastRenderedPageBreak/>
        <w:t xml:space="preserve"> </w:t>
      </w:r>
      <w:r>
        <w:rPr>
          <w:sz w:val="24"/>
        </w:rPr>
        <w:tab/>
      </w:r>
      <w:r>
        <w:rPr>
          <w:b/>
          <w:sz w:val="32"/>
        </w:rPr>
        <w:t xml:space="preserve"> </w:t>
      </w:r>
    </w:p>
    <w:p w14:paraId="5A6764FD" w14:textId="77777777" w:rsidR="003F0DB8" w:rsidRDefault="00000000">
      <w:pPr>
        <w:pStyle w:val="Heading1"/>
        <w:spacing w:after="86"/>
        <w:ind w:left="-5"/>
      </w:pPr>
      <w:bookmarkStart w:id="56" w:name="_Toc96838"/>
      <w:r>
        <w:rPr>
          <w:sz w:val="32"/>
        </w:rPr>
        <w:t xml:space="preserve">Platform Operations and Observability </w:t>
      </w:r>
      <w:bookmarkEnd w:id="56"/>
    </w:p>
    <w:p w14:paraId="4B9A3139" w14:textId="77777777" w:rsidR="003F0DB8" w:rsidRDefault="00000000">
      <w:pPr>
        <w:pStyle w:val="Heading1"/>
        <w:ind w:left="-5"/>
      </w:pPr>
      <w:bookmarkStart w:id="57" w:name="_Toc96839"/>
      <w:r>
        <w:t xml:space="preserve">Current State Overview </w:t>
      </w:r>
      <w:bookmarkEnd w:id="57"/>
    </w:p>
    <w:p w14:paraId="755F4673" w14:textId="77777777" w:rsidR="003F0DB8" w:rsidRDefault="00000000">
      <w:pPr>
        <w:spacing w:after="210" w:line="269" w:lineRule="auto"/>
        <w:ind w:left="10" w:right="3" w:hanging="10"/>
      </w:pPr>
      <w:r>
        <w:rPr>
          <w:sz w:val="24"/>
        </w:rPr>
        <w:t xml:space="preserve">The operations estate is fragmented along the same fault line as governance. There is no single Log Analytics workspace. There is no single dashboard. Alerts and action groups are duplicated, disabled or routed inconsistently. Application Insights coverage is patchy and ownership is unclear. The platform team is, by default, the "everything team" for legacy workloads. Sentinel and Defender for Cloud sit on top of this fragmented foundation and inherit its blind spots. </w:t>
      </w:r>
    </w:p>
    <w:p w14:paraId="631E9573" w14:textId="77777777" w:rsidR="003F0DB8" w:rsidRDefault="00000000">
      <w:pPr>
        <w:pStyle w:val="Heading1"/>
        <w:ind w:left="-5"/>
      </w:pPr>
      <w:bookmarkStart w:id="58" w:name="_Toc96840"/>
      <w:r>
        <w:t xml:space="preserve">Azure Monitor and Log Analytics </w:t>
      </w:r>
      <w:bookmarkEnd w:id="58"/>
    </w:p>
    <w:p w14:paraId="2758375E" w14:textId="77777777" w:rsidR="003F0DB8" w:rsidRDefault="00000000">
      <w:pPr>
        <w:pStyle w:val="Heading3"/>
        <w:spacing w:after="190"/>
        <w:ind w:left="-5"/>
      </w:pPr>
      <w:r>
        <w:t>Workspace Proliferation</w:t>
      </w:r>
      <w:r>
        <w:rPr>
          <w:b w:val="0"/>
        </w:rPr>
        <w:t xml:space="preserve"> </w:t>
      </w:r>
    </w:p>
    <w:p w14:paraId="7E50DBC6" w14:textId="77777777" w:rsidR="003F0DB8" w:rsidRDefault="00000000">
      <w:pPr>
        <w:numPr>
          <w:ilvl w:val="0"/>
          <w:numId w:val="78"/>
        </w:numPr>
        <w:ind w:right="5" w:hanging="284"/>
      </w:pPr>
      <w:r>
        <w:t xml:space="preserve">Log Analytics workspaces have proliferated with no logical structure. Some subscriptions have more than one. </w:t>
      </w:r>
    </w:p>
    <w:p w14:paraId="7F0C37D5" w14:textId="77777777" w:rsidR="003F0DB8" w:rsidRDefault="00000000">
      <w:pPr>
        <w:numPr>
          <w:ilvl w:val="0"/>
          <w:numId w:val="78"/>
        </w:numPr>
        <w:ind w:right="5" w:hanging="284"/>
      </w:pPr>
      <w:r>
        <w:t xml:space="preserve">This drives duplicated ingestion costs, fragmented querying, and gaps in visibility. </w:t>
      </w:r>
    </w:p>
    <w:p w14:paraId="12C6DECB" w14:textId="77777777" w:rsidR="003F0DB8" w:rsidRDefault="00000000">
      <w:pPr>
        <w:numPr>
          <w:ilvl w:val="0"/>
          <w:numId w:val="78"/>
        </w:numPr>
        <w:spacing w:after="78"/>
        <w:ind w:right="5" w:hanging="284"/>
      </w:pPr>
      <w:r>
        <w:t xml:space="preserve">A significant proportion of Application Insights instances are not linked to any workspace, creating data islands invisible to the SOC. </w:t>
      </w:r>
    </w:p>
    <w:p w14:paraId="725DC153" w14:textId="77777777" w:rsidR="003F0DB8" w:rsidRDefault="00000000">
      <w:pPr>
        <w:spacing w:after="121" w:line="259" w:lineRule="auto"/>
        <w:ind w:left="0" w:firstLine="0"/>
      </w:pPr>
      <w:r>
        <w:rPr>
          <w:b/>
          <w:sz w:val="24"/>
        </w:rPr>
        <w:t xml:space="preserve"> </w:t>
      </w:r>
    </w:p>
    <w:p w14:paraId="11CE741B" w14:textId="77777777" w:rsidR="003F0DB8" w:rsidRDefault="00000000">
      <w:pPr>
        <w:pStyle w:val="Heading3"/>
        <w:spacing w:after="190"/>
        <w:ind w:left="-5"/>
      </w:pPr>
      <w:r>
        <w:t>Retention and Ingestion Cost</w:t>
      </w:r>
      <w:r>
        <w:rPr>
          <w:b w:val="0"/>
        </w:rPr>
        <w:t xml:space="preserve"> </w:t>
      </w:r>
    </w:p>
    <w:p w14:paraId="3848F977" w14:textId="77777777" w:rsidR="003F0DB8" w:rsidRDefault="00000000">
      <w:pPr>
        <w:numPr>
          <w:ilvl w:val="0"/>
          <w:numId w:val="79"/>
        </w:numPr>
        <w:ind w:right="5" w:hanging="284"/>
      </w:pPr>
      <w:r>
        <w:t xml:space="preserve">Default retention is 30 days on most production workspaces, below the organisation's own 90-day policy.  </w:t>
      </w:r>
    </w:p>
    <w:p w14:paraId="629712E9" w14:textId="77777777" w:rsidR="003F0DB8" w:rsidRDefault="00000000">
      <w:pPr>
        <w:numPr>
          <w:ilvl w:val="0"/>
          <w:numId w:val="79"/>
        </w:numPr>
        <w:ind w:right="5" w:hanging="284"/>
      </w:pPr>
      <w:r>
        <w:t xml:space="preserve">Enforcement is inconsistent. Several resources sit well below the policy minimum.  </w:t>
      </w:r>
    </w:p>
    <w:p w14:paraId="58BD55D3" w14:textId="77777777" w:rsidR="003F0DB8" w:rsidRDefault="00000000">
      <w:pPr>
        <w:numPr>
          <w:ilvl w:val="0"/>
          <w:numId w:val="79"/>
        </w:numPr>
        <w:spacing w:after="78"/>
        <w:ind w:right="5" w:hanging="284"/>
      </w:pPr>
      <w:r>
        <w:t xml:space="preserve">Ingestion cost outweighs retention by roughly 10x. Reducing retention without an ingestion contract is a false economy. </w:t>
      </w:r>
    </w:p>
    <w:p w14:paraId="7292700B" w14:textId="77777777" w:rsidR="003F0DB8" w:rsidRDefault="00000000">
      <w:pPr>
        <w:spacing w:after="125" w:line="259" w:lineRule="auto"/>
        <w:ind w:left="0" w:firstLine="0"/>
      </w:pPr>
      <w:r>
        <w:rPr>
          <w:b/>
          <w:sz w:val="24"/>
        </w:rPr>
        <w:t xml:space="preserve"> </w:t>
      </w:r>
    </w:p>
    <w:p w14:paraId="76E14184" w14:textId="77777777" w:rsidR="003F0DB8" w:rsidRDefault="00000000">
      <w:pPr>
        <w:pStyle w:val="Heading3"/>
        <w:ind w:left="-5"/>
      </w:pPr>
      <w:r>
        <w:t xml:space="preserve">Diagnostic Settings </w:t>
      </w:r>
    </w:p>
    <w:p w14:paraId="3A9B57F8" w14:textId="77777777" w:rsidR="003F0DB8" w:rsidRDefault="00000000">
      <w:pPr>
        <w:numPr>
          <w:ilvl w:val="0"/>
          <w:numId w:val="80"/>
        </w:numPr>
        <w:ind w:right="5" w:hanging="284"/>
      </w:pPr>
      <w:r>
        <w:t xml:space="preserve">The majority of resources have no diagnostic settings configured. </w:t>
      </w:r>
    </w:p>
    <w:p w14:paraId="748A9809" w14:textId="77777777" w:rsidR="003F0DB8" w:rsidRDefault="00000000">
      <w:pPr>
        <w:numPr>
          <w:ilvl w:val="0"/>
          <w:numId w:val="80"/>
        </w:numPr>
        <w:ind w:right="5" w:hanging="284"/>
      </w:pPr>
      <w:r>
        <w:t xml:space="preserve">Without diagnostic settings the SOC has no ingestion path, Defender alerts cannot correlate against logs, and forensic investigation is severely degraded. </w:t>
      </w:r>
    </w:p>
    <w:p w14:paraId="03F79466" w14:textId="77777777" w:rsidR="003F0DB8" w:rsidRDefault="00000000">
      <w:pPr>
        <w:numPr>
          <w:ilvl w:val="0"/>
          <w:numId w:val="80"/>
        </w:numPr>
        <w:ind w:right="5" w:hanging="284"/>
      </w:pPr>
      <w:r>
        <w:t xml:space="preserve">This is recoverable via a single policy applied at Management Group scope. </w:t>
      </w:r>
    </w:p>
    <w:p w14:paraId="4C04BBBC" w14:textId="77777777" w:rsidR="003F0DB8" w:rsidRDefault="00000000">
      <w:pPr>
        <w:spacing w:after="0" w:line="259" w:lineRule="auto"/>
        <w:ind w:left="852" w:firstLine="0"/>
      </w:pPr>
      <w:r>
        <w:t xml:space="preserve"> </w:t>
      </w:r>
    </w:p>
    <w:p w14:paraId="6CA2FB5A" w14:textId="77777777" w:rsidR="003F0DB8" w:rsidRDefault="00000000">
      <w:pPr>
        <w:spacing w:after="0" w:line="259" w:lineRule="auto"/>
        <w:ind w:left="852" w:firstLine="0"/>
      </w:pPr>
      <w:r>
        <w:t xml:space="preserve"> </w:t>
      </w:r>
    </w:p>
    <w:p w14:paraId="4391A6A7" w14:textId="77777777" w:rsidR="003F0DB8" w:rsidRDefault="00000000">
      <w:pPr>
        <w:pStyle w:val="Heading1"/>
        <w:ind w:left="-5"/>
      </w:pPr>
      <w:bookmarkStart w:id="59" w:name="_Toc96841"/>
      <w:r>
        <w:lastRenderedPageBreak/>
        <w:t xml:space="preserve">Alerting </w:t>
      </w:r>
      <w:bookmarkEnd w:id="59"/>
    </w:p>
    <w:p w14:paraId="45B3315B" w14:textId="77777777" w:rsidR="003F0DB8" w:rsidRDefault="00000000">
      <w:pPr>
        <w:pStyle w:val="Heading3"/>
        <w:spacing w:after="194"/>
        <w:ind w:left="-5"/>
      </w:pPr>
      <w:r>
        <w:t>Alert Volume and Severity</w:t>
      </w:r>
      <w:r>
        <w:rPr>
          <w:b w:val="0"/>
        </w:rPr>
        <w:t xml:space="preserve"> </w:t>
      </w:r>
    </w:p>
    <w:p w14:paraId="06793DFD" w14:textId="77777777" w:rsidR="003F0DB8" w:rsidRDefault="00000000">
      <w:pPr>
        <w:numPr>
          <w:ilvl w:val="0"/>
          <w:numId w:val="81"/>
        </w:numPr>
        <w:ind w:right="5" w:hanging="284"/>
      </w:pPr>
      <w:r>
        <w:t xml:space="preserve">A large number of alert rules are deployed, but a notable proportion are disabled with no record of why.  </w:t>
      </w:r>
    </w:p>
    <w:p w14:paraId="744BC2C9" w14:textId="77777777" w:rsidR="003F0DB8" w:rsidRDefault="00000000">
      <w:pPr>
        <w:numPr>
          <w:ilvl w:val="0"/>
          <w:numId w:val="81"/>
        </w:numPr>
        <w:ind w:right="5" w:hanging="284"/>
      </w:pPr>
      <w:r>
        <w:t xml:space="preserve">Several enabled rules have no action group attached. They log but never notify.  </w:t>
      </w:r>
    </w:p>
    <w:p w14:paraId="197C9BD9" w14:textId="77777777" w:rsidR="003F0DB8" w:rsidRDefault="00000000">
      <w:pPr>
        <w:numPr>
          <w:ilvl w:val="0"/>
          <w:numId w:val="81"/>
        </w:numPr>
        <w:spacing w:after="78"/>
        <w:ind w:right="5" w:hanging="284"/>
      </w:pPr>
      <w:r>
        <w:t xml:space="preserve">High-severity alerts dominate the rule set with no graduated escalation model. The result is alert fatigue with poor signal-to-noise. </w:t>
      </w:r>
    </w:p>
    <w:p w14:paraId="5C738D00" w14:textId="77777777" w:rsidR="003F0DB8" w:rsidRDefault="00000000">
      <w:pPr>
        <w:spacing w:after="125" w:line="259" w:lineRule="auto"/>
        <w:ind w:left="0" w:firstLine="0"/>
      </w:pPr>
      <w:r>
        <w:rPr>
          <w:b/>
          <w:sz w:val="24"/>
        </w:rPr>
        <w:t xml:space="preserve"> </w:t>
      </w:r>
    </w:p>
    <w:p w14:paraId="57F5298B" w14:textId="77777777" w:rsidR="003F0DB8" w:rsidRDefault="00000000">
      <w:pPr>
        <w:pStyle w:val="Heading3"/>
        <w:spacing w:after="190"/>
        <w:ind w:left="-5"/>
      </w:pPr>
      <w:r>
        <w:t>Action Group Routing</w:t>
      </w:r>
      <w:r>
        <w:rPr>
          <w:b w:val="0"/>
        </w:rPr>
        <w:t xml:space="preserve"> </w:t>
      </w:r>
    </w:p>
    <w:p w14:paraId="73478C97" w14:textId="77777777" w:rsidR="003F0DB8" w:rsidRDefault="00000000">
      <w:pPr>
        <w:numPr>
          <w:ilvl w:val="0"/>
          <w:numId w:val="82"/>
        </w:numPr>
        <w:ind w:right="5" w:hanging="284"/>
      </w:pPr>
      <w:r>
        <w:t xml:space="preserve">Action groups are spread across the estate with inconsistent configuration.  </w:t>
      </w:r>
    </w:p>
    <w:p w14:paraId="1AE9678E" w14:textId="77777777" w:rsidR="003F0DB8" w:rsidRDefault="00000000">
      <w:pPr>
        <w:numPr>
          <w:ilvl w:val="0"/>
          <w:numId w:val="82"/>
        </w:numPr>
        <w:ind w:right="5" w:hanging="284"/>
      </w:pPr>
      <w:r>
        <w:t xml:space="preserve">Some have no receivers configured. They fire into nothing.  </w:t>
      </w:r>
    </w:p>
    <w:p w14:paraId="07367F3E" w14:textId="77777777" w:rsidR="003F0DB8" w:rsidRDefault="00000000">
      <w:pPr>
        <w:numPr>
          <w:ilvl w:val="0"/>
          <w:numId w:val="82"/>
        </w:numPr>
        <w:spacing w:after="46"/>
        <w:ind w:right="5" w:hanging="284"/>
      </w:pPr>
      <w:r>
        <w:t xml:space="preserve">ServiceNow integration relies on generic webhooks rather than the native Azure ITSM connector, weakening schema mapping and removing round-trip acknowledgement.  </w:t>
      </w:r>
    </w:p>
    <w:p w14:paraId="50BC1A08" w14:textId="77777777" w:rsidR="003F0DB8" w:rsidRDefault="00000000">
      <w:pPr>
        <w:numPr>
          <w:ilvl w:val="0"/>
          <w:numId w:val="82"/>
        </w:numPr>
        <w:spacing w:after="79"/>
        <w:ind w:right="5" w:hanging="284"/>
      </w:pPr>
      <w:r>
        <w:t xml:space="preserve">Some action groups point to single individuals with no holiday or sickness cover. </w:t>
      </w:r>
    </w:p>
    <w:p w14:paraId="5B3F7AB3" w14:textId="77777777" w:rsidR="003F0DB8" w:rsidRDefault="00000000">
      <w:pPr>
        <w:spacing w:after="229" w:line="259" w:lineRule="auto"/>
        <w:ind w:left="0" w:firstLine="0"/>
      </w:pPr>
      <w:r>
        <w:rPr>
          <w:sz w:val="24"/>
        </w:rPr>
        <w:t xml:space="preserve"> </w:t>
      </w:r>
    </w:p>
    <w:p w14:paraId="2D52FE0B" w14:textId="77777777" w:rsidR="003F0DB8" w:rsidRDefault="00000000">
      <w:pPr>
        <w:pStyle w:val="Heading1"/>
        <w:ind w:left="-5"/>
      </w:pPr>
      <w:bookmarkStart w:id="60" w:name="_Toc96842"/>
      <w:r>
        <w:t xml:space="preserve">Workload Monitoring </w:t>
      </w:r>
      <w:bookmarkEnd w:id="60"/>
    </w:p>
    <w:p w14:paraId="63E8BDBE" w14:textId="77777777" w:rsidR="003F0DB8" w:rsidRDefault="00000000">
      <w:pPr>
        <w:pStyle w:val="Heading3"/>
        <w:spacing w:after="191"/>
        <w:ind w:left="-5"/>
      </w:pPr>
      <w:r>
        <w:t>Availability Tests</w:t>
      </w:r>
      <w:r>
        <w:rPr>
          <w:b w:val="0"/>
        </w:rPr>
        <w:t xml:space="preserve"> </w:t>
      </w:r>
    </w:p>
    <w:p w14:paraId="72C40261" w14:textId="77777777" w:rsidR="003F0DB8" w:rsidRDefault="00000000">
      <w:pPr>
        <w:numPr>
          <w:ilvl w:val="0"/>
          <w:numId w:val="83"/>
        </w:numPr>
        <w:ind w:right="5" w:hanging="284"/>
      </w:pPr>
      <w:r>
        <w:t xml:space="preserve">Availability tests exist but the majority probe from too few locations to distinguish a real outage from a single-region probe failure.  </w:t>
      </w:r>
    </w:p>
    <w:p w14:paraId="649C33B4" w14:textId="77777777" w:rsidR="003F0DB8" w:rsidRDefault="00000000">
      <w:pPr>
        <w:numPr>
          <w:ilvl w:val="0"/>
          <w:numId w:val="83"/>
        </w:numPr>
        <w:ind w:right="5" w:hanging="284"/>
      </w:pPr>
      <w:r>
        <w:t xml:space="preserve">Cadence is too slow on most tests, giving worst-case detection latency of nearly half an hour.  </w:t>
      </w:r>
    </w:p>
    <w:p w14:paraId="577872F4" w14:textId="77777777" w:rsidR="003F0DB8" w:rsidRDefault="00000000">
      <w:pPr>
        <w:numPr>
          <w:ilvl w:val="0"/>
          <w:numId w:val="83"/>
        </w:numPr>
        <w:ind w:right="5" w:hanging="284"/>
      </w:pPr>
      <w:r>
        <w:t xml:space="preserve">Tests are resource-centric rather than service-centric, with no linkage to SLOs and unclear ownership. </w:t>
      </w:r>
    </w:p>
    <w:p w14:paraId="42DEF06E" w14:textId="77777777" w:rsidR="003F0DB8" w:rsidRDefault="00000000">
      <w:pPr>
        <w:pStyle w:val="Heading3"/>
        <w:spacing w:after="191"/>
        <w:ind w:left="-5"/>
      </w:pPr>
      <w:r>
        <w:t xml:space="preserve">Dashboards </w:t>
      </w:r>
      <w:r>
        <w:rPr>
          <w:b w:val="0"/>
        </w:rPr>
        <w:t xml:space="preserve"> </w:t>
      </w:r>
    </w:p>
    <w:p w14:paraId="7DBA741D" w14:textId="77777777" w:rsidR="003F0DB8" w:rsidRDefault="00000000">
      <w:pPr>
        <w:numPr>
          <w:ilvl w:val="0"/>
          <w:numId w:val="84"/>
        </w:numPr>
        <w:ind w:right="5" w:hanging="284"/>
      </w:pPr>
      <w:r>
        <w:t xml:space="preserve">Dashboards exist but over half carry only auto-generated names with no human-readable title.  </w:t>
      </w:r>
    </w:p>
    <w:p w14:paraId="750579AA" w14:textId="77777777" w:rsidR="003F0DB8" w:rsidRDefault="00000000">
      <w:pPr>
        <w:numPr>
          <w:ilvl w:val="0"/>
          <w:numId w:val="84"/>
        </w:numPr>
        <w:ind w:right="5" w:hanging="284"/>
      </w:pPr>
      <w:r>
        <w:t xml:space="preserve">All are resource-centric rather than service-centric. Dashboards seems to not be deployed via IaC.  </w:t>
      </w:r>
    </w:p>
    <w:p w14:paraId="6E1955C8" w14:textId="77777777" w:rsidR="003F0DB8" w:rsidRDefault="00000000">
      <w:pPr>
        <w:numPr>
          <w:ilvl w:val="0"/>
          <w:numId w:val="84"/>
        </w:numPr>
        <w:spacing w:after="78"/>
        <w:ind w:right="5" w:hanging="284"/>
      </w:pPr>
      <w:r>
        <w:t xml:space="preserve">There is no published "front door" dashboard set per landing zone. </w:t>
      </w:r>
    </w:p>
    <w:p w14:paraId="5CFCD091" w14:textId="77777777" w:rsidR="003F0DB8" w:rsidRDefault="00000000">
      <w:pPr>
        <w:spacing w:after="0" w:line="259" w:lineRule="auto"/>
        <w:ind w:left="0" w:firstLine="0"/>
      </w:pPr>
      <w:r>
        <w:rPr>
          <w:sz w:val="24"/>
        </w:rPr>
        <w:t xml:space="preserve"> </w:t>
      </w:r>
    </w:p>
    <w:p w14:paraId="69DA2EB4" w14:textId="77777777" w:rsidR="003F0DB8" w:rsidRDefault="00000000">
      <w:pPr>
        <w:pStyle w:val="Heading1"/>
        <w:ind w:left="-5"/>
      </w:pPr>
      <w:bookmarkStart w:id="61" w:name="_Toc96843"/>
      <w:r>
        <w:lastRenderedPageBreak/>
        <w:t xml:space="preserve">Security Monitoring </w:t>
      </w:r>
      <w:bookmarkEnd w:id="61"/>
    </w:p>
    <w:p w14:paraId="723E9C09" w14:textId="77777777" w:rsidR="003F0DB8" w:rsidRDefault="00000000">
      <w:pPr>
        <w:numPr>
          <w:ilvl w:val="0"/>
          <w:numId w:val="85"/>
        </w:numPr>
        <w:ind w:right="5" w:hanging="284"/>
      </w:pPr>
      <w:r>
        <w:t xml:space="preserve">Defender for Cloud is active on most subscriptions but a small number are entirely disabled and produce no signal.  </w:t>
      </w:r>
    </w:p>
    <w:p w14:paraId="66F4EDA5" w14:textId="77777777" w:rsidR="003F0DB8" w:rsidRDefault="00000000">
      <w:pPr>
        <w:numPr>
          <w:ilvl w:val="0"/>
          <w:numId w:val="85"/>
        </w:numPr>
        <w:ind w:right="5" w:hanging="284"/>
      </w:pPr>
      <w:r>
        <w:t xml:space="preserve">The majority of subscriptions score below 60% Secure Score.  </w:t>
      </w:r>
    </w:p>
    <w:p w14:paraId="5D4DADD4" w14:textId="77777777" w:rsidR="003F0DB8" w:rsidRDefault="00000000">
      <w:pPr>
        <w:numPr>
          <w:ilvl w:val="0"/>
          <w:numId w:val="85"/>
        </w:numPr>
        <w:spacing w:after="46"/>
        <w:ind w:right="5" w:hanging="284"/>
      </w:pPr>
      <w:r>
        <w:t xml:space="preserve">A large volume of high-severity recommendations remain outstanding, led by permanent privileged roles, internet-exposed applications, and service principals with admin roles.  </w:t>
      </w:r>
    </w:p>
    <w:p w14:paraId="08128485" w14:textId="77777777" w:rsidR="003F0DB8" w:rsidRDefault="00000000">
      <w:pPr>
        <w:numPr>
          <w:ilvl w:val="0"/>
          <w:numId w:val="85"/>
        </w:numPr>
        <w:spacing w:after="78"/>
        <w:ind w:right="5" w:hanging="284"/>
      </w:pPr>
      <w:r>
        <w:t xml:space="preserve">No formal logging and monitoring standard has been published. </w:t>
      </w:r>
    </w:p>
    <w:p w14:paraId="4972A860" w14:textId="77777777" w:rsidR="003F0DB8" w:rsidRDefault="00000000">
      <w:pPr>
        <w:spacing w:after="229" w:line="259" w:lineRule="auto"/>
        <w:ind w:left="0" w:firstLine="0"/>
      </w:pPr>
      <w:r>
        <w:rPr>
          <w:sz w:val="24"/>
        </w:rPr>
        <w:t xml:space="preserve"> </w:t>
      </w:r>
    </w:p>
    <w:p w14:paraId="4EB23E58" w14:textId="77777777" w:rsidR="003F0DB8" w:rsidRDefault="00000000">
      <w:pPr>
        <w:pStyle w:val="Heading1"/>
        <w:ind w:left="-5"/>
      </w:pPr>
      <w:bookmarkStart w:id="62" w:name="_Toc96844"/>
      <w:r>
        <w:t xml:space="preserve">Operational Integration </w:t>
      </w:r>
      <w:bookmarkEnd w:id="62"/>
    </w:p>
    <w:p w14:paraId="270E9D26" w14:textId="77777777" w:rsidR="003F0DB8" w:rsidRDefault="00000000">
      <w:pPr>
        <w:numPr>
          <w:ilvl w:val="0"/>
          <w:numId w:val="86"/>
        </w:numPr>
        <w:ind w:right="5" w:hanging="284"/>
      </w:pPr>
      <w:r>
        <w:t xml:space="preserve">There are no run teams or service teams for most legacy workloads.  </w:t>
      </w:r>
    </w:p>
    <w:p w14:paraId="76AF72D9" w14:textId="77777777" w:rsidR="003F0DB8" w:rsidRDefault="00000000">
      <w:pPr>
        <w:numPr>
          <w:ilvl w:val="0"/>
          <w:numId w:val="86"/>
        </w:numPr>
        <w:ind w:right="5" w:hanging="284"/>
      </w:pPr>
      <w:r>
        <w:t xml:space="preserve">All alerts default to the central platform mailbox.  </w:t>
      </w:r>
    </w:p>
    <w:p w14:paraId="43D5E9F0" w14:textId="77777777" w:rsidR="003F0DB8" w:rsidRDefault="00000000">
      <w:pPr>
        <w:numPr>
          <w:ilvl w:val="0"/>
          <w:numId w:val="86"/>
        </w:numPr>
        <w:ind w:right="5" w:hanging="284"/>
      </w:pPr>
      <w:r>
        <w:t xml:space="preserve">Tier definitions exist but are not linked to operational responsibilities.  </w:t>
      </w:r>
    </w:p>
    <w:p w14:paraId="007C86D1" w14:textId="77777777" w:rsidR="003F0DB8" w:rsidRDefault="00000000">
      <w:pPr>
        <w:numPr>
          <w:ilvl w:val="0"/>
          <w:numId w:val="86"/>
        </w:numPr>
        <w:ind w:right="5" w:hanging="284"/>
      </w:pPr>
      <w:r>
        <w:t xml:space="preserve">Mean-time-to-detect and mean-time-to-resolve are not measured.  </w:t>
      </w:r>
    </w:p>
    <w:p w14:paraId="444C9F3F" w14:textId="77777777" w:rsidR="003F0DB8" w:rsidRDefault="00000000">
      <w:pPr>
        <w:numPr>
          <w:ilvl w:val="0"/>
          <w:numId w:val="86"/>
        </w:numPr>
        <w:ind w:right="5" w:hanging="284"/>
      </w:pPr>
      <w:r>
        <w:t xml:space="preserve">The platform team is overloaded with first-line incident triage that should belong to service owners. </w:t>
      </w:r>
    </w:p>
    <w:p w14:paraId="4A860AE1" w14:textId="77777777" w:rsidR="003F0DB8" w:rsidRDefault="00000000">
      <w:pPr>
        <w:spacing w:after="0" w:line="259" w:lineRule="auto"/>
        <w:ind w:left="0" w:firstLine="0"/>
      </w:pPr>
      <w:r>
        <w:rPr>
          <w:sz w:val="24"/>
        </w:rPr>
        <w:t xml:space="preserve"> </w:t>
      </w:r>
      <w:r>
        <w:rPr>
          <w:sz w:val="24"/>
        </w:rPr>
        <w:tab/>
        <w:t xml:space="preserve"> </w:t>
      </w:r>
      <w:r>
        <w:br w:type="page"/>
      </w:r>
    </w:p>
    <w:p w14:paraId="135C3AA0" w14:textId="77777777" w:rsidR="003F0DB8" w:rsidRDefault="00000000">
      <w:pPr>
        <w:pStyle w:val="Heading1"/>
        <w:ind w:left="-5"/>
      </w:pPr>
      <w:bookmarkStart w:id="63" w:name="_Toc96845"/>
      <w:r>
        <w:lastRenderedPageBreak/>
        <w:t xml:space="preserve">Recommendations </w:t>
      </w:r>
      <w:bookmarkEnd w:id="63"/>
    </w:p>
    <w:p w14:paraId="5441BA48" w14:textId="77777777" w:rsidR="003F0DB8" w:rsidRDefault="00000000">
      <w:pPr>
        <w:pStyle w:val="Heading3"/>
        <w:ind w:left="-5"/>
      </w:pPr>
      <w:r>
        <w:t>Azure Monitor and Log Analytics</w:t>
      </w:r>
      <w:r>
        <w:rPr>
          <w:b w:val="0"/>
        </w:rPr>
        <w:t xml:space="preserve"> </w:t>
      </w:r>
    </w:p>
    <w:p w14:paraId="789431CC" w14:textId="77777777" w:rsidR="003F0DB8" w:rsidRDefault="00000000">
      <w:pPr>
        <w:numPr>
          <w:ilvl w:val="0"/>
          <w:numId w:val="87"/>
        </w:numPr>
        <w:spacing w:after="46"/>
        <w:ind w:right="5" w:hanging="284"/>
      </w:pPr>
      <w:r>
        <w:rPr>
          <w:b/>
        </w:rPr>
        <w:t>Consolidate the Workspace Estate:</w:t>
      </w:r>
      <w:r>
        <w:t xml:space="preserve"> consolidate to a single PLZ-aligned hub workspace plus a Sentinel SOC workspace, deploy AMPLS, and retire legacy workspaces by attrition. </w:t>
      </w:r>
    </w:p>
    <w:p w14:paraId="6847508C" w14:textId="77777777" w:rsidR="003F0DB8" w:rsidRDefault="00000000">
      <w:pPr>
        <w:numPr>
          <w:ilvl w:val="0"/>
          <w:numId w:val="87"/>
        </w:numPr>
        <w:spacing w:after="136"/>
        <w:ind w:right="5" w:hanging="284"/>
      </w:pPr>
      <w:r>
        <w:rPr>
          <w:b/>
        </w:rPr>
        <w:t>Set Unified Ingestion and Retention Standards</w:t>
      </w:r>
      <w:r>
        <w:t xml:space="preserve">: Define an ingestion contract per workload tier and a single, consistent retention model across all workspaces, using archive tiers where workload or compliance needs justify longer retention;  keeping the estate consistent and cost-efficient. </w:t>
      </w:r>
    </w:p>
    <w:p w14:paraId="12EA0B5D" w14:textId="77777777" w:rsidR="003F0DB8" w:rsidRDefault="00000000">
      <w:pPr>
        <w:pStyle w:val="Heading3"/>
        <w:ind w:left="-5"/>
      </w:pPr>
      <w:r>
        <w:t>Alerting</w:t>
      </w:r>
      <w:r>
        <w:rPr>
          <w:b w:val="0"/>
        </w:rPr>
        <w:t xml:space="preserve"> </w:t>
      </w:r>
    </w:p>
    <w:p w14:paraId="37C2B5F8" w14:textId="77777777" w:rsidR="003F0DB8" w:rsidRDefault="00000000">
      <w:pPr>
        <w:numPr>
          <w:ilvl w:val="0"/>
          <w:numId w:val="88"/>
        </w:numPr>
        <w:spacing w:after="46"/>
        <w:ind w:right="5" w:hanging="284"/>
      </w:pPr>
      <w:r>
        <w:rPr>
          <w:b/>
        </w:rPr>
        <w:t>Adopt AMBA Alert Baselines:</w:t>
      </w:r>
      <w:r>
        <w:t xml:space="preserve"> adopt AMBA(Azure Monitor Baseline Alerts)-aligned alert baselines per tier, enforce them via Azure Policy, and separate platform from application alerts. </w:t>
      </w:r>
    </w:p>
    <w:p w14:paraId="43CBB400" w14:textId="77777777" w:rsidR="003F0DB8" w:rsidRDefault="00000000">
      <w:pPr>
        <w:numPr>
          <w:ilvl w:val="0"/>
          <w:numId w:val="88"/>
        </w:numPr>
        <w:ind w:right="5" w:hanging="284"/>
      </w:pPr>
      <w:r>
        <w:rPr>
          <w:b/>
        </w:rPr>
        <w:t>Fix Alert Routing:</w:t>
      </w:r>
      <w:r>
        <w:t xml:space="preserve"> remove external and personal-mailbox recipients and route all production alerts to monitored CQC distribution lists. </w:t>
      </w:r>
    </w:p>
    <w:p w14:paraId="78C533B8" w14:textId="77777777" w:rsidR="003F0DB8" w:rsidRDefault="00000000">
      <w:pPr>
        <w:numPr>
          <w:ilvl w:val="0"/>
          <w:numId w:val="88"/>
        </w:numPr>
        <w:spacing w:after="137"/>
        <w:ind w:right="5" w:hanging="284"/>
      </w:pPr>
      <w:r>
        <w:rPr>
          <w:b/>
        </w:rPr>
        <w:t>Deploy Service Health Alerts:</w:t>
      </w:r>
      <w:r>
        <w:t xml:space="preserve"> deploy a baseline Service Health alert per subscription via policy, since current coverage leaves most teams blind to Microsoft-declared incidents. </w:t>
      </w:r>
    </w:p>
    <w:p w14:paraId="405E243D" w14:textId="77777777" w:rsidR="003F0DB8" w:rsidRDefault="00000000">
      <w:pPr>
        <w:pStyle w:val="Heading3"/>
        <w:ind w:left="-5"/>
      </w:pPr>
      <w:r>
        <w:t>Workload Monitoring</w:t>
      </w:r>
      <w:r>
        <w:rPr>
          <w:b w:val="0"/>
        </w:rPr>
        <w:t xml:space="preserve"> </w:t>
      </w:r>
    </w:p>
    <w:p w14:paraId="76A0FE84" w14:textId="77777777" w:rsidR="003F0DB8" w:rsidRDefault="00000000">
      <w:pPr>
        <w:numPr>
          <w:ilvl w:val="0"/>
          <w:numId w:val="89"/>
        </w:numPr>
        <w:ind w:right="5" w:hanging="284"/>
      </w:pPr>
      <w:r>
        <w:rPr>
          <w:b/>
        </w:rPr>
        <w:t>Strengthen Availability Testing:</w:t>
      </w:r>
      <w:r>
        <w:t xml:space="preserve"> implement Tier-1 multi-region availability testing chained to an action group and a ServiceNow incident. </w:t>
      </w:r>
    </w:p>
    <w:p w14:paraId="1950FD4D" w14:textId="77777777" w:rsidR="003F0DB8" w:rsidRDefault="00000000">
      <w:pPr>
        <w:numPr>
          <w:ilvl w:val="0"/>
          <w:numId w:val="89"/>
        </w:numPr>
        <w:spacing w:after="78"/>
        <w:ind w:right="5" w:hanging="284"/>
      </w:pPr>
      <w:r>
        <w:rPr>
          <w:b/>
        </w:rPr>
        <w:t>Move Dashboards to Code:</w:t>
      </w:r>
      <w:r>
        <w:t xml:space="preserve"> rationalise dashboards into IaC-deployed Workbooks. </w:t>
      </w:r>
    </w:p>
    <w:p w14:paraId="53122373" w14:textId="77777777" w:rsidR="003F0DB8" w:rsidRDefault="00000000">
      <w:pPr>
        <w:spacing w:after="130" w:line="259" w:lineRule="auto"/>
        <w:ind w:left="-5" w:hanging="10"/>
      </w:pPr>
      <w:r>
        <w:rPr>
          <w:b/>
          <w:sz w:val="24"/>
        </w:rPr>
        <w:t>Security Monitoring</w:t>
      </w:r>
      <w:r>
        <w:rPr>
          <w:sz w:val="24"/>
        </w:rPr>
        <w:t xml:space="preserve"> </w:t>
      </w:r>
    </w:p>
    <w:p w14:paraId="79E6E09E" w14:textId="77777777" w:rsidR="003F0DB8" w:rsidRDefault="00000000">
      <w:pPr>
        <w:numPr>
          <w:ilvl w:val="0"/>
          <w:numId w:val="89"/>
        </w:numPr>
        <w:spacing w:after="78"/>
        <w:ind w:right="5" w:hanging="284"/>
      </w:pPr>
      <w:r>
        <w:rPr>
          <w:b/>
        </w:rPr>
        <w:t>Publish a Logging and Monitoring Standard:</w:t>
      </w:r>
      <w:r>
        <w:t xml:space="preserve"> publish a logging and monitoring standard owned by the security operations team. </w:t>
      </w:r>
    </w:p>
    <w:p w14:paraId="2944188B" w14:textId="77777777" w:rsidR="003F0DB8" w:rsidRDefault="00000000">
      <w:pPr>
        <w:pStyle w:val="Heading3"/>
        <w:ind w:left="-5"/>
      </w:pPr>
      <w:r>
        <w:t>Operational Integration</w:t>
      </w:r>
      <w:r>
        <w:rPr>
          <w:b w:val="0"/>
        </w:rPr>
        <w:t xml:space="preserve"> </w:t>
      </w:r>
    </w:p>
    <w:p w14:paraId="346E4BD0" w14:textId="77777777" w:rsidR="003F0DB8" w:rsidRDefault="00000000">
      <w:pPr>
        <w:numPr>
          <w:ilvl w:val="0"/>
          <w:numId w:val="90"/>
        </w:numPr>
        <w:spacing w:after="45"/>
        <w:ind w:right="5" w:hanging="284"/>
      </w:pPr>
      <w:r>
        <w:rPr>
          <w:b/>
        </w:rPr>
        <w:t>Establish Run and Service Teams</w:t>
      </w:r>
      <w:r>
        <w:t xml:space="preserve">: Stand up Run and Service teams per domain with clearly aligned ownership tags and defined escalation SLAs, ensuring every alert has a known owner and a deterministic routing path from signal to responder. </w:t>
      </w:r>
    </w:p>
    <w:p w14:paraId="065F30B3" w14:textId="77777777" w:rsidR="003F0DB8" w:rsidRDefault="00000000">
      <w:pPr>
        <w:numPr>
          <w:ilvl w:val="0"/>
          <w:numId w:val="90"/>
        </w:numPr>
        <w:spacing w:after="46"/>
        <w:ind w:right="5" w:hanging="284"/>
      </w:pPr>
      <w:r>
        <w:rPr>
          <w:b/>
        </w:rPr>
        <w:t>Close the Detection-to-Resolution Loop</w:t>
      </w:r>
      <w:r>
        <w:t xml:space="preserve">: Treat alerting, ITSM integration, and operational response as a single end-to-end flow rather than isolated capabilities,  confirm that each alert maps to an owning team, a routing rule, an action group, and a resolution path, so coverage is consistent and fit for purpose across all domains. </w:t>
      </w:r>
    </w:p>
    <w:p w14:paraId="0CDBF71B" w14:textId="77777777" w:rsidR="003F0DB8" w:rsidRDefault="00000000">
      <w:pPr>
        <w:numPr>
          <w:ilvl w:val="0"/>
          <w:numId w:val="90"/>
        </w:numPr>
        <w:ind w:right="5" w:hanging="284"/>
      </w:pPr>
      <w:r>
        <w:rPr>
          <w:b/>
        </w:rPr>
        <w:t>Standardise ITSM Integration</w:t>
      </w:r>
      <w:r>
        <w:t xml:space="preserve">: Migrate from the current webhook-based ServiceNow integration to the native ServiceNow Azure connector, and govern action groups by consistent naming and ownership. This provides bi-directional incident sync, reliable acknowledgement and resolution timestamps, and removes the fragility of custom webhook handling. </w:t>
      </w:r>
    </w:p>
    <w:p w14:paraId="6DA38380" w14:textId="77777777" w:rsidR="003F0DB8" w:rsidRDefault="00000000">
      <w:pPr>
        <w:spacing w:after="0" w:line="259" w:lineRule="auto"/>
        <w:ind w:left="284" w:firstLine="0"/>
      </w:pPr>
      <w:r>
        <w:lastRenderedPageBreak/>
        <w:t xml:space="preserve"> </w:t>
      </w:r>
      <w:r>
        <w:tab/>
        <w:t xml:space="preserve"> </w:t>
      </w:r>
    </w:p>
    <w:p w14:paraId="34F8A449" w14:textId="77777777" w:rsidR="003F0DB8" w:rsidRDefault="00000000">
      <w:pPr>
        <w:pStyle w:val="Heading1"/>
        <w:spacing w:after="86"/>
        <w:ind w:left="-5"/>
      </w:pPr>
      <w:bookmarkStart w:id="64" w:name="_Toc96846"/>
      <w:r>
        <w:rPr>
          <w:sz w:val="32"/>
        </w:rPr>
        <w:t xml:space="preserve">Workloads </w:t>
      </w:r>
      <w:bookmarkEnd w:id="64"/>
    </w:p>
    <w:p w14:paraId="41C355D1" w14:textId="77777777" w:rsidR="003F0DB8" w:rsidRDefault="00000000">
      <w:pPr>
        <w:pStyle w:val="Heading1"/>
        <w:ind w:left="-5"/>
      </w:pPr>
      <w:bookmarkStart w:id="65" w:name="_Toc96847"/>
      <w:r>
        <w:t xml:space="preserve">Application Services </w:t>
      </w:r>
      <w:bookmarkEnd w:id="65"/>
    </w:p>
    <w:p w14:paraId="7DC00FD5" w14:textId="77777777" w:rsidR="003F0DB8" w:rsidRDefault="00000000">
      <w:pPr>
        <w:spacing w:after="110" w:line="269" w:lineRule="auto"/>
        <w:ind w:left="10" w:right="3" w:hanging="10"/>
      </w:pPr>
      <w:r>
        <w:rPr>
          <w:sz w:val="24"/>
        </w:rPr>
        <w:t xml:space="preserve">Application services (API Management, Function Apps, Logic Apps and App Service Plans) are the PaaS surface through which CQC delivers most of its regulatory services. The estate is large, publicly exposed, carries no platform authentication, and sits entirely on the management-group branches scheduled for retirement, with nothing yet built under the live CQC target. </w:t>
      </w:r>
    </w:p>
    <w:p w14:paraId="4C2C6792" w14:textId="77777777" w:rsidR="003F0DB8" w:rsidRDefault="00000000">
      <w:pPr>
        <w:pStyle w:val="Heading3"/>
        <w:ind w:left="-5"/>
      </w:pPr>
      <w:r>
        <w:t xml:space="preserve">Unauthenticated, Public Integration Gateway </w:t>
      </w:r>
    </w:p>
    <w:p w14:paraId="5E8E3C5B" w14:textId="77777777" w:rsidR="003F0DB8" w:rsidRDefault="00000000">
      <w:pPr>
        <w:numPr>
          <w:ilvl w:val="0"/>
          <w:numId w:val="91"/>
        </w:numPr>
        <w:spacing w:after="45"/>
        <w:ind w:right="5" w:hanging="284"/>
      </w:pPr>
      <w:r>
        <w:t xml:space="preserve">Every API Management instance is publicly reachable with no gateway authentication configured. As the primary external integration surface for CQC's services, this is the estate's highest-priority application security gap. </w:t>
      </w:r>
    </w:p>
    <w:p w14:paraId="11AE539E" w14:textId="77777777" w:rsidR="003F0DB8" w:rsidRDefault="00000000">
      <w:pPr>
        <w:numPr>
          <w:ilvl w:val="0"/>
          <w:numId w:val="91"/>
        </w:numPr>
        <w:spacing w:after="137"/>
        <w:ind w:right="5" w:hanging="284"/>
      </w:pPr>
      <w:r>
        <w:t xml:space="preserve">Premium capacity is spread across non-production environments, while a production workload runs on a Developer tier that carries no service-level guarantee. The whole footprint sits on the retiring hierarchies rather than the live target. </w:t>
      </w:r>
    </w:p>
    <w:p w14:paraId="67CA7EBB" w14:textId="77777777" w:rsidR="003F0DB8" w:rsidRDefault="00000000">
      <w:pPr>
        <w:pStyle w:val="Heading3"/>
        <w:ind w:left="-5"/>
      </w:pPr>
      <w:r>
        <w:t xml:space="preserve">Open Function App Estate </w:t>
      </w:r>
    </w:p>
    <w:p w14:paraId="5E6CBDD3" w14:textId="77777777" w:rsidR="003F0DB8" w:rsidRDefault="00000000">
      <w:pPr>
        <w:numPr>
          <w:ilvl w:val="0"/>
          <w:numId w:val="92"/>
        </w:numPr>
        <w:spacing w:after="46"/>
        <w:ind w:right="5" w:hanging="284"/>
      </w:pPr>
      <w:r>
        <w:t xml:space="preserve">The Function App estate is the largest serverless footprint in the tenant, and almost all of it is open to the public internet with no platform authentication on any app. Access depends entirely on long-lived function keys, with no conditional access and no audit trail. </w:t>
      </w:r>
    </w:p>
    <w:p w14:paraId="0CBB2517" w14:textId="77777777" w:rsidR="003F0DB8" w:rsidRDefault="00000000">
      <w:pPr>
        <w:numPr>
          <w:ilvl w:val="0"/>
          <w:numId w:val="92"/>
        </w:numPr>
        <w:spacing w:after="78"/>
        <w:ind w:right="5" w:hanging="284"/>
      </w:pPr>
      <w:r>
        <w:t xml:space="preserve">Private inbound isolation is effectively absent, and no app carries a health-check path for platform-level liveness detection. </w:t>
      </w:r>
    </w:p>
    <w:p w14:paraId="028AAA3E" w14:textId="77777777" w:rsidR="003F0DB8" w:rsidRDefault="00000000">
      <w:pPr>
        <w:pStyle w:val="Heading3"/>
        <w:ind w:left="-5"/>
      </w:pPr>
      <w:r>
        <w:t xml:space="preserve">Logic Apps Split Risk Profile </w:t>
      </w:r>
    </w:p>
    <w:p w14:paraId="1CB1B98F" w14:textId="77777777" w:rsidR="003F0DB8" w:rsidRDefault="00000000">
      <w:pPr>
        <w:spacing w:after="137"/>
        <w:ind w:right="5"/>
      </w:pPr>
      <w:r>
        <w:rPr>
          <w:rFonts w:ascii="Segoe UI Symbol" w:eastAsia="Segoe UI Symbol" w:hAnsi="Segoe UI Symbol" w:cs="Segoe UI Symbol"/>
          <w:sz w:val="24"/>
        </w:rPr>
        <w:t>•</w:t>
      </w:r>
      <w:r>
        <w:rPr>
          <w:rFonts w:ascii="Arial" w:eastAsia="Arial" w:hAnsi="Arial" w:cs="Arial"/>
          <w:sz w:val="24"/>
        </w:rPr>
        <w:t xml:space="preserve"> </w:t>
      </w:r>
      <w:r>
        <w:t xml:space="preserve">The Logic App estate spans two hosting models with opposite risk profiles. The multi-tenant Consumption workflows are weak on identity but contained on exposure, gated only by keys carried in the trigger URL. The single-tenant Standard workflows are strong on identity but open on inbound network access, with public reachability near-universal and private isolation effectively absent. </w:t>
      </w:r>
    </w:p>
    <w:p w14:paraId="69285CCB" w14:textId="77777777" w:rsidR="003F0DB8" w:rsidRDefault="00000000">
      <w:pPr>
        <w:pStyle w:val="Heading3"/>
        <w:ind w:left="-5"/>
      </w:pPr>
      <w:r>
        <w:t xml:space="preserve">App Service Plan Sprawl </w:t>
      </w:r>
    </w:p>
    <w:p w14:paraId="4C7CD148" w14:textId="77777777" w:rsidR="003F0DB8" w:rsidRDefault="00000000">
      <w:pPr>
        <w:spacing w:after="137"/>
        <w:ind w:right="5"/>
      </w:pPr>
      <w:r>
        <w:rPr>
          <w:rFonts w:ascii="Segoe UI Symbol" w:eastAsia="Segoe UI Symbol" w:hAnsi="Segoe UI Symbol" w:cs="Segoe UI Symbol"/>
          <w:sz w:val="24"/>
        </w:rPr>
        <w:t>•</w:t>
      </w:r>
      <w:r>
        <w:rPr>
          <w:rFonts w:ascii="Arial" w:eastAsia="Arial" w:hAnsi="Arial" w:cs="Arial"/>
          <w:sz w:val="24"/>
        </w:rPr>
        <w:t xml:space="preserve"> </w:t>
      </w:r>
      <w:r>
        <w:t xml:space="preserve">The plan count is unusually high for the workload it supports, with no SKU standardisation, and shared serverless tiers dominate. Production-facing workloads run on shared plans that carry no reserved compute and cannot be load-tested at sustained peak, several plans host no applications at all, and the entire estate sits on the retiring branches. </w:t>
      </w:r>
    </w:p>
    <w:p w14:paraId="6B758275" w14:textId="77777777" w:rsidR="003F0DB8" w:rsidRDefault="00000000">
      <w:pPr>
        <w:spacing w:after="0" w:line="259" w:lineRule="auto"/>
        <w:ind w:left="0" w:firstLine="0"/>
      </w:pPr>
      <w:r>
        <w:rPr>
          <w:sz w:val="24"/>
        </w:rPr>
        <w:t xml:space="preserve"> </w:t>
      </w:r>
    </w:p>
    <w:p w14:paraId="161AB167" w14:textId="77777777" w:rsidR="003F0DB8" w:rsidRDefault="00000000">
      <w:pPr>
        <w:pStyle w:val="Heading1"/>
        <w:ind w:left="-5"/>
      </w:pPr>
      <w:bookmarkStart w:id="66" w:name="_Toc96848"/>
      <w:r>
        <w:lastRenderedPageBreak/>
        <w:t xml:space="preserve">Storage </w:t>
      </w:r>
      <w:bookmarkEnd w:id="66"/>
    </w:p>
    <w:p w14:paraId="1914694D" w14:textId="77777777" w:rsidR="003F0DB8" w:rsidRDefault="00000000">
      <w:pPr>
        <w:spacing w:after="110" w:line="269" w:lineRule="auto"/>
        <w:ind w:left="10" w:right="3" w:hanging="10"/>
      </w:pPr>
      <w:r>
        <w:rPr>
          <w:sz w:val="24"/>
        </w:rPr>
        <w:t xml:space="preserve">Storage accounts are the single largest source of security non-compliance in the estate. Transport-layer controls are strong, but authentication and network access controls are weak across the majority of accounts. </w:t>
      </w:r>
    </w:p>
    <w:p w14:paraId="3F18813F" w14:textId="77777777" w:rsidR="003F0DB8" w:rsidRDefault="00000000">
      <w:pPr>
        <w:numPr>
          <w:ilvl w:val="0"/>
          <w:numId w:val="93"/>
        </w:numPr>
        <w:spacing w:after="41"/>
        <w:ind w:right="5" w:hanging="284"/>
      </w:pPr>
      <w:r>
        <w:t xml:space="preserve">Over two-thirds of storage accounts still allow shared-key authentication, a legacy access model that bypasses conditional access, MFA, and RBAC scoping. This is the highest-leverage remediation target in the storage domain. </w:t>
      </w:r>
    </w:p>
    <w:p w14:paraId="2A23124C" w14:textId="77777777" w:rsidR="003F0DB8" w:rsidRDefault="00000000">
      <w:pPr>
        <w:numPr>
          <w:ilvl w:val="0"/>
          <w:numId w:val="93"/>
        </w:numPr>
        <w:spacing w:after="45"/>
        <w:ind w:right="5" w:hanging="284"/>
      </w:pPr>
      <w:r>
        <w:t xml:space="preserve">The majority of accounts allow public network access, and a material subset also permits anonymous blob access. A number of accounts breach all three controls simultaneously, representing the most critical exposure found in the assessment. </w:t>
      </w:r>
    </w:p>
    <w:p w14:paraId="1E81C13B" w14:textId="77777777" w:rsidR="003F0DB8" w:rsidRDefault="00000000">
      <w:pPr>
        <w:numPr>
          <w:ilvl w:val="0"/>
          <w:numId w:val="93"/>
        </w:numPr>
        <w:ind w:right="5" w:hanging="284"/>
      </w:pPr>
      <w:r>
        <w:t xml:space="preserve">HTTPS-only and TLS 1.2 are enforced almost universally, which is a strong transport-layer baseline. </w:t>
      </w:r>
    </w:p>
    <w:p w14:paraId="72DEC32E" w14:textId="77777777" w:rsidR="003F0DB8" w:rsidRDefault="00000000">
      <w:pPr>
        <w:numPr>
          <w:ilvl w:val="0"/>
          <w:numId w:val="93"/>
        </w:numPr>
        <w:spacing w:after="46"/>
        <w:ind w:right="5" w:hanging="284"/>
      </w:pPr>
      <w:r>
        <w:t xml:space="preserve">Access tiering is one-dimensional. Nearly all accounts sit on Hot tier with no lifecycle policies in place. Applying cool, cold, and archive tiers to long-lived audit and backup data would reduce ongoing storage costs. </w:t>
      </w:r>
    </w:p>
    <w:p w14:paraId="66F2B83D" w14:textId="77777777" w:rsidR="003F0DB8" w:rsidRDefault="00000000">
      <w:pPr>
        <w:numPr>
          <w:ilvl w:val="0"/>
          <w:numId w:val="93"/>
        </w:numPr>
        <w:spacing w:after="136"/>
        <w:ind w:right="5" w:hanging="284"/>
      </w:pPr>
      <w:r>
        <w:t xml:space="preserve">Spend is concentrated in the Dynamics 365 and VDC subscriptions, where auto-generated function app storage accounts inherit the same insecure default template at scale. </w:t>
      </w:r>
    </w:p>
    <w:p w14:paraId="0892F82C" w14:textId="77777777" w:rsidR="003F0DB8" w:rsidRDefault="00000000">
      <w:pPr>
        <w:spacing w:after="226" w:line="259" w:lineRule="auto"/>
        <w:ind w:left="0" w:firstLine="0"/>
      </w:pPr>
      <w:r>
        <w:rPr>
          <w:sz w:val="24"/>
        </w:rPr>
        <w:t xml:space="preserve"> </w:t>
      </w:r>
    </w:p>
    <w:p w14:paraId="094754B4" w14:textId="77777777" w:rsidR="003F0DB8" w:rsidRDefault="00000000">
      <w:pPr>
        <w:pStyle w:val="Heading1"/>
        <w:ind w:left="-5"/>
      </w:pPr>
      <w:bookmarkStart w:id="67" w:name="_Toc96849"/>
      <w:r>
        <w:t xml:space="preserve">Compute </w:t>
      </w:r>
      <w:bookmarkEnd w:id="67"/>
    </w:p>
    <w:p w14:paraId="10893105" w14:textId="77777777" w:rsidR="003F0DB8" w:rsidRDefault="00000000">
      <w:pPr>
        <w:spacing w:after="110" w:line="269" w:lineRule="auto"/>
        <w:ind w:left="10" w:right="3" w:hanging="10"/>
      </w:pPr>
      <w:r>
        <w:rPr>
          <w:sz w:val="24"/>
        </w:rPr>
        <w:t xml:space="preserve">The virtual machine estate is concentrated in the legacy VDC subscriptions and is well protected at the disk level, but operational governance and backup posture need attention. </w:t>
      </w:r>
    </w:p>
    <w:p w14:paraId="7A2A460F" w14:textId="77777777" w:rsidR="003F0DB8" w:rsidRDefault="00000000">
      <w:pPr>
        <w:numPr>
          <w:ilvl w:val="0"/>
          <w:numId w:val="94"/>
        </w:numPr>
        <w:ind w:right="5" w:hanging="284"/>
      </w:pPr>
      <w:r>
        <w:t xml:space="preserve">Disk encryption is universal across the compute estate, which is the strongest single security signal found in the assessment. </w:t>
      </w:r>
    </w:p>
    <w:p w14:paraId="42CEA4F6" w14:textId="77777777" w:rsidR="003F0DB8" w:rsidRDefault="00000000">
      <w:pPr>
        <w:numPr>
          <w:ilvl w:val="0"/>
          <w:numId w:val="94"/>
        </w:numPr>
        <w:ind w:right="5" w:hanging="284"/>
      </w:pPr>
      <w:r>
        <w:t xml:space="preserve">Public exposure is contained, with only a small number of VMs directly accessible from the internet. </w:t>
      </w:r>
    </w:p>
    <w:p w14:paraId="0C9B406C" w14:textId="77777777" w:rsidR="003F0DB8" w:rsidRDefault="00000000">
      <w:pPr>
        <w:numPr>
          <w:ilvl w:val="0"/>
          <w:numId w:val="94"/>
        </w:numPr>
        <w:ind w:right="5" w:hanging="284"/>
      </w:pPr>
      <w:r>
        <w:t xml:space="preserve">The majority of VMs have no network security group applied at the network interface level, reducing defence in depth on shared subnets. </w:t>
      </w:r>
    </w:p>
    <w:p w14:paraId="3B03148D" w14:textId="77777777" w:rsidR="003F0DB8" w:rsidRDefault="00000000">
      <w:pPr>
        <w:numPr>
          <w:ilvl w:val="0"/>
          <w:numId w:val="94"/>
        </w:numPr>
        <w:spacing w:after="46"/>
        <w:ind w:right="5" w:hanging="284"/>
      </w:pPr>
      <w:r>
        <w:t xml:space="preserve">Over a quarter of the fleet runs legacy VM families (v2 and v3). Modernising to v5 would deliver meaningful price-performance improvements with no application changes in most cases. </w:t>
      </w:r>
    </w:p>
    <w:p w14:paraId="00382A3C" w14:textId="77777777" w:rsidR="003F0DB8" w:rsidRDefault="00000000">
      <w:pPr>
        <w:numPr>
          <w:ilvl w:val="0"/>
          <w:numId w:val="94"/>
        </w:numPr>
        <w:spacing w:after="46"/>
        <w:ind w:right="5" w:hanging="284"/>
      </w:pPr>
      <w:r>
        <w:t xml:space="preserve">Backup coverage is inconsistent. A significant proportion of protected items are in a suspended or stopped state, and a number of recent backups report as unhealthy or failed. Production VMs without successful recent backups represent a compliance risk. </w:t>
      </w:r>
    </w:p>
    <w:p w14:paraId="05B8FE71" w14:textId="77777777" w:rsidR="003F0DB8" w:rsidRDefault="00000000">
      <w:pPr>
        <w:numPr>
          <w:ilvl w:val="0"/>
          <w:numId w:val="94"/>
        </w:numPr>
        <w:spacing w:after="240"/>
        <w:ind w:right="5" w:hanging="284"/>
      </w:pPr>
      <w:r>
        <w:t xml:space="preserve">Workload tier tagging is largely absent, making it difficult to apply differential patching, backup retention, or incident escalation policies based on criticality. </w:t>
      </w:r>
    </w:p>
    <w:p w14:paraId="2505E2D6" w14:textId="77777777" w:rsidR="003F0DB8" w:rsidRDefault="00000000">
      <w:pPr>
        <w:pStyle w:val="Heading1"/>
        <w:ind w:left="-5"/>
      </w:pPr>
      <w:bookmarkStart w:id="68" w:name="_Toc96850"/>
      <w:r>
        <w:lastRenderedPageBreak/>
        <w:t xml:space="preserve">Recommendations </w:t>
      </w:r>
      <w:bookmarkEnd w:id="68"/>
    </w:p>
    <w:p w14:paraId="6DDBECEA" w14:textId="77777777" w:rsidR="003F0DB8" w:rsidRDefault="00000000">
      <w:pPr>
        <w:pStyle w:val="Heading3"/>
        <w:ind w:left="-5"/>
      </w:pPr>
      <w:r>
        <w:t>Security and Access Controls</w:t>
      </w:r>
      <w:r>
        <w:rPr>
          <w:b w:val="0"/>
        </w:rPr>
        <w:t xml:space="preserve"> </w:t>
      </w:r>
    </w:p>
    <w:p w14:paraId="291CB75F" w14:textId="77777777" w:rsidR="003F0DB8" w:rsidRDefault="00000000">
      <w:pPr>
        <w:numPr>
          <w:ilvl w:val="0"/>
          <w:numId w:val="95"/>
        </w:numPr>
        <w:spacing w:after="41"/>
        <w:ind w:right="5" w:hanging="284"/>
      </w:pPr>
      <w:r>
        <w:rPr>
          <w:b/>
        </w:rPr>
        <w:t>Enforce Entra ID-Only SQL Authentication:</w:t>
      </w:r>
      <w:r>
        <w:t xml:space="preserve"> enforce Entra ID-only authentication on all SQL Servers and Managed Instances, eliminating the passwordbased attack surface entirely. </w:t>
      </w:r>
    </w:p>
    <w:p w14:paraId="4DB37806" w14:textId="77777777" w:rsidR="003F0DB8" w:rsidRDefault="00000000">
      <w:pPr>
        <w:numPr>
          <w:ilvl w:val="0"/>
          <w:numId w:val="95"/>
        </w:numPr>
        <w:spacing w:after="45"/>
        <w:ind w:right="5" w:hanging="284"/>
      </w:pPr>
      <w:r>
        <w:rPr>
          <w:b/>
        </w:rPr>
        <w:t>Authenticate the APIM Gateway:</w:t>
      </w:r>
      <w:r>
        <w:t xml:space="preserve"> enable authentication on all APIM products, closing the most direct path to data exfiltration through the integration gateway. </w:t>
      </w:r>
    </w:p>
    <w:p w14:paraId="79106713" w14:textId="77777777" w:rsidR="003F0DB8" w:rsidRDefault="00000000">
      <w:pPr>
        <w:numPr>
          <w:ilvl w:val="0"/>
          <w:numId w:val="95"/>
        </w:numPr>
        <w:spacing w:after="137"/>
        <w:ind w:right="5" w:hanging="284"/>
      </w:pPr>
      <w:r>
        <w:rPr>
          <w:b/>
        </w:rPr>
        <w:t>Enable Easy Auth on Function Apps:</w:t>
      </w:r>
      <w:r>
        <w:t xml:space="preserve"> enable Easy Auth (Entra ID) on all Function Apps not triggered exclusively by internal services, since unauthenticated Function Apps across the estate represent an open door. </w:t>
      </w:r>
    </w:p>
    <w:p w14:paraId="054F4F7F" w14:textId="77777777" w:rsidR="003F0DB8" w:rsidRDefault="00000000">
      <w:pPr>
        <w:pStyle w:val="Heading3"/>
        <w:ind w:left="-5"/>
      </w:pPr>
      <w:r>
        <w:t>Network Isolation</w:t>
      </w:r>
      <w:r>
        <w:rPr>
          <w:b w:val="0"/>
        </w:rPr>
        <w:t xml:space="preserve"> </w:t>
      </w:r>
    </w:p>
    <w:p w14:paraId="4EA97DE6" w14:textId="77777777" w:rsidR="003F0DB8" w:rsidRDefault="00000000">
      <w:pPr>
        <w:numPr>
          <w:ilvl w:val="0"/>
          <w:numId w:val="96"/>
        </w:numPr>
        <w:spacing w:after="47"/>
        <w:ind w:right="5" w:hanging="284"/>
      </w:pPr>
      <w:r>
        <w:rPr>
          <w:b/>
        </w:rPr>
        <w:t>Privatise the Data Tier:</w:t>
      </w:r>
      <w:r>
        <w:t xml:space="preserve"> disable public network access on all production SQL Servers and the data tier, fronting them with Private Endpoints or VNet Service Endpoints. </w:t>
      </w:r>
    </w:p>
    <w:p w14:paraId="574FB453" w14:textId="77777777" w:rsidR="003F0DB8" w:rsidRDefault="00000000">
      <w:pPr>
        <w:numPr>
          <w:ilvl w:val="0"/>
          <w:numId w:val="96"/>
        </w:numPr>
        <w:spacing w:after="136"/>
        <w:ind w:right="5" w:hanging="284"/>
      </w:pPr>
      <w:r>
        <w:rPr>
          <w:b/>
        </w:rPr>
        <w:t>Restrict Function App Exposure:</w:t>
      </w:r>
      <w:r>
        <w:t xml:space="preserve"> restrict Function App public access using Access Restrictions or Private Endpoints, applying IP allow-lists scoped to known callers at minimum. </w:t>
      </w:r>
    </w:p>
    <w:p w14:paraId="27C5B0D7" w14:textId="77777777" w:rsidR="003F0DB8" w:rsidRDefault="00000000">
      <w:pPr>
        <w:pStyle w:val="Heading3"/>
        <w:ind w:left="-5"/>
      </w:pPr>
      <w:r>
        <w:t xml:space="preserve">Storage </w:t>
      </w:r>
    </w:p>
    <w:p w14:paraId="661DF607" w14:textId="77777777" w:rsidR="003F0DB8" w:rsidRDefault="00000000">
      <w:pPr>
        <w:numPr>
          <w:ilvl w:val="0"/>
          <w:numId w:val="97"/>
        </w:numPr>
        <w:spacing w:after="46"/>
        <w:ind w:right="5" w:hanging="284"/>
      </w:pPr>
      <w:r>
        <w:rPr>
          <w:b/>
        </w:rPr>
        <w:t>Remediate Critically Exposed Storage Accounts:</w:t>
      </w:r>
      <w:r>
        <w:t xml:space="preserve"> disable public network access, anonymous blob access and shared-key authentication on the 54 accounts that breach all three controls at once, prioritising the Azure Data Lake Storage Gen2 (ADLS Gen2) accounts that hold adult social care and other sensitive data, and raise the four accounts still on TLS 1.0 to a minimum of TLS 1.2. Run this as an immediate remediation ahead of the estate-wide baseline policy, which prevents recurrence but does not fix the accounts already exposed. </w:t>
      </w:r>
    </w:p>
    <w:p w14:paraId="26746727" w14:textId="77777777" w:rsidR="003F0DB8" w:rsidRDefault="00000000">
      <w:pPr>
        <w:numPr>
          <w:ilvl w:val="0"/>
          <w:numId w:val="97"/>
        </w:numPr>
        <w:spacing w:after="136"/>
        <w:ind w:right="5" w:hanging="284"/>
      </w:pPr>
      <w:r>
        <w:rPr>
          <w:b/>
        </w:rPr>
        <w:t>Enforce a Storage Account Baseline:</w:t>
      </w:r>
      <w:r>
        <w:t xml:space="preserve"> enforce a Storage Account Baseline policy initiative at management-group root covering shared-key access, anonymous blob access, TLS minimum, HTTPS-only, and public network access. </w:t>
      </w:r>
    </w:p>
    <w:p w14:paraId="5AA5F944" w14:textId="77777777" w:rsidR="003F0DB8" w:rsidRDefault="00000000">
      <w:pPr>
        <w:pStyle w:val="Heading3"/>
        <w:ind w:left="-5"/>
      </w:pPr>
      <w:r>
        <w:t>Compute and Hosting</w:t>
      </w:r>
      <w:r>
        <w:rPr>
          <w:b w:val="0"/>
        </w:rPr>
        <w:t xml:space="preserve"> </w:t>
      </w:r>
    </w:p>
    <w:p w14:paraId="2C588517" w14:textId="77777777" w:rsidR="003F0DB8" w:rsidRDefault="00000000">
      <w:pPr>
        <w:numPr>
          <w:ilvl w:val="0"/>
          <w:numId w:val="98"/>
        </w:numPr>
        <w:ind w:right="5" w:hanging="284"/>
      </w:pPr>
      <w:r>
        <w:rPr>
          <w:b/>
        </w:rPr>
        <w:t>Right-Size Oversized VMs:</w:t>
      </w:r>
      <w:r>
        <w:t xml:space="preserve"> right-size oversized VMs through a monthly review using Azure Advisor. </w:t>
      </w:r>
    </w:p>
    <w:p w14:paraId="5AF67F99" w14:textId="77777777" w:rsidR="003F0DB8" w:rsidRDefault="00000000">
      <w:pPr>
        <w:numPr>
          <w:ilvl w:val="0"/>
          <w:numId w:val="98"/>
        </w:numPr>
        <w:spacing w:after="46"/>
        <w:ind w:right="5" w:hanging="284"/>
      </w:pPr>
      <w:r>
        <w:rPr>
          <w:b/>
        </w:rPr>
        <w:t>Move Critical Apps to Dedicated Hosting:</w:t>
      </w:r>
      <w:r>
        <w:t xml:space="preserve"> move production-critical apps off shared Consumption plans onto dedicated, resilient hosting (PremiumV3, ElasticPremium, or ASEv3), as shared plans can be degraded by other tenants under load and cannot be deterministically load-tested. </w:t>
      </w:r>
    </w:p>
    <w:p w14:paraId="3D89EBEC" w14:textId="77777777" w:rsidR="003F0DB8" w:rsidRDefault="00000000">
      <w:pPr>
        <w:numPr>
          <w:ilvl w:val="0"/>
          <w:numId w:val="98"/>
        </w:numPr>
        <w:spacing w:after="46"/>
        <w:ind w:right="5" w:hanging="284"/>
      </w:pPr>
      <w:r>
        <w:rPr>
          <w:b/>
        </w:rPr>
        <w:t>Evaluate ASEv3 for Isolation:</w:t>
      </w:r>
      <w:r>
        <w:t xml:space="preserve"> evaluate ASEv3 for workloads requiring full network isolation, running on single-tenant, dedicated infrastructure with complete VNet integration to eliminate noisy-neighbour exposure. </w:t>
      </w:r>
    </w:p>
    <w:p w14:paraId="6F2C8051" w14:textId="77777777" w:rsidR="003F0DB8" w:rsidRDefault="00000000">
      <w:pPr>
        <w:numPr>
          <w:ilvl w:val="0"/>
          <w:numId w:val="98"/>
        </w:numPr>
        <w:spacing w:after="46"/>
        <w:ind w:right="5" w:hanging="284"/>
      </w:pPr>
      <w:r>
        <w:rPr>
          <w:b/>
        </w:rPr>
        <w:lastRenderedPageBreak/>
        <w:t>Consolidate App Service Plans:</w:t>
      </w:r>
      <w:r>
        <w:t xml:space="preserve"> consolidate to fewer, well-engineered dedicated plans rather than provisioning per workload, simplifying VNet design, scaling policy, and cost attribution. </w:t>
      </w:r>
    </w:p>
    <w:p w14:paraId="19439D7D" w14:textId="77777777" w:rsidR="003F0DB8" w:rsidRDefault="00000000">
      <w:pPr>
        <w:numPr>
          <w:ilvl w:val="0"/>
          <w:numId w:val="98"/>
        </w:numPr>
        <w:ind w:right="5" w:hanging="284"/>
      </w:pPr>
      <w:r>
        <w:rPr>
          <w:b/>
        </w:rPr>
        <w:t>Rationalise Unused Plans:</w:t>
      </w:r>
      <w:r>
        <w:t xml:space="preserve"> rationalise unused App Service Plans with no hosted applications and introduce lifecycle controls to prevent recurrence. </w:t>
      </w:r>
    </w:p>
    <w:p w14:paraId="51FD73D7" w14:textId="77777777" w:rsidR="003F0DB8" w:rsidRDefault="00000000">
      <w:pPr>
        <w:numPr>
          <w:ilvl w:val="0"/>
          <w:numId w:val="98"/>
        </w:numPr>
        <w:spacing w:after="79"/>
        <w:ind w:right="5" w:hanging="284"/>
      </w:pPr>
      <w:r>
        <w:rPr>
          <w:b/>
        </w:rPr>
        <w:t>Configure Health Check Paths:</w:t>
      </w:r>
      <w:r>
        <w:t xml:space="preserve"> configure health check paths on all production Function Apps to enable platform-level liveness detection. </w:t>
      </w:r>
    </w:p>
    <w:p w14:paraId="0351D820" w14:textId="77777777" w:rsidR="003F0DB8" w:rsidRDefault="00000000">
      <w:pPr>
        <w:pStyle w:val="Heading3"/>
        <w:ind w:left="-5"/>
      </w:pPr>
      <w:r>
        <w:t>Governance and Policy</w:t>
      </w:r>
      <w:r>
        <w:rPr>
          <w:b w:val="0"/>
        </w:rPr>
        <w:t xml:space="preserve"> </w:t>
      </w:r>
    </w:p>
    <w:p w14:paraId="75DCEF01" w14:textId="77777777" w:rsidR="003F0DB8" w:rsidRDefault="00000000">
      <w:pPr>
        <w:numPr>
          <w:ilvl w:val="0"/>
          <w:numId w:val="99"/>
        </w:numPr>
        <w:spacing w:after="41"/>
        <w:ind w:right="5" w:hanging="284"/>
      </w:pPr>
      <w:r>
        <w:rPr>
          <w:b/>
        </w:rPr>
        <w:t>Mandate CAF-Aligned Hosting:</w:t>
      </w:r>
      <w:r>
        <w:t xml:space="preserve"> mandate CAF-aligned deployment for all new App Service Plans, with no new workloads under legacy or root management groups. </w:t>
      </w:r>
    </w:p>
    <w:p w14:paraId="37CA0016" w14:textId="77777777" w:rsidR="003F0DB8" w:rsidRDefault="00000000">
      <w:pPr>
        <w:numPr>
          <w:ilvl w:val="0"/>
          <w:numId w:val="99"/>
        </w:numPr>
        <w:spacing w:after="45"/>
        <w:ind w:right="5" w:hanging="284"/>
      </w:pPr>
      <w:r>
        <w:rPr>
          <w:b/>
        </w:rPr>
        <w:t>Define Standard Hosting Patterns:</w:t>
      </w:r>
      <w:r>
        <w:t xml:space="preserve"> define standard hosting patterns documenting when ASEv3 is mandated over Premium, SKU selection per environment, and scaling and resilience expectations. </w:t>
      </w:r>
    </w:p>
    <w:p w14:paraId="5B722D2C" w14:textId="77777777" w:rsidR="003F0DB8" w:rsidRDefault="00000000">
      <w:pPr>
        <w:numPr>
          <w:ilvl w:val="0"/>
          <w:numId w:val="99"/>
        </w:numPr>
        <w:spacing w:after="46"/>
        <w:ind w:right="5" w:hanging="284"/>
      </w:pPr>
      <w:r>
        <w:rPr>
          <w:b/>
        </w:rPr>
        <w:t>Restore VM Tagging Discipline:</w:t>
      </w:r>
      <w:r>
        <w:t xml:space="preserve"> restore tagging discipline on VMs by bulk-applying the VMTier tag to all untagged VMs and enforcing via policy on creation. </w:t>
      </w:r>
    </w:p>
    <w:p w14:paraId="463BE160" w14:textId="77777777" w:rsidR="003F0DB8" w:rsidRDefault="00000000">
      <w:pPr>
        <w:numPr>
          <w:ilvl w:val="0"/>
          <w:numId w:val="99"/>
        </w:numPr>
        <w:spacing w:after="145"/>
        <w:ind w:right="5" w:hanging="284"/>
      </w:pPr>
      <w:r>
        <w:rPr>
          <w:b/>
        </w:rPr>
        <w:t>Consolidate Dynamics 365 Storage:</w:t>
      </w:r>
      <w:r>
        <w:t xml:space="preserve"> consolidate auto-generated Dynamics 365 storage accounts, standardising the ALM pipeline to apply the baseline policy template so the footprint does not regrow after remediation. </w:t>
      </w:r>
    </w:p>
    <w:p w14:paraId="02420B67" w14:textId="77777777" w:rsidR="003F0DB8" w:rsidRDefault="00000000">
      <w:pPr>
        <w:spacing w:after="0" w:line="259" w:lineRule="auto"/>
        <w:ind w:left="0" w:firstLine="0"/>
      </w:pPr>
      <w:r>
        <w:rPr>
          <w:sz w:val="24"/>
        </w:rPr>
        <w:t xml:space="preserve"> </w:t>
      </w:r>
      <w:r>
        <w:rPr>
          <w:sz w:val="24"/>
        </w:rPr>
        <w:tab/>
      </w:r>
      <w:r>
        <w:rPr>
          <w:b/>
          <w:sz w:val="32"/>
        </w:rPr>
        <w:t xml:space="preserve"> </w:t>
      </w:r>
      <w:r>
        <w:br w:type="page"/>
      </w:r>
    </w:p>
    <w:p w14:paraId="3ABC14A2" w14:textId="77777777" w:rsidR="003F0DB8" w:rsidRDefault="00000000">
      <w:pPr>
        <w:pStyle w:val="Heading1"/>
        <w:spacing w:after="86"/>
        <w:ind w:left="-5"/>
      </w:pPr>
      <w:bookmarkStart w:id="69" w:name="_Toc96851"/>
      <w:r>
        <w:rPr>
          <w:sz w:val="32"/>
        </w:rPr>
        <w:lastRenderedPageBreak/>
        <w:t xml:space="preserve">Cost and Financial Management (FinOps) </w:t>
      </w:r>
      <w:bookmarkEnd w:id="69"/>
    </w:p>
    <w:p w14:paraId="5C7056C1" w14:textId="77777777" w:rsidR="003F0DB8" w:rsidRDefault="00000000">
      <w:pPr>
        <w:pStyle w:val="Heading1"/>
        <w:ind w:left="-5"/>
      </w:pPr>
      <w:bookmarkStart w:id="70" w:name="_Toc96852"/>
      <w:r>
        <w:t xml:space="preserve">Current State Overview </w:t>
      </w:r>
      <w:bookmarkEnd w:id="70"/>
    </w:p>
    <w:p w14:paraId="5CBD1B07" w14:textId="77777777" w:rsidR="003F0DB8" w:rsidRDefault="00000000">
      <w:pPr>
        <w:spacing w:after="210" w:line="269" w:lineRule="auto"/>
        <w:ind w:left="10" w:right="3" w:hanging="10"/>
      </w:pPr>
      <w:r>
        <w:rPr>
          <w:sz w:val="24"/>
        </w:rPr>
        <w:t xml:space="preserve">CQC's Azure spend is high, growing, and largely untraceable to a service owner. Reported monthly spend varies depending on which platform-wide categories are included in a given view, but the underlying run rate is stable month to month. Nonproduction cost is not under control, and the estate cannot currently attribute spend to the services that drive it. </w:t>
      </w:r>
    </w:p>
    <w:p w14:paraId="5DC2D17B" w14:textId="77777777" w:rsidR="003F0DB8" w:rsidRDefault="00000000">
      <w:pPr>
        <w:pStyle w:val="Heading1"/>
        <w:ind w:left="-5"/>
      </w:pPr>
      <w:bookmarkStart w:id="71" w:name="_Toc96853"/>
      <w:r>
        <w:t xml:space="preserve">Major Cost Contributors </w:t>
      </w:r>
      <w:bookmarkEnd w:id="71"/>
    </w:p>
    <w:p w14:paraId="15EB31C7" w14:textId="77777777" w:rsidR="003F0DB8" w:rsidRDefault="00000000">
      <w:pPr>
        <w:pStyle w:val="Heading3"/>
        <w:ind w:left="-5"/>
      </w:pPr>
      <w:r>
        <w:t xml:space="preserve">Storage as the Largest Category </w:t>
      </w:r>
    </w:p>
    <w:p w14:paraId="7AE16DD1" w14:textId="77777777" w:rsidR="003F0DB8" w:rsidRDefault="00000000">
      <w:pPr>
        <w:numPr>
          <w:ilvl w:val="0"/>
          <w:numId w:val="100"/>
        </w:numPr>
        <w:spacing w:after="45"/>
        <w:ind w:right="5" w:hanging="284"/>
      </w:pPr>
      <w:r>
        <w:t xml:space="preserve">Storage, taking accounts and managed disks together, is the single largest cost category. The estate is large, manually created, and carries no lifecycle management and no tiering, with almost all data sitting in the hot tier. </w:t>
      </w:r>
    </w:p>
    <w:p w14:paraId="353ED28D" w14:textId="77777777" w:rsidR="003F0DB8" w:rsidRDefault="00000000">
      <w:pPr>
        <w:numPr>
          <w:ilvl w:val="0"/>
          <w:numId w:val="100"/>
        </w:numPr>
        <w:spacing w:after="138"/>
        <w:ind w:right="5" w:hanging="284"/>
      </w:pPr>
      <w:r>
        <w:t xml:space="preserve">A backlog of older, non-current-generation accounts remains to be converted. Moving cold data to cool or archive tiers would yield meaningful annual savings. </w:t>
      </w:r>
    </w:p>
    <w:p w14:paraId="46204D27" w14:textId="77777777" w:rsidR="003F0DB8" w:rsidRDefault="00000000">
      <w:pPr>
        <w:pStyle w:val="Heading3"/>
        <w:ind w:left="-5"/>
      </w:pPr>
      <w:r>
        <w:t xml:space="preserve">Premium SKU Usage Across AIS Environments </w:t>
      </w:r>
    </w:p>
    <w:p w14:paraId="603CBA84" w14:textId="77777777" w:rsidR="003F0DB8" w:rsidRDefault="00000000">
      <w:pPr>
        <w:numPr>
          <w:ilvl w:val="0"/>
          <w:numId w:val="101"/>
        </w:numPr>
        <w:spacing w:after="46"/>
        <w:ind w:right="5" w:hanging="284"/>
      </w:pPr>
      <w:r>
        <w:t xml:space="preserve">AIS runs premium tiers across every environment, including development and test: a premium App Service Plan per app, Premium API Management throughout, and Premium Redis Cache in every environment. A SQL Managed Instance also carries a virtual machine attached purely for file storage. </w:t>
      </w:r>
    </w:p>
    <w:p w14:paraId="14CC42A2" w14:textId="77777777" w:rsidR="003F0DB8" w:rsidRDefault="00000000">
      <w:pPr>
        <w:numPr>
          <w:ilvl w:val="0"/>
          <w:numId w:val="101"/>
        </w:numPr>
        <w:spacing w:after="137"/>
        <w:ind w:right="5" w:hanging="284"/>
      </w:pPr>
      <w:r>
        <w:t xml:space="preserve">This "premium-everywhere" pattern is a KPMG-era design decision that the workload does not justify, so non-production environments carry full production cost. The combined App Service Plan and Logic App spend in AIS is the dominant cost story in the tenant. </w:t>
      </w:r>
    </w:p>
    <w:p w14:paraId="7B24EACF" w14:textId="77777777" w:rsidR="003F0DB8" w:rsidRDefault="00000000">
      <w:pPr>
        <w:pStyle w:val="Heading3"/>
        <w:ind w:left="-5"/>
      </w:pPr>
      <w:r>
        <w:t xml:space="preserve">Defender as a Cost Driver </w:t>
      </w:r>
    </w:p>
    <w:p w14:paraId="5250FC9C" w14:textId="77777777" w:rsidR="003F0DB8" w:rsidRDefault="00000000">
      <w:pPr>
        <w:numPr>
          <w:ilvl w:val="0"/>
          <w:numId w:val="102"/>
        </w:numPr>
        <w:spacing w:after="47"/>
        <w:ind w:right="5" w:hanging="284"/>
      </w:pPr>
      <w:r>
        <w:t xml:space="preserve">Defender for Cloud is the largest single item inside the AIS subscription, driven by a Defender for API tier upgrade taken in response to the API Management scraping incident. </w:t>
      </w:r>
    </w:p>
    <w:p w14:paraId="07F7DECB" w14:textId="77777777" w:rsidR="003F0DB8" w:rsidRDefault="00000000">
      <w:pPr>
        <w:numPr>
          <w:ilvl w:val="0"/>
          <w:numId w:val="102"/>
        </w:numPr>
        <w:spacing w:after="240"/>
        <w:ind w:right="5" w:hanging="284"/>
      </w:pPr>
      <w:r>
        <w:t xml:space="preserve">The reactive control upgrade has hardened into a fixed cost, while the upstream root cause, the absence of rate-limiting on the Application Gateway and API Management, remains unaddressed. </w:t>
      </w:r>
    </w:p>
    <w:p w14:paraId="4B2AB75C" w14:textId="77777777" w:rsidR="003F0DB8" w:rsidRDefault="00000000">
      <w:pPr>
        <w:pStyle w:val="Heading1"/>
        <w:ind w:left="-5"/>
      </w:pPr>
      <w:bookmarkStart w:id="72" w:name="_Toc96854"/>
      <w:r>
        <w:lastRenderedPageBreak/>
        <w:t xml:space="preserve">Optimisation Challenges </w:t>
      </w:r>
      <w:bookmarkEnd w:id="72"/>
    </w:p>
    <w:p w14:paraId="40C9254E" w14:textId="77777777" w:rsidR="003F0DB8" w:rsidRDefault="00000000">
      <w:pPr>
        <w:pStyle w:val="Heading3"/>
        <w:ind w:left="-5"/>
      </w:pPr>
      <w:r>
        <w:t xml:space="preserve">No Showback, No Chargeback </w:t>
      </w:r>
    </w:p>
    <w:p w14:paraId="7FA8F5DA" w14:textId="77777777" w:rsidR="003F0DB8" w:rsidRDefault="00000000">
      <w:pPr>
        <w:numPr>
          <w:ilvl w:val="0"/>
          <w:numId w:val="103"/>
        </w:numPr>
        <w:ind w:right="5" w:hanging="284"/>
      </w:pPr>
      <w:r>
        <w:t xml:space="preserve">All Azure spend is booked as a single line under one cost centre. Tagging for cost centre, environment, owner and application is inconsistent in the legacy estate, and the new-world tags are not yet propagated. </w:t>
      </w:r>
    </w:p>
    <w:p w14:paraId="0FECA834" w14:textId="77777777" w:rsidR="003F0DB8" w:rsidRDefault="00000000">
      <w:pPr>
        <w:numPr>
          <w:ilvl w:val="0"/>
          <w:numId w:val="103"/>
        </w:numPr>
        <w:spacing w:after="136"/>
        <w:ind w:right="5" w:hanging="284"/>
      </w:pPr>
      <w:r>
        <w:t xml:space="preserve">As a result, CQC cannot say what AIS, EDP or the Regulatory Platform each cost without manual extraction, and shared platform costs cannot be apportioned. </w:t>
      </w:r>
    </w:p>
    <w:p w14:paraId="04FD9E0C" w14:textId="77777777" w:rsidR="003F0DB8" w:rsidRDefault="00000000">
      <w:pPr>
        <w:pStyle w:val="Heading3"/>
        <w:ind w:left="-5"/>
      </w:pPr>
      <w:r>
        <w:t xml:space="preserve">Partial Reservation Coverage </w:t>
      </w:r>
    </w:p>
    <w:p w14:paraId="10A4ECF5" w14:textId="77777777" w:rsidR="003F0DB8" w:rsidRDefault="00000000">
      <w:pPr>
        <w:numPr>
          <w:ilvl w:val="0"/>
          <w:numId w:val="104"/>
        </w:numPr>
        <w:spacing w:after="46"/>
        <w:ind w:right="5" w:hanging="284"/>
      </w:pPr>
      <w:r>
        <w:t xml:space="preserve">Reservations cover Microsoft Fabric and selected VM families, and an annual audit removed unused reservations and renewed live ones. There is no reservation or savings-plan coverage for Cosmos DB, SQL PaaS or App Service, where Advisor flags available savings. </w:t>
      </w:r>
    </w:p>
    <w:p w14:paraId="22232821" w14:textId="77777777" w:rsidR="003F0DB8" w:rsidRDefault="00000000">
      <w:pPr>
        <w:numPr>
          <w:ilvl w:val="0"/>
          <w:numId w:val="104"/>
        </w:numPr>
        <w:spacing w:after="136"/>
        <w:ind w:right="5" w:hanging="284"/>
      </w:pPr>
      <w:r>
        <w:t xml:space="preserve">The team is reluctant to commit to three-year reservations against workloads that may be re-architected during the rebuild. This is a reasonable position, but it leaves savings on the table in the interim. </w:t>
      </w:r>
    </w:p>
    <w:p w14:paraId="39C74B83" w14:textId="77777777" w:rsidR="003F0DB8" w:rsidRDefault="00000000">
      <w:pPr>
        <w:pStyle w:val="Heading3"/>
        <w:ind w:left="-5"/>
      </w:pPr>
      <w:r>
        <w:t xml:space="preserve">FinOps Cadence with Finance </w:t>
      </w:r>
    </w:p>
    <w:p w14:paraId="2DA8AC0B" w14:textId="77777777" w:rsidR="003F0DB8" w:rsidRDefault="00000000">
      <w:pPr>
        <w:numPr>
          <w:ilvl w:val="0"/>
          <w:numId w:val="105"/>
        </w:numPr>
        <w:spacing w:after="45"/>
        <w:ind w:right="5" w:hanging="284"/>
      </w:pPr>
      <w:r>
        <w:t xml:space="preserve">There is no formal Technology Approval Board or FinOps forum. The monthly cost report is engineering-produced, reviewed with the Finance Business Partner and reconciled to forecast, but there is no joint optimisation cadence, no cost-focused service reviews, and no automated budget alerts. </w:t>
      </w:r>
    </w:p>
    <w:p w14:paraId="3ADCF877" w14:textId="77777777" w:rsidR="003F0DB8" w:rsidRDefault="00000000">
      <w:pPr>
        <w:numPr>
          <w:ilvl w:val="0"/>
          <w:numId w:val="105"/>
        </w:numPr>
        <w:ind w:right="5" w:hanging="284"/>
      </w:pPr>
      <w:r>
        <w:t xml:space="preserve">Cost is an after-the-fact reporting function rather than a decision input. The prevailing view in finance is that the current arrangement works and nothing is urgent, which itself reduces the pressure to optimise. </w:t>
      </w:r>
    </w:p>
    <w:p w14:paraId="4A34B83C" w14:textId="77777777" w:rsidR="003F0DB8" w:rsidRDefault="00000000">
      <w:pPr>
        <w:spacing w:after="228" w:line="259" w:lineRule="auto"/>
        <w:ind w:left="0" w:firstLine="0"/>
      </w:pPr>
      <w:r>
        <w:t xml:space="preserve"> </w:t>
      </w:r>
    </w:p>
    <w:p w14:paraId="638CA8D1" w14:textId="77777777" w:rsidR="003F0DB8" w:rsidRDefault="00000000">
      <w:pPr>
        <w:pStyle w:val="Heading1"/>
        <w:spacing w:after="0"/>
        <w:ind w:left="-5"/>
      </w:pPr>
      <w:bookmarkStart w:id="73" w:name="_Toc96855"/>
      <w:r>
        <w:t xml:space="preserve">Potential Savings </w:t>
      </w:r>
      <w:bookmarkEnd w:id="73"/>
    </w:p>
    <w:tbl>
      <w:tblPr>
        <w:tblStyle w:val="TableGrid"/>
        <w:tblW w:w="9358" w:type="dxa"/>
        <w:tblInd w:w="7" w:type="dxa"/>
        <w:tblCellMar>
          <w:top w:w="166" w:type="dxa"/>
          <w:left w:w="105" w:type="dxa"/>
          <w:bottom w:w="0" w:type="dxa"/>
          <w:right w:w="77" w:type="dxa"/>
        </w:tblCellMar>
        <w:tblLook w:val="04A0" w:firstRow="1" w:lastRow="0" w:firstColumn="1" w:lastColumn="0" w:noHBand="0" w:noVBand="1"/>
      </w:tblPr>
      <w:tblGrid>
        <w:gridCol w:w="2879"/>
        <w:gridCol w:w="2881"/>
        <w:gridCol w:w="2100"/>
        <w:gridCol w:w="1498"/>
      </w:tblGrid>
      <w:tr w:rsidR="003F0DB8" w14:paraId="5F067A6B" w14:textId="77777777">
        <w:trPr>
          <w:trHeight w:val="487"/>
        </w:trPr>
        <w:tc>
          <w:tcPr>
            <w:tcW w:w="2880" w:type="dxa"/>
            <w:tcBorders>
              <w:top w:val="single" w:sz="3" w:space="0" w:color="000000"/>
              <w:left w:val="single" w:sz="3" w:space="0" w:color="000000"/>
              <w:bottom w:val="single" w:sz="3" w:space="0" w:color="000000"/>
              <w:right w:val="single" w:sz="3" w:space="0" w:color="000000"/>
            </w:tcBorders>
            <w:shd w:val="clear" w:color="auto" w:fill="1F3864"/>
            <w:vAlign w:val="center"/>
          </w:tcPr>
          <w:p w14:paraId="26353DA8" w14:textId="77777777" w:rsidR="003F0DB8" w:rsidRDefault="00000000">
            <w:pPr>
              <w:spacing w:after="0" w:line="259" w:lineRule="auto"/>
              <w:ind w:left="0" w:firstLine="0"/>
            </w:pPr>
            <w:r>
              <w:rPr>
                <w:b/>
                <w:color w:val="FFFFFF"/>
                <w:sz w:val="18"/>
              </w:rPr>
              <w:t xml:space="preserve">Lever </w:t>
            </w:r>
          </w:p>
        </w:tc>
        <w:tc>
          <w:tcPr>
            <w:tcW w:w="2881" w:type="dxa"/>
            <w:tcBorders>
              <w:top w:val="single" w:sz="3" w:space="0" w:color="000000"/>
              <w:left w:val="single" w:sz="3" w:space="0" w:color="000000"/>
              <w:bottom w:val="single" w:sz="3" w:space="0" w:color="000000"/>
              <w:right w:val="single" w:sz="3" w:space="0" w:color="000000"/>
            </w:tcBorders>
            <w:shd w:val="clear" w:color="auto" w:fill="1F3864"/>
            <w:vAlign w:val="center"/>
          </w:tcPr>
          <w:p w14:paraId="638B26CD" w14:textId="77777777" w:rsidR="003F0DB8" w:rsidRDefault="00000000">
            <w:pPr>
              <w:spacing w:after="0" w:line="259" w:lineRule="auto"/>
              <w:ind w:left="1" w:firstLine="0"/>
            </w:pPr>
            <w:r>
              <w:rPr>
                <w:b/>
                <w:color w:val="FFFFFF"/>
                <w:sz w:val="18"/>
              </w:rPr>
              <w:t xml:space="preserve">Driver </w:t>
            </w:r>
          </w:p>
        </w:tc>
        <w:tc>
          <w:tcPr>
            <w:tcW w:w="2100" w:type="dxa"/>
            <w:tcBorders>
              <w:top w:val="single" w:sz="3" w:space="0" w:color="000000"/>
              <w:left w:val="single" w:sz="3" w:space="0" w:color="000000"/>
              <w:bottom w:val="single" w:sz="3" w:space="0" w:color="000000"/>
              <w:right w:val="single" w:sz="3" w:space="0" w:color="000000"/>
            </w:tcBorders>
            <w:shd w:val="clear" w:color="auto" w:fill="1F3864"/>
            <w:vAlign w:val="center"/>
          </w:tcPr>
          <w:p w14:paraId="6C5C7F54" w14:textId="77777777" w:rsidR="003F0DB8" w:rsidRDefault="00000000">
            <w:pPr>
              <w:spacing w:after="0" w:line="259" w:lineRule="auto"/>
              <w:ind w:left="1" w:firstLine="0"/>
            </w:pPr>
            <w:r>
              <w:rPr>
                <w:b/>
                <w:color w:val="FFFFFF"/>
                <w:sz w:val="18"/>
              </w:rPr>
              <w:t xml:space="preserve">Estimated Saving </w:t>
            </w:r>
          </w:p>
        </w:tc>
        <w:tc>
          <w:tcPr>
            <w:tcW w:w="1498" w:type="dxa"/>
            <w:tcBorders>
              <w:top w:val="single" w:sz="3" w:space="0" w:color="000000"/>
              <w:left w:val="single" w:sz="3" w:space="0" w:color="000000"/>
              <w:bottom w:val="single" w:sz="2" w:space="0" w:color="FFFFFF"/>
              <w:right w:val="single" w:sz="3" w:space="0" w:color="000000"/>
            </w:tcBorders>
            <w:shd w:val="clear" w:color="auto" w:fill="1F3864"/>
            <w:vAlign w:val="center"/>
          </w:tcPr>
          <w:p w14:paraId="338DB932" w14:textId="77777777" w:rsidR="003F0DB8" w:rsidRDefault="00000000">
            <w:pPr>
              <w:spacing w:after="0" w:line="259" w:lineRule="auto"/>
              <w:ind w:left="1" w:firstLine="0"/>
            </w:pPr>
            <w:r>
              <w:rPr>
                <w:b/>
                <w:color w:val="FFFFFF"/>
                <w:sz w:val="18"/>
              </w:rPr>
              <w:t xml:space="preserve">Risk </w:t>
            </w:r>
          </w:p>
        </w:tc>
      </w:tr>
      <w:tr w:rsidR="003F0DB8" w14:paraId="1A966A23" w14:textId="77777777">
        <w:trPr>
          <w:trHeight w:val="769"/>
        </w:trPr>
        <w:tc>
          <w:tcPr>
            <w:tcW w:w="2880" w:type="dxa"/>
            <w:tcBorders>
              <w:top w:val="single" w:sz="3" w:space="0" w:color="000000"/>
              <w:left w:val="single" w:sz="3" w:space="0" w:color="000000"/>
              <w:bottom w:val="single" w:sz="2" w:space="0" w:color="FFFFFF"/>
              <w:right w:val="single" w:sz="3" w:space="0" w:color="000000"/>
            </w:tcBorders>
            <w:vAlign w:val="center"/>
          </w:tcPr>
          <w:p w14:paraId="1693511C" w14:textId="77777777" w:rsidR="003F0DB8" w:rsidRDefault="00000000">
            <w:pPr>
              <w:spacing w:after="0" w:line="259" w:lineRule="auto"/>
              <w:ind w:left="0" w:firstLine="0"/>
            </w:pPr>
            <w:r>
              <w:rPr>
                <w:sz w:val="18"/>
              </w:rPr>
              <w:t xml:space="preserve">Storage tiering and lifecycle on hot-only estate </w:t>
            </w:r>
          </w:p>
        </w:tc>
        <w:tc>
          <w:tcPr>
            <w:tcW w:w="2881" w:type="dxa"/>
            <w:tcBorders>
              <w:top w:val="single" w:sz="3" w:space="0" w:color="000000"/>
              <w:left w:val="single" w:sz="3" w:space="0" w:color="000000"/>
              <w:bottom w:val="single" w:sz="2" w:space="0" w:color="FFFFFF"/>
              <w:right w:val="single" w:sz="3" w:space="0" w:color="000000"/>
            </w:tcBorders>
          </w:tcPr>
          <w:p w14:paraId="2C9B6AC7" w14:textId="77777777" w:rsidR="003F0DB8" w:rsidRDefault="00000000">
            <w:pPr>
              <w:spacing w:after="0" w:line="259" w:lineRule="auto"/>
              <w:ind w:left="1" w:firstLine="0"/>
            </w:pPr>
            <w:r>
              <w:rPr>
                <w:sz w:val="18"/>
              </w:rPr>
              <w:t xml:space="preserve">Storage £25k/month, all hot </w:t>
            </w:r>
          </w:p>
        </w:tc>
        <w:tc>
          <w:tcPr>
            <w:tcW w:w="2100" w:type="dxa"/>
            <w:tcBorders>
              <w:top w:val="single" w:sz="3" w:space="0" w:color="000000"/>
              <w:left w:val="single" w:sz="3" w:space="0" w:color="000000"/>
              <w:bottom w:val="single" w:sz="2" w:space="0" w:color="FFFFFF"/>
              <w:right w:val="single" w:sz="3" w:space="0" w:color="000000"/>
            </w:tcBorders>
          </w:tcPr>
          <w:p w14:paraId="615C1255" w14:textId="77777777" w:rsidR="003F0DB8" w:rsidRDefault="00000000">
            <w:pPr>
              <w:spacing w:after="0" w:line="259" w:lineRule="auto"/>
              <w:ind w:left="1" w:firstLine="0"/>
            </w:pPr>
            <w:r>
              <w:rPr>
                <w:sz w:val="18"/>
              </w:rPr>
              <w:t xml:space="preserve">Mid-five-figure annual </w:t>
            </w:r>
          </w:p>
        </w:tc>
        <w:tc>
          <w:tcPr>
            <w:tcW w:w="1498" w:type="dxa"/>
            <w:tcBorders>
              <w:top w:val="single" w:sz="2" w:space="0" w:color="FFFFFF"/>
              <w:left w:val="single" w:sz="3" w:space="0" w:color="000000"/>
              <w:bottom w:val="single" w:sz="2" w:space="0" w:color="FFFFFF"/>
              <w:right w:val="single" w:sz="3" w:space="0" w:color="000000"/>
            </w:tcBorders>
          </w:tcPr>
          <w:p w14:paraId="24383001" w14:textId="77777777" w:rsidR="003F0DB8" w:rsidRDefault="00000000">
            <w:pPr>
              <w:spacing w:after="0" w:line="259" w:lineRule="auto"/>
              <w:ind w:left="1" w:firstLine="0"/>
            </w:pPr>
            <w:r>
              <w:rPr>
                <w:color w:val="ED7D31"/>
                <w:sz w:val="18"/>
              </w:rPr>
              <w:t xml:space="preserve">●  </w:t>
            </w:r>
            <w:r>
              <w:rPr>
                <w:sz w:val="18"/>
              </w:rPr>
              <w:t xml:space="preserve">Medium </w:t>
            </w:r>
          </w:p>
        </w:tc>
      </w:tr>
      <w:tr w:rsidR="003F0DB8" w14:paraId="492170D0" w14:textId="77777777">
        <w:trPr>
          <w:trHeight w:val="768"/>
        </w:trPr>
        <w:tc>
          <w:tcPr>
            <w:tcW w:w="2880" w:type="dxa"/>
            <w:tcBorders>
              <w:top w:val="single" w:sz="2" w:space="0" w:color="FFFFFF"/>
              <w:left w:val="single" w:sz="3" w:space="0" w:color="000000"/>
              <w:bottom w:val="single" w:sz="2" w:space="0" w:color="FFFFFF"/>
              <w:right w:val="single" w:sz="3" w:space="0" w:color="000000"/>
            </w:tcBorders>
            <w:vAlign w:val="center"/>
          </w:tcPr>
          <w:p w14:paraId="1772770A" w14:textId="77777777" w:rsidR="003F0DB8" w:rsidRDefault="00000000">
            <w:pPr>
              <w:spacing w:after="16" w:line="259" w:lineRule="auto"/>
              <w:ind w:left="0" w:firstLine="0"/>
            </w:pPr>
            <w:r>
              <w:rPr>
                <w:sz w:val="18"/>
              </w:rPr>
              <w:t xml:space="preserve">AIS rationalisation (APIM, ASP, </w:t>
            </w:r>
          </w:p>
          <w:p w14:paraId="1D4D8890" w14:textId="77777777" w:rsidR="003F0DB8" w:rsidRDefault="00000000">
            <w:pPr>
              <w:spacing w:after="0" w:line="259" w:lineRule="auto"/>
              <w:ind w:left="0" w:firstLine="0"/>
            </w:pPr>
            <w:r>
              <w:rPr>
                <w:sz w:val="18"/>
              </w:rPr>
              <w:t xml:space="preserve">Logic Apps, MuleSoft) </w:t>
            </w:r>
          </w:p>
        </w:tc>
        <w:tc>
          <w:tcPr>
            <w:tcW w:w="2881" w:type="dxa"/>
            <w:tcBorders>
              <w:top w:val="single" w:sz="2" w:space="0" w:color="FFFFFF"/>
              <w:left w:val="single" w:sz="3" w:space="0" w:color="000000"/>
              <w:bottom w:val="single" w:sz="2" w:space="0" w:color="FFFFFF"/>
              <w:right w:val="single" w:sz="3" w:space="0" w:color="000000"/>
            </w:tcBorders>
          </w:tcPr>
          <w:p w14:paraId="427CAC31" w14:textId="77777777" w:rsidR="003F0DB8" w:rsidRDefault="00000000">
            <w:pPr>
              <w:spacing w:after="0" w:line="259" w:lineRule="auto"/>
              <w:ind w:left="1" w:firstLine="0"/>
            </w:pPr>
            <w:r>
              <w:rPr>
                <w:sz w:val="18"/>
              </w:rPr>
              <w:t xml:space="preserve">Premium-everywhere pattern </w:t>
            </w:r>
          </w:p>
        </w:tc>
        <w:tc>
          <w:tcPr>
            <w:tcW w:w="2100" w:type="dxa"/>
            <w:tcBorders>
              <w:top w:val="single" w:sz="2" w:space="0" w:color="FFFFFF"/>
              <w:left w:val="single" w:sz="3" w:space="0" w:color="000000"/>
              <w:bottom w:val="single" w:sz="2" w:space="0" w:color="FFFFFF"/>
              <w:right w:val="single" w:sz="3" w:space="0" w:color="000000"/>
            </w:tcBorders>
            <w:vAlign w:val="center"/>
          </w:tcPr>
          <w:p w14:paraId="43E6B043" w14:textId="77777777" w:rsidR="003F0DB8" w:rsidRDefault="00000000">
            <w:pPr>
              <w:spacing w:after="0" w:line="259" w:lineRule="auto"/>
              <w:ind w:left="1" w:firstLine="0"/>
              <w:jc w:val="both"/>
            </w:pPr>
            <w:r>
              <w:rPr>
                <w:sz w:val="18"/>
              </w:rPr>
              <w:t xml:space="preserve">Major; specific £ pending model </w:t>
            </w:r>
          </w:p>
        </w:tc>
        <w:tc>
          <w:tcPr>
            <w:tcW w:w="1498" w:type="dxa"/>
            <w:tcBorders>
              <w:top w:val="single" w:sz="2" w:space="0" w:color="FFFFFF"/>
              <w:left w:val="single" w:sz="3" w:space="0" w:color="000000"/>
              <w:bottom w:val="single" w:sz="2" w:space="0" w:color="FFFFFF"/>
              <w:right w:val="single" w:sz="3" w:space="0" w:color="000000"/>
            </w:tcBorders>
          </w:tcPr>
          <w:p w14:paraId="0404D9BA" w14:textId="77777777" w:rsidR="003F0DB8" w:rsidRDefault="00000000">
            <w:pPr>
              <w:spacing w:after="0" w:line="259" w:lineRule="auto"/>
              <w:ind w:left="1" w:firstLine="0"/>
            </w:pPr>
            <w:r>
              <w:rPr>
                <w:color w:val="C00000"/>
                <w:sz w:val="18"/>
              </w:rPr>
              <w:t xml:space="preserve">●  </w:t>
            </w:r>
            <w:r>
              <w:rPr>
                <w:sz w:val="18"/>
              </w:rPr>
              <w:t xml:space="preserve">High </w:t>
            </w:r>
          </w:p>
        </w:tc>
      </w:tr>
      <w:tr w:rsidR="003F0DB8" w14:paraId="7496AC2A" w14:textId="77777777">
        <w:trPr>
          <w:trHeight w:val="769"/>
        </w:trPr>
        <w:tc>
          <w:tcPr>
            <w:tcW w:w="2880" w:type="dxa"/>
            <w:tcBorders>
              <w:top w:val="single" w:sz="2" w:space="0" w:color="FFFFFF"/>
              <w:left w:val="single" w:sz="3" w:space="0" w:color="000000"/>
              <w:bottom w:val="single" w:sz="3" w:space="0" w:color="000000"/>
              <w:right w:val="single" w:sz="3" w:space="0" w:color="000000"/>
            </w:tcBorders>
            <w:vAlign w:val="center"/>
          </w:tcPr>
          <w:p w14:paraId="22F1B6E7" w14:textId="77777777" w:rsidR="003F0DB8" w:rsidRDefault="00000000">
            <w:pPr>
              <w:spacing w:after="0" w:line="259" w:lineRule="auto"/>
              <w:ind w:left="0" w:firstLine="0"/>
            </w:pPr>
            <w:r>
              <w:rPr>
                <w:sz w:val="18"/>
              </w:rPr>
              <w:lastRenderedPageBreak/>
              <w:t xml:space="preserve">APIM Premium-to-Developer in non-prod (x4 envs) </w:t>
            </w:r>
          </w:p>
        </w:tc>
        <w:tc>
          <w:tcPr>
            <w:tcW w:w="2881" w:type="dxa"/>
            <w:tcBorders>
              <w:top w:val="single" w:sz="2" w:space="0" w:color="FFFFFF"/>
              <w:left w:val="single" w:sz="3" w:space="0" w:color="000000"/>
              <w:bottom w:val="single" w:sz="3" w:space="0" w:color="000000"/>
              <w:right w:val="single" w:sz="3" w:space="0" w:color="000000"/>
            </w:tcBorders>
          </w:tcPr>
          <w:p w14:paraId="2E027F81" w14:textId="77777777" w:rsidR="003F0DB8" w:rsidRDefault="00000000">
            <w:pPr>
              <w:spacing w:after="0" w:line="259" w:lineRule="auto"/>
              <w:ind w:left="1" w:firstLine="0"/>
            </w:pPr>
            <w:r>
              <w:rPr>
                <w:sz w:val="18"/>
              </w:rPr>
              <w:t xml:space="preserve">KPMG-era “everything the same” </w:t>
            </w:r>
          </w:p>
        </w:tc>
        <w:tc>
          <w:tcPr>
            <w:tcW w:w="2100" w:type="dxa"/>
            <w:tcBorders>
              <w:top w:val="single" w:sz="2" w:space="0" w:color="FFFFFF"/>
              <w:left w:val="single" w:sz="3" w:space="0" w:color="000000"/>
              <w:bottom w:val="single" w:sz="3" w:space="0" w:color="000000"/>
              <w:right w:val="single" w:sz="3" w:space="0" w:color="000000"/>
            </w:tcBorders>
            <w:vAlign w:val="center"/>
          </w:tcPr>
          <w:p w14:paraId="30E24B8F" w14:textId="77777777" w:rsidR="003F0DB8" w:rsidRDefault="00000000">
            <w:pPr>
              <w:spacing w:after="0" w:line="259" w:lineRule="auto"/>
              <w:ind w:left="1" w:firstLine="0"/>
            </w:pPr>
            <w:r>
              <w:rPr>
                <w:sz w:val="18"/>
              </w:rPr>
              <w:t xml:space="preserve">Several £k/month per environment </w:t>
            </w:r>
          </w:p>
        </w:tc>
        <w:tc>
          <w:tcPr>
            <w:tcW w:w="1498" w:type="dxa"/>
            <w:tcBorders>
              <w:top w:val="single" w:sz="2" w:space="0" w:color="FFFFFF"/>
              <w:left w:val="single" w:sz="3" w:space="0" w:color="000000"/>
              <w:bottom w:val="single" w:sz="2" w:space="0" w:color="FFFFFF"/>
              <w:right w:val="single" w:sz="3" w:space="0" w:color="000000"/>
            </w:tcBorders>
          </w:tcPr>
          <w:p w14:paraId="747982AA" w14:textId="77777777" w:rsidR="003F0DB8" w:rsidRDefault="00000000">
            <w:pPr>
              <w:spacing w:after="0" w:line="259" w:lineRule="auto"/>
              <w:ind w:left="1" w:firstLine="0"/>
            </w:pPr>
            <w:r>
              <w:rPr>
                <w:color w:val="ED7D31"/>
                <w:sz w:val="18"/>
              </w:rPr>
              <w:t xml:space="preserve">●  </w:t>
            </w:r>
            <w:r>
              <w:rPr>
                <w:sz w:val="18"/>
              </w:rPr>
              <w:t xml:space="preserve">Medium </w:t>
            </w:r>
          </w:p>
        </w:tc>
      </w:tr>
      <w:tr w:rsidR="003F0DB8" w14:paraId="5629857B" w14:textId="77777777">
        <w:trPr>
          <w:trHeight w:val="772"/>
        </w:trPr>
        <w:tc>
          <w:tcPr>
            <w:tcW w:w="2880" w:type="dxa"/>
            <w:tcBorders>
              <w:top w:val="single" w:sz="3" w:space="0" w:color="000000"/>
              <w:left w:val="single" w:sz="3" w:space="0" w:color="000000"/>
              <w:bottom w:val="single" w:sz="3" w:space="0" w:color="000000"/>
              <w:right w:val="single" w:sz="3" w:space="0" w:color="000000"/>
            </w:tcBorders>
            <w:vAlign w:val="center"/>
          </w:tcPr>
          <w:p w14:paraId="5357C390" w14:textId="77777777" w:rsidR="003F0DB8" w:rsidRDefault="00000000">
            <w:pPr>
              <w:spacing w:after="20" w:line="259" w:lineRule="auto"/>
              <w:ind w:left="0" w:firstLine="0"/>
            </w:pPr>
            <w:r>
              <w:rPr>
                <w:sz w:val="18"/>
              </w:rPr>
              <w:t xml:space="preserve">V2 storage account conversion </w:t>
            </w:r>
          </w:p>
          <w:p w14:paraId="68F65256" w14:textId="77777777" w:rsidR="003F0DB8" w:rsidRDefault="00000000">
            <w:pPr>
              <w:spacing w:after="0" w:line="259" w:lineRule="auto"/>
              <w:ind w:left="0" w:firstLine="0"/>
            </w:pPr>
            <w:r>
              <w:rPr>
                <w:sz w:val="18"/>
              </w:rPr>
              <w:t xml:space="preserve">(backlog) </w:t>
            </w:r>
          </w:p>
        </w:tc>
        <w:tc>
          <w:tcPr>
            <w:tcW w:w="2881" w:type="dxa"/>
            <w:tcBorders>
              <w:top w:val="single" w:sz="3" w:space="0" w:color="000000"/>
              <w:left w:val="single" w:sz="3" w:space="0" w:color="000000"/>
              <w:bottom w:val="single" w:sz="3" w:space="0" w:color="000000"/>
              <w:right w:val="single" w:sz="3" w:space="0" w:color="000000"/>
            </w:tcBorders>
          </w:tcPr>
          <w:p w14:paraId="4CC1A414" w14:textId="77777777" w:rsidR="003F0DB8" w:rsidRDefault="00000000">
            <w:pPr>
              <w:spacing w:after="0" w:line="259" w:lineRule="auto"/>
              <w:ind w:left="1" w:firstLine="0"/>
            </w:pPr>
            <w:r>
              <w:rPr>
                <w:sz w:val="18"/>
              </w:rPr>
              <w:t xml:space="preserve">Advisor-flagged </w:t>
            </w:r>
          </w:p>
        </w:tc>
        <w:tc>
          <w:tcPr>
            <w:tcW w:w="2100" w:type="dxa"/>
            <w:tcBorders>
              <w:top w:val="single" w:sz="3" w:space="0" w:color="000000"/>
              <w:left w:val="single" w:sz="3" w:space="0" w:color="000000"/>
              <w:bottom w:val="single" w:sz="3" w:space="0" w:color="000000"/>
              <w:right w:val="single" w:sz="3" w:space="0" w:color="000000"/>
            </w:tcBorders>
          </w:tcPr>
          <w:p w14:paraId="3BC07041" w14:textId="77777777" w:rsidR="003F0DB8" w:rsidRDefault="00000000">
            <w:pPr>
              <w:spacing w:after="0" w:line="259" w:lineRule="auto"/>
              <w:ind w:left="1" w:firstLine="0"/>
            </w:pPr>
            <w:r>
              <w:rPr>
                <w:sz w:val="18"/>
              </w:rPr>
              <w:t xml:space="preserve">Direct cost saving </w:t>
            </w:r>
          </w:p>
        </w:tc>
        <w:tc>
          <w:tcPr>
            <w:tcW w:w="1498" w:type="dxa"/>
            <w:tcBorders>
              <w:top w:val="single" w:sz="2" w:space="0" w:color="FFFFFF"/>
              <w:left w:val="single" w:sz="3" w:space="0" w:color="000000"/>
              <w:bottom w:val="single" w:sz="2" w:space="0" w:color="FFFFFF"/>
              <w:right w:val="single" w:sz="3" w:space="0" w:color="000000"/>
            </w:tcBorders>
          </w:tcPr>
          <w:p w14:paraId="609F310C" w14:textId="77777777" w:rsidR="003F0DB8" w:rsidRDefault="00000000">
            <w:pPr>
              <w:spacing w:after="0" w:line="259" w:lineRule="auto"/>
              <w:ind w:left="1" w:firstLine="0"/>
            </w:pPr>
            <w:r>
              <w:rPr>
                <w:color w:val="FFC000"/>
                <w:sz w:val="18"/>
              </w:rPr>
              <w:t xml:space="preserve">●  </w:t>
            </w:r>
            <w:r>
              <w:rPr>
                <w:sz w:val="18"/>
              </w:rPr>
              <w:t xml:space="preserve">Low </w:t>
            </w:r>
          </w:p>
        </w:tc>
      </w:tr>
      <w:tr w:rsidR="003F0DB8" w14:paraId="5376D464" w14:textId="77777777">
        <w:trPr>
          <w:trHeight w:val="762"/>
        </w:trPr>
        <w:tc>
          <w:tcPr>
            <w:tcW w:w="2880" w:type="dxa"/>
            <w:tcBorders>
              <w:top w:val="single" w:sz="3" w:space="0" w:color="000000"/>
              <w:left w:val="single" w:sz="3" w:space="0" w:color="000000"/>
              <w:bottom w:val="single" w:sz="3" w:space="0" w:color="000000"/>
              <w:right w:val="single" w:sz="3" w:space="0" w:color="000000"/>
            </w:tcBorders>
            <w:vAlign w:val="center"/>
          </w:tcPr>
          <w:p w14:paraId="11F29DA6" w14:textId="77777777" w:rsidR="003F0DB8" w:rsidRDefault="00000000">
            <w:pPr>
              <w:spacing w:after="0" w:line="259" w:lineRule="auto"/>
              <w:ind w:left="0" w:firstLine="0"/>
              <w:jc w:val="both"/>
            </w:pPr>
            <w:r>
              <w:rPr>
                <w:sz w:val="18"/>
              </w:rPr>
              <w:t xml:space="preserve">Defender for API tuning post rate-limiting fix </w:t>
            </w:r>
          </w:p>
        </w:tc>
        <w:tc>
          <w:tcPr>
            <w:tcW w:w="2881" w:type="dxa"/>
            <w:tcBorders>
              <w:top w:val="single" w:sz="3" w:space="0" w:color="000000"/>
              <w:left w:val="single" w:sz="3" w:space="0" w:color="000000"/>
              <w:bottom w:val="single" w:sz="3" w:space="0" w:color="000000"/>
              <w:right w:val="single" w:sz="3" w:space="0" w:color="000000"/>
            </w:tcBorders>
          </w:tcPr>
          <w:p w14:paraId="2396943E" w14:textId="77777777" w:rsidR="003F0DB8" w:rsidRDefault="00000000">
            <w:pPr>
              <w:spacing w:after="0" w:line="259" w:lineRule="auto"/>
              <w:ind w:left="1" w:firstLine="0"/>
            </w:pPr>
            <w:r>
              <w:rPr>
                <w:sz w:val="18"/>
              </w:rPr>
              <w:t xml:space="preserve">Reactive SKU upgrade </w:t>
            </w:r>
          </w:p>
        </w:tc>
        <w:tc>
          <w:tcPr>
            <w:tcW w:w="2100" w:type="dxa"/>
            <w:tcBorders>
              <w:top w:val="single" w:sz="3" w:space="0" w:color="000000"/>
              <w:left w:val="single" w:sz="3" w:space="0" w:color="000000"/>
              <w:bottom w:val="single" w:sz="3" w:space="0" w:color="000000"/>
              <w:right w:val="single" w:sz="3" w:space="0" w:color="000000"/>
            </w:tcBorders>
          </w:tcPr>
          <w:p w14:paraId="62C1C512" w14:textId="77777777" w:rsidR="003F0DB8" w:rsidRDefault="00000000">
            <w:pPr>
              <w:spacing w:after="0" w:line="259" w:lineRule="auto"/>
              <w:ind w:left="1" w:firstLine="0"/>
            </w:pPr>
            <w:r>
              <w:rPr>
                <w:sz w:val="18"/>
              </w:rPr>
              <w:t xml:space="preserve">Avoids re-occurrence </w:t>
            </w:r>
          </w:p>
        </w:tc>
        <w:tc>
          <w:tcPr>
            <w:tcW w:w="1498" w:type="dxa"/>
            <w:tcBorders>
              <w:top w:val="single" w:sz="2" w:space="0" w:color="FFFFFF"/>
              <w:left w:val="single" w:sz="3" w:space="0" w:color="000000"/>
              <w:bottom w:val="single" w:sz="3" w:space="0" w:color="000000"/>
              <w:right w:val="single" w:sz="3" w:space="0" w:color="000000"/>
            </w:tcBorders>
          </w:tcPr>
          <w:p w14:paraId="3EB2265F" w14:textId="77777777" w:rsidR="003F0DB8" w:rsidRDefault="00000000">
            <w:pPr>
              <w:spacing w:after="0" w:line="259" w:lineRule="auto"/>
              <w:ind w:left="1" w:firstLine="0"/>
            </w:pPr>
            <w:r>
              <w:rPr>
                <w:color w:val="FFC000"/>
                <w:sz w:val="18"/>
              </w:rPr>
              <w:t xml:space="preserve">●  </w:t>
            </w:r>
            <w:r>
              <w:rPr>
                <w:sz w:val="18"/>
              </w:rPr>
              <w:t xml:space="preserve">Low </w:t>
            </w:r>
          </w:p>
        </w:tc>
      </w:tr>
      <w:tr w:rsidR="003F0DB8" w14:paraId="061DCE2C" w14:textId="77777777">
        <w:trPr>
          <w:trHeight w:val="766"/>
        </w:trPr>
        <w:tc>
          <w:tcPr>
            <w:tcW w:w="2880" w:type="dxa"/>
            <w:tcBorders>
              <w:top w:val="single" w:sz="3" w:space="0" w:color="000000"/>
              <w:left w:val="single" w:sz="3" w:space="0" w:color="000000"/>
              <w:bottom w:val="single" w:sz="3" w:space="0" w:color="000000"/>
              <w:right w:val="single" w:sz="3" w:space="0" w:color="000000"/>
            </w:tcBorders>
            <w:vAlign w:val="center"/>
          </w:tcPr>
          <w:p w14:paraId="10BEDDEB" w14:textId="77777777" w:rsidR="003F0DB8" w:rsidRDefault="00000000">
            <w:pPr>
              <w:spacing w:after="20" w:line="259" w:lineRule="auto"/>
              <w:ind w:left="0" w:firstLine="0"/>
            </w:pPr>
            <w:r>
              <w:rPr>
                <w:sz w:val="18"/>
              </w:rPr>
              <w:t xml:space="preserve">Cosmos / SQL PaaS / App Service </w:t>
            </w:r>
          </w:p>
          <w:p w14:paraId="05542ED5" w14:textId="77777777" w:rsidR="003F0DB8" w:rsidRDefault="00000000">
            <w:pPr>
              <w:spacing w:after="0" w:line="259" w:lineRule="auto"/>
              <w:ind w:left="0" w:firstLine="0"/>
            </w:pPr>
            <w:r>
              <w:rPr>
                <w:sz w:val="18"/>
              </w:rPr>
              <w:t xml:space="preserve">Savings Plan </w:t>
            </w:r>
          </w:p>
        </w:tc>
        <w:tc>
          <w:tcPr>
            <w:tcW w:w="2881" w:type="dxa"/>
            <w:tcBorders>
              <w:top w:val="single" w:sz="3" w:space="0" w:color="000000"/>
              <w:left w:val="single" w:sz="3" w:space="0" w:color="000000"/>
              <w:bottom w:val="single" w:sz="3" w:space="0" w:color="000000"/>
              <w:right w:val="single" w:sz="3" w:space="0" w:color="000000"/>
            </w:tcBorders>
          </w:tcPr>
          <w:p w14:paraId="0995462C" w14:textId="77777777" w:rsidR="003F0DB8" w:rsidRDefault="00000000">
            <w:pPr>
              <w:spacing w:after="0" w:line="259" w:lineRule="auto"/>
              <w:ind w:left="0" w:firstLine="0"/>
            </w:pPr>
            <w:r>
              <w:rPr>
                <w:sz w:val="18"/>
              </w:rPr>
              <w:t xml:space="preserve">No coverage today </w:t>
            </w:r>
          </w:p>
        </w:tc>
        <w:tc>
          <w:tcPr>
            <w:tcW w:w="2100" w:type="dxa"/>
            <w:tcBorders>
              <w:top w:val="single" w:sz="3" w:space="0" w:color="000000"/>
              <w:left w:val="single" w:sz="3" w:space="0" w:color="000000"/>
              <w:bottom w:val="single" w:sz="3" w:space="0" w:color="000000"/>
              <w:right w:val="single" w:sz="3" w:space="0" w:color="000000"/>
            </w:tcBorders>
            <w:vAlign w:val="center"/>
          </w:tcPr>
          <w:p w14:paraId="3EB1C094" w14:textId="77777777" w:rsidR="003F0DB8" w:rsidRDefault="00000000">
            <w:pPr>
              <w:spacing w:after="20" w:line="259" w:lineRule="auto"/>
              <w:ind w:left="0" w:firstLine="0"/>
            </w:pPr>
            <w:r>
              <w:rPr>
                <w:sz w:val="18"/>
              </w:rPr>
              <w:t xml:space="preserve">Azure Advisor flags </w:t>
            </w:r>
          </w:p>
          <w:p w14:paraId="4435C941" w14:textId="77777777" w:rsidR="003F0DB8" w:rsidRDefault="00000000">
            <w:pPr>
              <w:spacing w:after="0" w:line="259" w:lineRule="auto"/>
              <w:ind w:left="0" w:firstLine="0"/>
            </w:pPr>
            <w:r>
              <w:rPr>
                <w:sz w:val="18"/>
              </w:rPr>
              <w:t xml:space="preserve">~£25k headline </w:t>
            </w:r>
          </w:p>
        </w:tc>
        <w:tc>
          <w:tcPr>
            <w:tcW w:w="1498" w:type="dxa"/>
            <w:tcBorders>
              <w:top w:val="single" w:sz="3" w:space="0" w:color="000000"/>
              <w:left w:val="single" w:sz="3" w:space="0" w:color="000000"/>
              <w:bottom w:val="single" w:sz="3" w:space="0" w:color="000000"/>
              <w:right w:val="single" w:sz="3" w:space="0" w:color="000000"/>
            </w:tcBorders>
          </w:tcPr>
          <w:p w14:paraId="5E769422" w14:textId="77777777" w:rsidR="003F0DB8" w:rsidRDefault="00000000">
            <w:pPr>
              <w:spacing w:after="0" w:line="259" w:lineRule="auto"/>
              <w:ind w:left="0" w:firstLine="0"/>
            </w:pPr>
            <w:r>
              <w:rPr>
                <w:color w:val="C00000"/>
                <w:sz w:val="18"/>
              </w:rPr>
              <w:t xml:space="preserve">●  </w:t>
            </w:r>
            <w:r>
              <w:rPr>
                <w:sz w:val="18"/>
              </w:rPr>
              <w:t xml:space="preserve">High </w:t>
            </w:r>
          </w:p>
        </w:tc>
      </w:tr>
    </w:tbl>
    <w:p w14:paraId="407B1E17" w14:textId="77777777" w:rsidR="003F0DB8" w:rsidRDefault="00000000">
      <w:pPr>
        <w:spacing w:after="122" w:line="259" w:lineRule="auto"/>
        <w:ind w:left="0" w:firstLine="0"/>
      </w:pPr>
      <w:r>
        <w:rPr>
          <w:sz w:val="24"/>
        </w:rPr>
        <w:t xml:space="preserve"> </w:t>
      </w:r>
    </w:p>
    <w:p w14:paraId="4E3E235C" w14:textId="77777777" w:rsidR="003F0DB8" w:rsidRDefault="00000000">
      <w:pPr>
        <w:spacing w:after="183" w:line="259" w:lineRule="auto"/>
        <w:ind w:left="0" w:firstLine="0"/>
      </w:pPr>
      <w:r>
        <w:rPr>
          <w:sz w:val="24"/>
        </w:rPr>
        <w:t xml:space="preserve"> </w:t>
      </w:r>
    </w:p>
    <w:p w14:paraId="40DF5371" w14:textId="77777777" w:rsidR="003F0DB8" w:rsidRDefault="00000000">
      <w:pPr>
        <w:spacing w:after="0" w:line="259" w:lineRule="auto"/>
        <w:ind w:left="0" w:firstLine="0"/>
        <w:jc w:val="both"/>
      </w:pPr>
      <w:r>
        <w:rPr>
          <w:sz w:val="24"/>
        </w:rPr>
        <w:t xml:space="preserve"> </w:t>
      </w:r>
      <w:r>
        <w:rPr>
          <w:sz w:val="24"/>
        </w:rPr>
        <w:tab/>
      </w:r>
      <w:r>
        <w:rPr>
          <w:b/>
          <w:sz w:val="28"/>
        </w:rPr>
        <w:t xml:space="preserve"> </w:t>
      </w:r>
      <w:r>
        <w:br w:type="page"/>
      </w:r>
    </w:p>
    <w:p w14:paraId="5290F9C8" w14:textId="77777777" w:rsidR="003F0DB8" w:rsidRDefault="00000000">
      <w:pPr>
        <w:pStyle w:val="Heading1"/>
        <w:ind w:left="-5"/>
      </w:pPr>
      <w:bookmarkStart w:id="74" w:name="_Toc96856"/>
      <w:r>
        <w:lastRenderedPageBreak/>
        <w:t xml:space="preserve">Recommendations </w:t>
      </w:r>
      <w:bookmarkEnd w:id="74"/>
    </w:p>
    <w:p w14:paraId="1ECB3E6E" w14:textId="77777777" w:rsidR="003F0DB8" w:rsidRDefault="00000000">
      <w:pPr>
        <w:pStyle w:val="Heading3"/>
        <w:ind w:left="-5"/>
      </w:pPr>
      <w:r>
        <w:t>Tagging and Chargeback</w:t>
      </w:r>
      <w:r>
        <w:rPr>
          <w:b w:val="0"/>
        </w:rPr>
        <w:t xml:space="preserve"> </w:t>
      </w:r>
    </w:p>
    <w:p w14:paraId="7626D474" w14:textId="77777777" w:rsidR="003F0DB8" w:rsidRDefault="00000000">
      <w:pPr>
        <w:numPr>
          <w:ilvl w:val="0"/>
          <w:numId w:val="106"/>
        </w:numPr>
        <w:spacing w:after="46"/>
        <w:ind w:right="5" w:hanging="284"/>
      </w:pPr>
      <w:r>
        <w:rPr>
          <w:b/>
        </w:rPr>
        <w:t>Enforce the Tagging Taxonomy:</w:t>
      </w:r>
      <w:r>
        <w:t xml:space="preserve"> adopt and enforce the CAF tagging taxonomy as Azure Policy, mandating Owner and CostCenter tags at vending intake, with a deny on subscription creation where a CostCenter tag is missing. </w:t>
      </w:r>
    </w:p>
    <w:p w14:paraId="4AB165D1" w14:textId="77777777" w:rsidR="003F0DB8" w:rsidRDefault="00000000">
      <w:pPr>
        <w:numPr>
          <w:ilvl w:val="0"/>
          <w:numId w:val="106"/>
        </w:numPr>
        <w:spacing w:after="78"/>
        <w:ind w:right="5" w:hanging="284"/>
      </w:pPr>
      <w:r>
        <w:rPr>
          <w:b/>
        </w:rPr>
        <w:t>Stand Up a Showback Model:</w:t>
      </w:r>
      <w:r>
        <w:t xml:space="preserve"> build a Power BI showback model fed by Cost Management data, with named budget owners per service line. </w:t>
      </w:r>
    </w:p>
    <w:p w14:paraId="129BF08D" w14:textId="77777777" w:rsidR="003F0DB8" w:rsidRDefault="00000000">
      <w:pPr>
        <w:pStyle w:val="Heading3"/>
        <w:ind w:left="-5"/>
      </w:pPr>
      <w:r>
        <w:t>Reservations and Commitment</w:t>
      </w:r>
      <w:r>
        <w:rPr>
          <w:b w:val="0"/>
        </w:rPr>
        <w:t xml:space="preserve"> </w:t>
      </w:r>
    </w:p>
    <w:p w14:paraId="0367FABD" w14:textId="77777777" w:rsidR="003F0DB8" w:rsidRDefault="00000000">
      <w:pPr>
        <w:spacing w:after="136"/>
        <w:ind w:right="5"/>
      </w:pPr>
      <w:r>
        <w:rPr>
          <w:rFonts w:ascii="Segoe UI Symbol" w:eastAsia="Segoe UI Symbol" w:hAnsi="Segoe UI Symbol" w:cs="Segoe UI Symbol"/>
          <w:sz w:val="24"/>
        </w:rPr>
        <w:t>•</w:t>
      </w:r>
      <w:r>
        <w:rPr>
          <w:rFonts w:ascii="Arial" w:eastAsia="Arial" w:hAnsi="Arial" w:cs="Arial"/>
          <w:sz w:val="24"/>
        </w:rPr>
        <w:t xml:space="preserve"> </w:t>
      </w:r>
      <w:r>
        <w:rPr>
          <w:b/>
        </w:rPr>
        <w:t>Commit Compute, Defer the Rest:</w:t>
      </w:r>
      <w:r>
        <w:t xml:space="preserve"> adopt an Azure Savings Plan for compute, and defer reservations on rebuild-affected services until target sizing is known. </w:t>
      </w:r>
    </w:p>
    <w:p w14:paraId="470AC9E6" w14:textId="77777777" w:rsidR="003F0DB8" w:rsidRDefault="00000000">
      <w:pPr>
        <w:pStyle w:val="Heading3"/>
        <w:ind w:left="-5"/>
      </w:pPr>
      <w:r>
        <w:t>Right-Sizing</w:t>
      </w:r>
      <w:r>
        <w:rPr>
          <w:b w:val="0"/>
        </w:rPr>
        <w:t xml:space="preserve"> </w:t>
      </w:r>
    </w:p>
    <w:p w14:paraId="03F060F6" w14:textId="77777777" w:rsidR="003F0DB8" w:rsidRDefault="00000000">
      <w:pPr>
        <w:numPr>
          <w:ilvl w:val="0"/>
          <w:numId w:val="107"/>
        </w:numPr>
        <w:spacing w:after="47"/>
        <w:ind w:right="5" w:hanging="284"/>
      </w:pPr>
      <w:r>
        <w:rPr>
          <w:b/>
        </w:rPr>
        <w:t>Rationalise High-Cost Workloads:</w:t>
      </w:r>
      <w:r>
        <w:t xml:space="preserve"> consolidate AIS App Service Plans and API Management, tune the Defender for API plan after the rate-limiting fix, and convert the legacy storage account backlog. For storage, first establish the split between storage accounts and VM-attached managed disks, then tier the hot-only estate to cool and archive. </w:t>
      </w:r>
    </w:p>
    <w:p w14:paraId="37C48021" w14:textId="77777777" w:rsidR="003F0DB8" w:rsidRDefault="00000000">
      <w:pPr>
        <w:numPr>
          <w:ilvl w:val="0"/>
          <w:numId w:val="107"/>
        </w:numPr>
        <w:spacing w:after="41"/>
        <w:ind w:right="5" w:hanging="284"/>
      </w:pPr>
      <w:r>
        <w:rPr>
          <w:b/>
        </w:rPr>
        <w:t>Right-Size Fabric and SQL:</w:t>
      </w:r>
      <w:r>
        <w:t xml:space="preserve"> validate Fabric capacity against actual peak utilisation and pause non-production capacities out of hours, and review SQL service tiers against measured utilisation rather than headline assumptions. </w:t>
      </w:r>
    </w:p>
    <w:p w14:paraId="087445C3" w14:textId="77777777" w:rsidR="003F0DB8" w:rsidRDefault="00000000">
      <w:pPr>
        <w:numPr>
          <w:ilvl w:val="0"/>
          <w:numId w:val="107"/>
        </w:numPr>
        <w:spacing w:after="45"/>
        <w:ind w:right="5" w:hanging="284"/>
      </w:pPr>
      <w:r>
        <w:rPr>
          <w:b/>
        </w:rPr>
        <w:t>Modernise VMs and Apply Hybrid Benefit:</w:t>
      </w:r>
      <w:r>
        <w:t xml:space="preserve"> modernise VMs to the current generation and apply Azure Hybrid Benefit on eligible Windows Server and SQL Server licences, both of which reduce unit cost with no architectural change. </w:t>
      </w:r>
    </w:p>
    <w:p w14:paraId="6FA50029" w14:textId="77777777" w:rsidR="003F0DB8" w:rsidRDefault="00000000">
      <w:pPr>
        <w:numPr>
          <w:ilvl w:val="0"/>
          <w:numId w:val="107"/>
        </w:numPr>
        <w:spacing w:after="137"/>
        <w:ind w:right="5" w:hanging="284"/>
      </w:pPr>
      <w:r>
        <w:rPr>
          <w:b/>
        </w:rPr>
        <w:t>Use Dev/Test Subscriptions for Non-Production:</w:t>
      </w:r>
      <w:r>
        <w:t xml:space="preserve"> vend non-production workloads into Azure Dev/Test subscription types to pick up automatic rate reductions, since the estate currently vends everything as standard EA subscriptions. </w:t>
      </w:r>
    </w:p>
    <w:p w14:paraId="2804192F" w14:textId="77777777" w:rsidR="003F0DB8" w:rsidRDefault="00000000">
      <w:pPr>
        <w:pStyle w:val="Heading3"/>
        <w:ind w:left="-5"/>
      </w:pPr>
      <w:r>
        <w:t>Networking</w:t>
      </w:r>
      <w:r>
        <w:rPr>
          <w:b w:val="0"/>
        </w:rPr>
        <w:t xml:space="preserve"> </w:t>
      </w:r>
    </w:p>
    <w:p w14:paraId="4046F651" w14:textId="77777777" w:rsidR="003F0DB8" w:rsidRDefault="00000000">
      <w:pPr>
        <w:spacing w:after="138"/>
        <w:ind w:right="5"/>
      </w:pPr>
      <w:r>
        <w:rPr>
          <w:rFonts w:ascii="Segoe UI Symbol" w:eastAsia="Segoe UI Symbol" w:hAnsi="Segoe UI Symbol" w:cs="Segoe UI Symbol"/>
          <w:sz w:val="24"/>
        </w:rPr>
        <w:t>•</w:t>
      </w:r>
      <w:r>
        <w:rPr>
          <w:rFonts w:ascii="Arial" w:eastAsia="Arial" w:hAnsi="Arial" w:cs="Arial"/>
          <w:sz w:val="24"/>
        </w:rPr>
        <w:t xml:space="preserve"> </w:t>
      </w:r>
      <w:r>
        <w:rPr>
          <w:b/>
        </w:rPr>
        <w:t>Restructure the Networking Spend:</w:t>
      </w:r>
      <w:r>
        <w:t xml:space="preserve"> audit gateway SKUs against active throughput, consolidate regional gateways into Azure Virtual WAN where the HSCN connectivity allows, and review the API Management tier against actual throughput rather than defaulting to Premium. </w:t>
      </w:r>
    </w:p>
    <w:p w14:paraId="7D645DE2" w14:textId="77777777" w:rsidR="003F0DB8" w:rsidRDefault="00000000">
      <w:pPr>
        <w:pStyle w:val="Heading3"/>
        <w:ind w:left="-5"/>
      </w:pPr>
      <w:r>
        <w:t>FinOps Cadence</w:t>
      </w:r>
      <w:r>
        <w:rPr>
          <w:b w:val="0"/>
        </w:rPr>
        <w:t xml:space="preserve"> </w:t>
      </w:r>
    </w:p>
    <w:p w14:paraId="0E72ACDA" w14:textId="77777777" w:rsidR="003F0DB8" w:rsidRDefault="00000000">
      <w:pPr>
        <w:numPr>
          <w:ilvl w:val="0"/>
          <w:numId w:val="108"/>
        </w:numPr>
        <w:spacing w:after="46"/>
        <w:ind w:right="5" w:hanging="284"/>
      </w:pPr>
      <w:r>
        <w:rPr>
          <w:b/>
        </w:rPr>
        <w:t>Establish a Monthly FinOps Review:</w:t>
      </w:r>
      <w:r>
        <w:t xml:space="preserve"> run a monthly FinOps review paired with the existing service-management cadence rather than as a parallel forum, bringing engineering, architecture and finance together. Minimum agenda: actual versus budget by management group, the largest month-on-month movements, and one optimisation commitment per workload owner. </w:t>
      </w:r>
    </w:p>
    <w:p w14:paraId="605DE383" w14:textId="77777777" w:rsidR="003F0DB8" w:rsidRDefault="00000000">
      <w:pPr>
        <w:numPr>
          <w:ilvl w:val="0"/>
          <w:numId w:val="108"/>
        </w:numPr>
        <w:ind w:right="5" w:hanging="284"/>
      </w:pPr>
      <w:r>
        <w:rPr>
          <w:b/>
        </w:rPr>
        <w:t>Make Cost a Design Input:</w:t>
      </w:r>
      <w:r>
        <w:t xml:space="preserve"> integrate a cost gate into the Architecture Steering Group so spend is a design input rather than an after-the-fact report. </w:t>
      </w:r>
    </w:p>
    <w:p w14:paraId="0CEDFAE6" w14:textId="77777777" w:rsidR="003F0DB8" w:rsidRDefault="00000000">
      <w:pPr>
        <w:numPr>
          <w:ilvl w:val="0"/>
          <w:numId w:val="108"/>
        </w:numPr>
        <w:ind w:right="5" w:hanging="284"/>
      </w:pPr>
      <w:r>
        <w:rPr>
          <w:b/>
        </w:rPr>
        <w:lastRenderedPageBreak/>
        <w:t>Automate Budgets and Anomaly Detection:</w:t>
      </w:r>
      <w:r>
        <w:t xml:space="preserve"> configure budgets and alerts at management-group and subscription level, and enable Cost Management anomaly detection on the top cost-driving services to catch unintended consumption. </w:t>
      </w:r>
    </w:p>
    <w:p w14:paraId="20BF0905" w14:textId="77777777" w:rsidR="003F0DB8" w:rsidRDefault="00000000">
      <w:pPr>
        <w:spacing w:after="125" w:line="259" w:lineRule="auto"/>
        <w:ind w:left="0" w:firstLine="0"/>
      </w:pPr>
      <w:r>
        <w:rPr>
          <w:sz w:val="24"/>
        </w:rPr>
        <w:t xml:space="preserve"> </w:t>
      </w:r>
    </w:p>
    <w:p w14:paraId="5BC9D8E2" w14:textId="77777777" w:rsidR="003F0DB8" w:rsidRDefault="00000000">
      <w:pPr>
        <w:spacing w:after="205" w:line="259" w:lineRule="auto"/>
        <w:ind w:left="0" w:firstLine="0"/>
      </w:pPr>
      <w:r>
        <w:rPr>
          <w:sz w:val="24"/>
        </w:rPr>
        <w:t xml:space="preserve"> </w:t>
      </w:r>
    </w:p>
    <w:p w14:paraId="69924EA9" w14:textId="77777777" w:rsidR="003F0DB8" w:rsidRDefault="00000000">
      <w:pPr>
        <w:pStyle w:val="Heading1"/>
        <w:spacing w:after="86"/>
        <w:ind w:left="-5"/>
      </w:pPr>
      <w:bookmarkStart w:id="75" w:name="_Toc96857"/>
      <w:r>
        <w:rPr>
          <w:sz w:val="32"/>
        </w:rPr>
        <w:t xml:space="preserve">Focus Area: AIS (Application Integration Services) </w:t>
      </w:r>
      <w:bookmarkEnd w:id="75"/>
    </w:p>
    <w:p w14:paraId="2CE08D33" w14:textId="77777777" w:rsidR="003F0DB8" w:rsidRDefault="00000000">
      <w:pPr>
        <w:pStyle w:val="Heading1"/>
        <w:ind w:left="-5"/>
      </w:pPr>
      <w:bookmarkStart w:id="76" w:name="_Toc96858"/>
      <w:r>
        <w:t xml:space="preserve">Objective </w:t>
      </w:r>
      <w:bookmarkEnd w:id="76"/>
    </w:p>
    <w:p w14:paraId="3D95B545" w14:textId="77777777" w:rsidR="003F0DB8" w:rsidRDefault="00000000">
      <w:pPr>
        <w:spacing w:after="110" w:line="269" w:lineRule="auto"/>
        <w:ind w:left="10" w:right="3" w:hanging="10"/>
      </w:pPr>
      <w:r>
        <w:rPr>
          <w:sz w:val="24"/>
        </w:rPr>
        <w:t xml:space="preserve">Discovery of AIS workloads </w:t>
      </w:r>
    </w:p>
    <w:p w14:paraId="3357E671" w14:textId="77777777" w:rsidR="003F0DB8" w:rsidRDefault="00000000">
      <w:pPr>
        <w:numPr>
          <w:ilvl w:val="0"/>
          <w:numId w:val="109"/>
        </w:numPr>
        <w:spacing w:after="0" w:line="269" w:lineRule="auto"/>
        <w:ind w:right="3" w:hanging="284"/>
      </w:pPr>
      <w:r>
        <w:rPr>
          <w:sz w:val="24"/>
        </w:rPr>
        <w:t xml:space="preserve">Discovery all current and planned integration flows, covering source systems, consumers, data sensitivity, and pattern type.  </w:t>
      </w:r>
    </w:p>
    <w:p w14:paraId="4E3056BD" w14:textId="77777777" w:rsidR="003F0DB8" w:rsidRDefault="00000000">
      <w:pPr>
        <w:numPr>
          <w:ilvl w:val="0"/>
          <w:numId w:val="109"/>
        </w:numPr>
        <w:spacing w:after="0" w:line="269" w:lineRule="auto"/>
        <w:ind w:right="3" w:hanging="284"/>
      </w:pPr>
      <w:r>
        <w:rPr>
          <w:sz w:val="24"/>
        </w:rPr>
        <w:t xml:space="preserve">Assess the fitness of existing integrations - including MuleSoft-managed flows - against AIS target architecture and identify migration or decommission candidates.  </w:t>
      </w:r>
    </w:p>
    <w:p w14:paraId="2F7C7AC3" w14:textId="77777777" w:rsidR="003F0DB8" w:rsidRDefault="00000000">
      <w:pPr>
        <w:numPr>
          <w:ilvl w:val="0"/>
          <w:numId w:val="109"/>
        </w:numPr>
        <w:spacing w:after="0" w:line="269" w:lineRule="auto"/>
        <w:ind w:right="3" w:hanging="284"/>
      </w:pPr>
      <w:r>
        <w:rPr>
          <w:sz w:val="24"/>
        </w:rPr>
        <w:t xml:space="preserve">Define standards across authentication, error handling and retry behaviour.  </w:t>
      </w:r>
    </w:p>
    <w:p w14:paraId="557E461B" w14:textId="77777777" w:rsidR="003F0DB8" w:rsidRDefault="00000000">
      <w:pPr>
        <w:numPr>
          <w:ilvl w:val="0"/>
          <w:numId w:val="109"/>
        </w:numPr>
        <w:spacing w:after="0" w:line="269" w:lineRule="auto"/>
        <w:ind w:right="3" w:hanging="284"/>
      </w:pPr>
      <w:r>
        <w:rPr>
          <w:sz w:val="24"/>
        </w:rPr>
        <w:t xml:space="preserve">Ensure observability across all flows with end-to-end traceability, alerting, and audit capability proportionate to data sensitivity. </w:t>
      </w:r>
    </w:p>
    <w:p w14:paraId="68546DA5" w14:textId="77777777" w:rsidR="003F0DB8" w:rsidRDefault="00000000">
      <w:pPr>
        <w:spacing w:after="178" w:line="259" w:lineRule="auto"/>
        <w:ind w:left="0" w:firstLine="0"/>
      </w:pPr>
      <w:r>
        <w:rPr>
          <w:sz w:val="24"/>
        </w:rPr>
        <w:t xml:space="preserve"> </w:t>
      </w:r>
    </w:p>
    <w:p w14:paraId="09FF4C1B" w14:textId="77777777" w:rsidR="003F0DB8" w:rsidRDefault="00000000">
      <w:pPr>
        <w:pStyle w:val="Heading1"/>
        <w:ind w:left="-5"/>
      </w:pPr>
      <w:bookmarkStart w:id="77" w:name="_Toc96859"/>
      <w:r>
        <w:t xml:space="preserve">Solution Overview </w:t>
      </w:r>
      <w:bookmarkEnd w:id="77"/>
    </w:p>
    <w:p w14:paraId="22175046" w14:textId="77777777" w:rsidR="003F0DB8" w:rsidRDefault="00000000">
      <w:pPr>
        <w:spacing w:after="110" w:line="269" w:lineRule="auto"/>
        <w:ind w:left="10" w:right="3" w:hanging="10"/>
      </w:pPr>
      <w:r>
        <w:rPr>
          <w:sz w:val="24"/>
        </w:rPr>
        <w:t xml:space="preserve">The AIS is an Azure-based integration platform connecting internal and external systems across synchronous and asynchronous patterns. The synchronous layer is fronted by APIM, serving data from EDP and MuleSoft to Provider and Syndication consumers with layered caching to manage load. Asynchronous processing is built around Azure Service Bus, driving NHS ESR employee data ingestion and fanning out to Cygnum, Cornerstone, Dynamics FinOps, and EntraID; this pipeline carries GDPR-sensitive data with retention policies yet to be formalised. Several MuleSoft integrations - including Address Lookups and Cygnum registration - are candidates for migration into AIS, while the SOAD to Regulatory Platform flow is under review and may be descoped. </w:t>
      </w:r>
    </w:p>
    <w:p w14:paraId="736F4433" w14:textId="77777777" w:rsidR="003F0DB8" w:rsidRDefault="00000000">
      <w:pPr>
        <w:spacing w:after="0" w:line="259" w:lineRule="auto"/>
        <w:ind w:left="0" w:firstLine="0"/>
      </w:pPr>
      <w:r>
        <w:rPr>
          <w:sz w:val="24"/>
        </w:rPr>
        <w:t xml:space="preserve"> </w:t>
      </w:r>
    </w:p>
    <w:p w14:paraId="0E985044" w14:textId="77777777" w:rsidR="003F0DB8" w:rsidRDefault="00000000">
      <w:pPr>
        <w:pStyle w:val="Heading2"/>
        <w:spacing w:after="0"/>
        <w:ind w:left="-5"/>
      </w:pPr>
      <w:r>
        <w:lastRenderedPageBreak/>
        <w:t xml:space="preserve">System High level view </w:t>
      </w:r>
    </w:p>
    <w:tbl>
      <w:tblPr>
        <w:tblStyle w:val="TableGrid"/>
        <w:tblW w:w="8762" w:type="dxa"/>
        <w:tblInd w:w="10" w:type="dxa"/>
        <w:tblCellMar>
          <w:top w:w="0" w:type="dxa"/>
          <w:left w:w="0" w:type="dxa"/>
          <w:bottom w:w="0" w:type="dxa"/>
          <w:right w:w="0" w:type="dxa"/>
        </w:tblCellMar>
        <w:tblLook w:val="04A0" w:firstRow="1" w:lastRow="0" w:firstColumn="1" w:lastColumn="0" w:noHBand="0" w:noVBand="1"/>
      </w:tblPr>
      <w:tblGrid>
        <w:gridCol w:w="1019"/>
        <w:gridCol w:w="7743"/>
      </w:tblGrid>
      <w:tr w:rsidR="003F0DB8" w14:paraId="28DFA0B4" w14:textId="77777777">
        <w:trPr>
          <w:trHeight w:val="1221"/>
        </w:trPr>
        <w:tc>
          <w:tcPr>
            <w:tcW w:w="1020" w:type="dxa"/>
            <w:tcBorders>
              <w:top w:val="nil"/>
              <w:left w:val="nil"/>
              <w:bottom w:val="nil"/>
              <w:right w:val="nil"/>
            </w:tcBorders>
            <w:vAlign w:val="bottom"/>
          </w:tcPr>
          <w:p w14:paraId="044BFE60" w14:textId="77777777" w:rsidR="003F0DB8" w:rsidRDefault="003F0DB8">
            <w:pPr>
              <w:spacing w:after="0" w:line="259" w:lineRule="auto"/>
              <w:ind w:left="-1450" w:right="432" w:firstLine="0"/>
            </w:pPr>
          </w:p>
          <w:tbl>
            <w:tblPr>
              <w:tblStyle w:val="TableGrid"/>
              <w:tblW w:w="579" w:type="dxa"/>
              <w:tblInd w:w="8" w:type="dxa"/>
              <w:tblCellMar>
                <w:top w:w="0" w:type="dxa"/>
                <w:left w:w="115" w:type="dxa"/>
                <w:bottom w:w="0" w:type="dxa"/>
                <w:right w:w="115" w:type="dxa"/>
              </w:tblCellMar>
              <w:tblLook w:val="04A0" w:firstRow="1" w:lastRow="0" w:firstColumn="1" w:lastColumn="0" w:noHBand="0" w:noVBand="1"/>
            </w:tblPr>
            <w:tblGrid>
              <w:gridCol w:w="579"/>
            </w:tblGrid>
            <w:tr w:rsidR="003F0DB8" w14:paraId="72777C1E" w14:textId="77777777">
              <w:trPr>
                <w:trHeight w:val="289"/>
              </w:trPr>
              <w:tc>
                <w:tcPr>
                  <w:tcW w:w="579" w:type="dxa"/>
                  <w:tcBorders>
                    <w:top w:val="nil"/>
                    <w:left w:val="nil"/>
                    <w:bottom w:val="nil"/>
                    <w:right w:val="nil"/>
                  </w:tcBorders>
                  <w:shd w:val="clear" w:color="auto" w:fill="8ED873"/>
                  <w:vAlign w:val="center"/>
                </w:tcPr>
                <w:p w14:paraId="726A48CB" w14:textId="77777777" w:rsidR="003F0DB8" w:rsidRDefault="00000000">
                  <w:pPr>
                    <w:spacing w:after="0" w:line="259" w:lineRule="auto"/>
                    <w:ind w:left="0" w:right="2" w:firstLine="0"/>
                    <w:jc w:val="center"/>
                  </w:pPr>
                  <w:r>
                    <w:rPr>
                      <w:rFonts w:ascii="Calibri" w:eastAsia="Calibri" w:hAnsi="Calibri" w:cs="Calibri"/>
                      <w:b/>
                      <w:color w:val="FEFFFF"/>
                      <w:sz w:val="4"/>
                    </w:rPr>
                    <w:t>CQC Apps</w:t>
                  </w:r>
                </w:p>
              </w:tc>
            </w:tr>
          </w:tbl>
          <w:p w14:paraId="6CE18C26" w14:textId="77777777" w:rsidR="003F0DB8" w:rsidRDefault="003F0DB8">
            <w:pPr>
              <w:spacing w:after="160" w:line="259" w:lineRule="auto"/>
              <w:ind w:left="0" w:firstLine="0"/>
            </w:pPr>
          </w:p>
        </w:tc>
        <w:tc>
          <w:tcPr>
            <w:tcW w:w="7743" w:type="dxa"/>
            <w:vMerge w:val="restart"/>
            <w:tcBorders>
              <w:top w:val="nil"/>
              <w:left w:val="nil"/>
              <w:bottom w:val="nil"/>
              <w:right w:val="nil"/>
            </w:tcBorders>
          </w:tcPr>
          <w:p w14:paraId="23CA7462" w14:textId="77777777" w:rsidR="003F0DB8" w:rsidRDefault="00000000">
            <w:pPr>
              <w:spacing w:after="0" w:line="259" w:lineRule="auto"/>
              <w:ind w:left="432" w:firstLine="0"/>
            </w:pPr>
            <w:r>
              <w:rPr>
                <w:noProof/>
              </w:rPr>
              <w:drawing>
                <wp:inline distT="0" distB="0" distL="0" distR="0" wp14:anchorId="3CCFABFE" wp14:editId="0605FEED">
                  <wp:extent cx="4642104" cy="2734056"/>
                  <wp:effectExtent l="0" t="0" r="0" b="0"/>
                  <wp:docPr id="94640" name="Picture 94640"/>
                  <wp:cNvGraphicFramePr/>
                  <a:graphic xmlns:a="http://schemas.openxmlformats.org/drawingml/2006/main">
                    <a:graphicData uri="http://schemas.openxmlformats.org/drawingml/2006/picture">
                      <pic:pic xmlns:pic="http://schemas.openxmlformats.org/drawingml/2006/picture">
                        <pic:nvPicPr>
                          <pic:cNvPr id="94640" name="Picture 94640"/>
                          <pic:cNvPicPr/>
                        </pic:nvPicPr>
                        <pic:blipFill>
                          <a:blip r:embed="rId22"/>
                          <a:stretch>
                            <a:fillRect/>
                          </a:stretch>
                        </pic:blipFill>
                        <pic:spPr>
                          <a:xfrm>
                            <a:off x="0" y="0"/>
                            <a:ext cx="4642104" cy="2734056"/>
                          </a:xfrm>
                          <a:prstGeom prst="rect">
                            <a:avLst/>
                          </a:prstGeom>
                        </pic:spPr>
                      </pic:pic>
                    </a:graphicData>
                  </a:graphic>
                </wp:inline>
              </w:drawing>
            </w:r>
          </w:p>
        </w:tc>
      </w:tr>
      <w:tr w:rsidR="003F0DB8" w14:paraId="2F13E1AD" w14:textId="77777777">
        <w:trPr>
          <w:trHeight w:val="448"/>
        </w:trPr>
        <w:tc>
          <w:tcPr>
            <w:tcW w:w="1020" w:type="dxa"/>
            <w:tcBorders>
              <w:top w:val="nil"/>
              <w:left w:val="nil"/>
              <w:bottom w:val="nil"/>
              <w:right w:val="nil"/>
            </w:tcBorders>
          </w:tcPr>
          <w:p w14:paraId="2624EFB6" w14:textId="77777777" w:rsidR="003F0DB8" w:rsidRDefault="003F0DB8">
            <w:pPr>
              <w:spacing w:after="0" w:line="259" w:lineRule="auto"/>
              <w:ind w:left="-1450" w:right="432" w:firstLine="0"/>
            </w:pPr>
          </w:p>
          <w:tbl>
            <w:tblPr>
              <w:tblStyle w:val="TableGrid"/>
              <w:tblW w:w="579" w:type="dxa"/>
              <w:tblInd w:w="8" w:type="dxa"/>
              <w:tblCellMar>
                <w:top w:w="0" w:type="dxa"/>
                <w:left w:w="105" w:type="dxa"/>
                <w:bottom w:w="0" w:type="dxa"/>
                <w:right w:w="108" w:type="dxa"/>
              </w:tblCellMar>
              <w:tblLook w:val="04A0" w:firstRow="1" w:lastRow="0" w:firstColumn="1" w:lastColumn="0" w:noHBand="0" w:noVBand="1"/>
            </w:tblPr>
            <w:tblGrid>
              <w:gridCol w:w="579"/>
            </w:tblGrid>
            <w:tr w:rsidR="003F0DB8" w14:paraId="7181A456" w14:textId="77777777">
              <w:trPr>
                <w:trHeight w:val="293"/>
              </w:trPr>
              <w:tc>
                <w:tcPr>
                  <w:tcW w:w="579" w:type="dxa"/>
                  <w:tcBorders>
                    <w:top w:val="nil"/>
                    <w:left w:val="nil"/>
                    <w:bottom w:val="nil"/>
                    <w:right w:val="nil"/>
                  </w:tcBorders>
                  <w:shd w:val="clear" w:color="auto" w:fill="83CAEB"/>
                  <w:vAlign w:val="center"/>
                </w:tcPr>
                <w:p w14:paraId="720CD62E" w14:textId="77777777" w:rsidR="003F0DB8" w:rsidRDefault="00000000">
                  <w:pPr>
                    <w:spacing w:after="0" w:line="259" w:lineRule="auto"/>
                    <w:ind w:left="0" w:firstLine="0"/>
                    <w:jc w:val="center"/>
                  </w:pPr>
                  <w:r>
                    <w:rPr>
                      <w:rFonts w:ascii="Calibri" w:eastAsia="Calibri" w:hAnsi="Calibri" w:cs="Calibri"/>
                      <w:b/>
                      <w:color w:val="FEFFFF"/>
                      <w:sz w:val="4"/>
                    </w:rPr>
                    <w:t>CQC internal Systems</w:t>
                  </w:r>
                </w:p>
              </w:tc>
            </w:tr>
          </w:tbl>
          <w:p w14:paraId="158A5A60" w14:textId="77777777" w:rsidR="003F0DB8" w:rsidRDefault="003F0DB8">
            <w:pPr>
              <w:spacing w:after="160" w:line="259" w:lineRule="auto"/>
              <w:ind w:left="0" w:firstLine="0"/>
            </w:pPr>
          </w:p>
        </w:tc>
        <w:tc>
          <w:tcPr>
            <w:tcW w:w="0" w:type="auto"/>
            <w:vMerge/>
            <w:tcBorders>
              <w:top w:val="nil"/>
              <w:left w:val="nil"/>
              <w:bottom w:val="nil"/>
              <w:right w:val="nil"/>
            </w:tcBorders>
          </w:tcPr>
          <w:p w14:paraId="77B9D456" w14:textId="77777777" w:rsidR="003F0DB8" w:rsidRDefault="003F0DB8">
            <w:pPr>
              <w:spacing w:after="160" w:line="259" w:lineRule="auto"/>
              <w:ind w:left="0" w:firstLine="0"/>
            </w:pPr>
          </w:p>
        </w:tc>
      </w:tr>
      <w:tr w:rsidR="003F0DB8" w14:paraId="1299FC60" w14:textId="77777777">
        <w:trPr>
          <w:trHeight w:val="467"/>
        </w:trPr>
        <w:tc>
          <w:tcPr>
            <w:tcW w:w="1020" w:type="dxa"/>
            <w:tcBorders>
              <w:top w:val="nil"/>
              <w:left w:val="nil"/>
              <w:bottom w:val="nil"/>
              <w:right w:val="nil"/>
            </w:tcBorders>
          </w:tcPr>
          <w:p w14:paraId="28C57C32" w14:textId="77777777" w:rsidR="003F0DB8" w:rsidRDefault="003F0DB8">
            <w:pPr>
              <w:spacing w:after="0" w:line="259" w:lineRule="auto"/>
              <w:ind w:left="-1450" w:right="432" w:firstLine="0"/>
            </w:pPr>
          </w:p>
          <w:tbl>
            <w:tblPr>
              <w:tblStyle w:val="TableGrid"/>
              <w:tblW w:w="587" w:type="dxa"/>
              <w:tblInd w:w="0" w:type="dxa"/>
              <w:tblCellMar>
                <w:top w:w="0" w:type="dxa"/>
                <w:left w:w="115" w:type="dxa"/>
                <w:bottom w:w="0" w:type="dxa"/>
                <w:right w:w="115" w:type="dxa"/>
              </w:tblCellMar>
              <w:tblLook w:val="04A0" w:firstRow="1" w:lastRow="0" w:firstColumn="1" w:lastColumn="0" w:noHBand="0" w:noVBand="1"/>
            </w:tblPr>
            <w:tblGrid>
              <w:gridCol w:w="587"/>
            </w:tblGrid>
            <w:tr w:rsidR="003F0DB8" w14:paraId="47F084FF" w14:textId="77777777">
              <w:trPr>
                <w:trHeight w:val="293"/>
              </w:trPr>
              <w:tc>
                <w:tcPr>
                  <w:tcW w:w="587" w:type="dxa"/>
                  <w:tcBorders>
                    <w:top w:val="nil"/>
                    <w:left w:val="nil"/>
                    <w:bottom w:val="nil"/>
                    <w:right w:val="nil"/>
                  </w:tcBorders>
                  <w:shd w:val="clear" w:color="auto" w:fill="262626"/>
                  <w:vAlign w:val="center"/>
                </w:tcPr>
                <w:p w14:paraId="3B3A558B" w14:textId="77777777" w:rsidR="003F0DB8" w:rsidRDefault="00000000">
                  <w:pPr>
                    <w:spacing w:after="0" w:line="259" w:lineRule="auto"/>
                    <w:ind w:left="0" w:right="2" w:firstLine="0"/>
                    <w:jc w:val="center"/>
                  </w:pPr>
                  <w:r>
                    <w:rPr>
                      <w:rFonts w:ascii="Calibri" w:eastAsia="Calibri" w:hAnsi="Calibri" w:cs="Calibri"/>
                      <w:b/>
                      <w:color w:val="FEFFFF"/>
                      <w:sz w:val="4"/>
                    </w:rPr>
                    <w:t>External API</w:t>
                  </w:r>
                </w:p>
              </w:tc>
            </w:tr>
          </w:tbl>
          <w:p w14:paraId="712AF9C2" w14:textId="77777777" w:rsidR="003F0DB8" w:rsidRDefault="003F0DB8">
            <w:pPr>
              <w:spacing w:after="160" w:line="259" w:lineRule="auto"/>
              <w:ind w:left="0" w:firstLine="0"/>
            </w:pPr>
          </w:p>
        </w:tc>
        <w:tc>
          <w:tcPr>
            <w:tcW w:w="0" w:type="auto"/>
            <w:vMerge/>
            <w:tcBorders>
              <w:top w:val="nil"/>
              <w:left w:val="nil"/>
              <w:bottom w:val="nil"/>
              <w:right w:val="nil"/>
            </w:tcBorders>
          </w:tcPr>
          <w:p w14:paraId="18BC807D" w14:textId="77777777" w:rsidR="003F0DB8" w:rsidRDefault="003F0DB8">
            <w:pPr>
              <w:spacing w:after="160" w:line="259" w:lineRule="auto"/>
              <w:ind w:left="0" w:firstLine="0"/>
            </w:pPr>
          </w:p>
        </w:tc>
      </w:tr>
      <w:tr w:rsidR="003F0DB8" w14:paraId="1979E85E" w14:textId="77777777">
        <w:trPr>
          <w:trHeight w:val="2170"/>
        </w:trPr>
        <w:tc>
          <w:tcPr>
            <w:tcW w:w="1020" w:type="dxa"/>
            <w:tcBorders>
              <w:top w:val="nil"/>
              <w:left w:val="nil"/>
              <w:bottom w:val="nil"/>
              <w:right w:val="nil"/>
            </w:tcBorders>
          </w:tcPr>
          <w:p w14:paraId="3873B4DC" w14:textId="77777777" w:rsidR="003F0DB8" w:rsidRDefault="003F0DB8">
            <w:pPr>
              <w:spacing w:after="0" w:line="259" w:lineRule="auto"/>
              <w:ind w:left="-1450" w:right="432" w:firstLine="0"/>
            </w:pPr>
          </w:p>
          <w:tbl>
            <w:tblPr>
              <w:tblStyle w:val="TableGrid"/>
              <w:tblW w:w="587" w:type="dxa"/>
              <w:tblInd w:w="0" w:type="dxa"/>
              <w:tblCellMar>
                <w:top w:w="0" w:type="dxa"/>
                <w:left w:w="115" w:type="dxa"/>
                <w:bottom w:w="0" w:type="dxa"/>
                <w:right w:w="115" w:type="dxa"/>
              </w:tblCellMar>
              <w:tblLook w:val="04A0" w:firstRow="1" w:lastRow="0" w:firstColumn="1" w:lastColumn="0" w:noHBand="0" w:noVBand="1"/>
            </w:tblPr>
            <w:tblGrid>
              <w:gridCol w:w="587"/>
            </w:tblGrid>
            <w:tr w:rsidR="003F0DB8" w14:paraId="5091A288" w14:textId="77777777">
              <w:trPr>
                <w:trHeight w:val="293"/>
              </w:trPr>
              <w:tc>
                <w:tcPr>
                  <w:tcW w:w="587" w:type="dxa"/>
                  <w:tcBorders>
                    <w:top w:val="nil"/>
                    <w:left w:val="nil"/>
                    <w:bottom w:val="nil"/>
                    <w:right w:val="nil"/>
                  </w:tcBorders>
                  <w:shd w:val="clear" w:color="auto" w:fill="A5A5A5"/>
                  <w:vAlign w:val="center"/>
                </w:tcPr>
                <w:p w14:paraId="49EE286C" w14:textId="77777777" w:rsidR="003F0DB8" w:rsidRDefault="00000000">
                  <w:pPr>
                    <w:spacing w:after="0" w:line="259" w:lineRule="auto"/>
                    <w:ind w:left="0" w:right="2" w:firstLine="0"/>
                    <w:jc w:val="center"/>
                  </w:pPr>
                  <w:r>
                    <w:rPr>
                      <w:rFonts w:ascii="Calibri" w:eastAsia="Calibri" w:hAnsi="Calibri" w:cs="Calibri"/>
                      <w:color w:val="FEFFFF"/>
                      <w:sz w:val="4"/>
                    </w:rPr>
                    <w:t>External System</w:t>
                  </w:r>
                </w:p>
              </w:tc>
            </w:tr>
          </w:tbl>
          <w:p w14:paraId="7E151970" w14:textId="77777777" w:rsidR="003F0DB8" w:rsidRDefault="003F0DB8">
            <w:pPr>
              <w:spacing w:after="160" w:line="259" w:lineRule="auto"/>
              <w:ind w:left="0" w:firstLine="0"/>
            </w:pPr>
          </w:p>
        </w:tc>
        <w:tc>
          <w:tcPr>
            <w:tcW w:w="0" w:type="auto"/>
            <w:vMerge/>
            <w:tcBorders>
              <w:top w:val="nil"/>
              <w:left w:val="nil"/>
              <w:bottom w:val="nil"/>
              <w:right w:val="nil"/>
            </w:tcBorders>
          </w:tcPr>
          <w:p w14:paraId="0A7DDC52" w14:textId="77777777" w:rsidR="003F0DB8" w:rsidRDefault="003F0DB8">
            <w:pPr>
              <w:spacing w:after="160" w:line="259" w:lineRule="auto"/>
              <w:ind w:left="0" w:firstLine="0"/>
            </w:pPr>
          </w:p>
        </w:tc>
      </w:tr>
    </w:tbl>
    <w:p w14:paraId="74D428ED" w14:textId="77777777" w:rsidR="003F0DB8" w:rsidRDefault="00000000">
      <w:pPr>
        <w:spacing w:after="130" w:line="259" w:lineRule="auto"/>
        <w:ind w:left="-5" w:hanging="10"/>
      </w:pPr>
      <w:r>
        <w:rPr>
          <w:b/>
          <w:sz w:val="24"/>
        </w:rPr>
        <w:t xml:space="preserve">Key Integrations </w:t>
      </w:r>
    </w:p>
    <w:p w14:paraId="0A32F095" w14:textId="77777777" w:rsidR="003F0DB8" w:rsidRDefault="00000000">
      <w:pPr>
        <w:pStyle w:val="Heading2"/>
        <w:ind w:left="-5"/>
      </w:pPr>
      <w:r>
        <w:t xml:space="preserve">Provider portal </w:t>
      </w:r>
    </w:p>
    <w:p w14:paraId="5F442792" w14:textId="77777777" w:rsidR="003F0DB8" w:rsidRDefault="00000000">
      <w:pPr>
        <w:spacing w:after="110" w:line="269" w:lineRule="auto"/>
        <w:ind w:left="10" w:right="3" w:hanging="10"/>
      </w:pPr>
      <w:r>
        <w:rPr>
          <w:sz w:val="24"/>
        </w:rPr>
        <w:t xml:space="preserve">An internal CQC portal serving Registration and Assessment data from EDP and MuleSoft via APIM, with a Cache Engine reducing upstream load. The caching layer introduces a data consistency risk - locally cached data can drift from EDP, which should be the single source of truth, meaning data presented through the portal may not always reflect current state. </w:t>
      </w:r>
    </w:p>
    <w:p w14:paraId="54AEE2A8" w14:textId="77777777" w:rsidR="003F0DB8" w:rsidRDefault="00000000">
      <w:pPr>
        <w:spacing w:after="181" w:line="259" w:lineRule="auto"/>
        <w:ind w:left="20" w:firstLine="0"/>
      </w:pPr>
      <w:r>
        <w:rPr>
          <w:rFonts w:ascii="Calibri" w:eastAsia="Calibri" w:hAnsi="Calibri" w:cs="Calibri"/>
          <w:noProof/>
          <w:sz w:val="22"/>
        </w:rPr>
        <w:lastRenderedPageBreak/>
        <mc:AlternateContent>
          <mc:Choice Requires="wpg">
            <w:drawing>
              <wp:inline distT="0" distB="0" distL="0" distR="0" wp14:anchorId="2F1180CC" wp14:editId="4D86DC83">
                <wp:extent cx="5783350" cy="2445930"/>
                <wp:effectExtent l="0" t="0" r="0" b="0"/>
                <wp:docPr id="86501" name="Group 86501"/>
                <wp:cNvGraphicFramePr/>
                <a:graphic xmlns:a="http://schemas.openxmlformats.org/drawingml/2006/main">
                  <a:graphicData uri="http://schemas.microsoft.com/office/word/2010/wordprocessingGroup">
                    <wpg:wgp>
                      <wpg:cNvGrpSpPr/>
                      <wpg:grpSpPr>
                        <a:xfrm>
                          <a:off x="0" y="0"/>
                          <a:ext cx="5783350" cy="2445930"/>
                          <a:chOff x="0" y="0"/>
                          <a:chExt cx="5783350" cy="2445930"/>
                        </a:xfrm>
                      </wpg:grpSpPr>
                      <wps:wsp>
                        <wps:cNvPr id="6703" name="Rectangle 6703"/>
                        <wps:cNvSpPr/>
                        <wps:spPr>
                          <a:xfrm>
                            <a:off x="5741592" y="2296730"/>
                            <a:ext cx="55538" cy="198436"/>
                          </a:xfrm>
                          <a:prstGeom prst="rect">
                            <a:avLst/>
                          </a:prstGeom>
                          <a:ln>
                            <a:noFill/>
                          </a:ln>
                        </wps:spPr>
                        <wps:txbx>
                          <w:txbxContent>
                            <w:p w14:paraId="717007B3" w14:textId="77777777" w:rsidR="003F0DB8"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6706" name="Shape 6706"/>
                        <wps:cNvSpPr/>
                        <wps:spPr>
                          <a:xfrm>
                            <a:off x="1148884" y="0"/>
                            <a:ext cx="922433" cy="464731"/>
                          </a:xfrm>
                          <a:custGeom>
                            <a:avLst/>
                            <a:gdLst/>
                            <a:ahLst/>
                            <a:cxnLst/>
                            <a:rect l="0" t="0" r="0" b="0"/>
                            <a:pathLst>
                              <a:path w="922433" h="464731">
                                <a:moveTo>
                                  <a:pt x="0" y="0"/>
                                </a:moveTo>
                                <a:lnTo>
                                  <a:pt x="922433" y="0"/>
                                </a:lnTo>
                                <a:lnTo>
                                  <a:pt x="922433" y="464731"/>
                                </a:lnTo>
                                <a:lnTo>
                                  <a:pt x="0" y="464731"/>
                                </a:lnTo>
                                <a:lnTo>
                                  <a:pt x="0" y="0"/>
                                </a:lnTo>
                                <a:close/>
                              </a:path>
                            </a:pathLst>
                          </a:custGeom>
                          <a:ln w="0" cap="flat">
                            <a:miter lim="127000"/>
                          </a:ln>
                        </wps:spPr>
                        <wps:style>
                          <a:lnRef idx="0">
                            <a:srgbClr val="000000">
                              <a:alpha val="0"/>
                            </a:srgbClr>
                          </a:lnRef>
                          <a:fillRef idx="1">
                            <a:srgbClr val="83CAEB"/>
                          </a:fillRef>
                          <a:effectRef idx="0">
                            <a:scrgbClr r="0" g="0" b="0"/>
                          </a:effectRef>
                          <a:fontRef idx="none"/>
                        </wps:style>
                        <wps:bodyPr/>
                      </wps:wsp>
                      <wps:wsp>
                        <wps:cNvPr id="6708" name="Rectangle 6708"/>
                        <wps:cNvSpPr/>
                        <wps:spPr>
                          <a:xfrm>
                            <a:off x="1556788" y="201813"/>
                            <a:ext cx="139880" cy="88840"/>
                          </a:xfrm>
                          <a:prstGeom prst="rect">
                            <a:avLst/>
                          </a:prstGeom>
                          <a:ln>
                            <a:noFill/>
                          </a:ln>
                        </wps:spPr>
                        <wps:txbx>
                          <w:txbxContent>
                            <w:p w14:paraId="5FFD1AD1" w14:textId="77777777" w:rsidR="003F0DB8" w:rsidRDefault="00000000">
                              <w:pPr>
                                <w:spacing w:after="160" w:line="259" w:lineRule="auto"/>
                                <w:ind w:left="0" w:firstLine="0"/>
                              </w:pPr>
                              <w:r>
                                <w:rPr>
                                  <w:rFonts w:ascii="Calibri" w:eastAsia="Calibri" w:hAnsi="Calibri" w:cs="Calibri"/>
                                  <w:color w:val="FEFFFF"/>
                                  <w:sz w:val="10"/>
                                </w:rPr>
                                <w:t>EDP</w:t>
                              </w:r>
                            </w:p>
                          </w:txbxContent>
                        </wps:txbx>
                        <wps:bodyPr horzOverflow="overflow" vert="horz" lIns="0" tIns="0" rIns="0" bIns="0" rtlCol="0">
                          <a:noAutofit/>
                        </wps:bodyPr>
                      </wps:wsp>
                      <wps:wsp>
                        <wps:cNvPr id="99103" name="Shape 99103"/>
                        <wps:cNvSpPr/>
                        <wps:spPr>
                          <a:xfrm>
                            <a:off x="0" y="1919099"/>
                            <a:ext cx="922433" cy="464731"/>
                          </a:xfrm>
                          <a:custGeom>
                            <a:avLst/>
                            <a:gdLst/>
                            <a:ahLst/>
                            <a:cxnLst/>
                            <a:rect l="0" t="0" r="0" b="0"/>
                            <a:pathLst>
                              <a:path w="922433" h="464731">
                                <a:moveTo>
                                  <a:pt x="0" y="0"/>
                                </a:moveTo>
                                <a:lnTo>
                                  <a:pt x="922433" y="0"/>
                                </a:lnTo>
                                <a:lnTo>
                                  <a:pt x="922433" y="464731"/>
                                </a:lnTo>
                                <a:lnTo>
                                  <a:pt x="0" y="464731"/>
                                </a:lnTo>
                                <a:lnTo>
                                  <a:pt x="0" y="0"/>
                                </a:lnTo>
                              </a:path>
                            </a:pathLst>
                          </a:custGeom>
                          <a:ln w="0" cap="flat">
                            <a:miter lim="127000"/>
                          </a:ln>
                        </wps:spPr>
                        <wps:style>
                          <a:lnRef idx="0">
                            <a:srgbClr val="000000">
                              <a:alpha val="0"/>
                            </a:srgbClr>
                          </a:lnRef>
                          <a:fillRef idx="1">
                            <a:srgbClr val="BF4F14"/>
                          </a:fillRef>
                          <a:effectRef idx="0">
                            <a:scrgbClr r="0" g="0" b="0"/>
                          </a:effectRef>
                          <a:fontRef idx="none"/>
                        </wps:style>
                        <wps:bodyPr/>
                      </wps:wsp>
                      <wps:wsp>
                        <wps:cNvPr id="6711" name="Rectangle 6711"/>
                        <wps:cNvSpPr/>
                        <wps:spPr>
                          <a:xfrm>
                            <a:off x="340590" y="2123437"/>
                            <a:ext cx="318942" cy="89023"/>
                          </a:xfrm>
                          <a:prstGeom prst="rect">
                            <a:avLst/>
                          </a:prstGeom>
                          <a:ln>
                            <a:noFill/>
                          </a:ln>
                        </wps:spPr>
                        <wps:txbx>
                          <w:txbxContent>
                            <w:p w14:paraId="2D574244" w14:textId="77777777" w:rsidR="003F0DB8" w:rsidRDefault="00000000">
                              <w:pPr>
                                <w:spacing w:after="160" w:line="259" w:lineRule="auto"/>
                                <w:ind w:left="0" w:firstLine="0"/>
                              </w:pPr>
                              <w:r>
                                <w:rPr>
                                  <w:rFonts w:ascii="Calibri" w:eastAsia="Calibri" w:hAnsi="Calibri" w:cs="Calibri"/>
                                  <w:color w:val="FEFFFF"/>
                                  <w:sz w:val="10"/>
                                </w:rPr>
                                <w:t>Mulesoft</w:t>
                              </w:r>
                            </w:p>
                          </w:txbxContent>
                        </wps:txbx>
                        <wps:bodyPr horzOverflow="overflow" vert="horz" lIns="0" tIns="0" rIns="0" bIns="0" rtlCol="0">
                          <a:noAutofit/>
                        </wps:bodyPr>
                      </wps:wsp>
                      <wps:wsp>
                        <wps:cNvPr id="99104" name="Shape 99104"/>
                        <wps:cNvSpPr/>
                        <wps:spPr>
                          <a:xfrm>
                            <a:off x="4805642" y="1449754"/>
                            <a:ext cx="922433" cy="464731"/>
                          </a:xfrm>
                          <a:custGeom>
                            <a:avLst/>
                            <a:gdLst/>
                            <a:ahLst/>
                            <a:cxnLst/>
                            <a:rect l="0" t="0" r="0" b="0"/>
                            <a:pathLst>
                              <a:path w="922433" h="464731">
                                <a:moveTo>
                                  <a:pt x="0" y="0"/>
                                </a:moveTo>
                                <a:lnTo>
                                  <a:pt x="922433" y="0"/>
                                </a:lnTo>
                                <a:lnTo>
                                  <a:pt x="922433" y="464731"/>
                                </a:lnTo>
                                <a:lnTo>
                                  <a:pt x="0" y="464731"/>
                                </a:lnTo>
                                <a:lnTo>
                                  <a:pt x="0" y="0"/>
                                </a:lnTo>
                              </a:path>
                            </a:pathLst>
                          </a:custGeom>
                          <a:ln w="0" cap="flat">
                            <a:miter lim="127000"/>
                          </a:ln>
                        </wps:spPr>
                        <wps:style>
                          <a:lnRef idx="0">
                            <a:srgbClr val="000000">
                              <a:alpha val="0"/>
                            </a:srgbClr>
                          </a:lnRef>
                          <a:fillRef idx="1">
                            <a:srgbClr val="8ED873"/>
                          </a:fillRef>
                          <a:effectRef idx="0">
                            <a:scrgbClr r="0" g="0" b="0"/>
                          </a:effectRef>
                          <a:fontRef idx="none"/>
                        </wps:style>
                        <wps:bodyPr/>
                      </wps:wsp>
                      <wps:wsp>
                        <wps:cNvPr id="6714" name="Rectangle 6714"/>
                        <wps:cNvSpPr/>
                        <wps:spPr>
                          <a:xfrm>
                            <a:off x="5063964" y="1653466"/>
                            <a:ext cx="544379" cy="89023"/>
                          </a:xfrm>
                          <a:prstGeom prst="rect">
                            <a:avLst/>
                          </a:prstGeom>
                          <a:ln>
                            <a:noFill/>
                          </a:ln>
                        </wps:spPr>
                        <wps:txbx>
                          <w:txbxContent>
                            <w:p w14:paraId="200E279F" w14:textId="77777777" w:rsidR="003F0DB8" w:rsidRDefault="00000000">
                              <w:pPr>
                                <w:spacing w:after="160" w:line="259" w:lineRule="auto"/>
                                <w:ind w:left="0" w:firstLine="0"/>
                              </w:pPr>
                              <w:r>
                                <w:rPr>
                                  <w:rFonts w:ascii="Calibri" w:eastAsia="Calibri" w:hAnsi="Calibri" w:cs="Calibri"/>
                                  <w:b/>
                                  <w:color w:val="FEFFFF"/>
                                  <w:sz w:val="10"/>
                                </w:rPr>
                                <w:t>Provider portal</w:t>
                              </w:r>
                            </w:p>
                          </w:txbxContent>
                        </wps:txbx>
                        <wps:bodyPr horzOverflow="overflow" vert="horz" lIns="0" tIns="0" rIns="0" bIns="0" rtlCol="0">
                          <a:noAutofit/>
                        </wps:bodyPr>
                      </wps:wsp>
                      <wps:wsp>
                        <wps:cNvPr id="6716" name="Shape 6716"/>
                        <wps:cNvSpPr/>
                        <wps:spPr>
                          <a:xfrm>
                            <a:off x="2498800" y="1806039"/>
                            <a:ext cx="98437" cy="101937"/>
                          </a:xfrm>
                          <a:custGeom>
                            <a:avLst/>
                            <a:gdLst/>
                            <a:ahLst/>
                            <a:cxnLst/>
                            <a:rect l="0" t="0" r="0" b="0"/>
                            <a:pathLst>
                              <a:path w="98437" h="101937">
                                <a:moveTo>
                                  <a:pt x="13939" y="0"/>
                                </a:moveTo>
                                <a:lnTo>
                                  <a:pt x="96593" y="83078"/>
                                </a:lnTo>
                                <a:cubicBezTo>
                                  <a:pt x="98437" y="84908"/>
                                  <a:pt x="98437" y="87887"/>
                                  <a:pt x="96593" y="89723"/>
                                </a:cubicBezTo>
                                <a:lnTo>
                                  <a:pt x="96539" y="89750"/>
                                </a:lnTo>
                                <a:lnTo>
                                  <a:pt x="86288" y="100095"/>
                                </a:lnTo>
                                <a:cubicBezTo>
                                  <a:pt x="84498" y="101932"/>
                                  <a:pt x="81570" y="101937"/>
                                  <a:pt x="79726" y="100101"/>
                                </a:cubicBezTo>
                                <a:lnTo>
                                  <a:pt x="3688" y="23663"/>
                                </a:lnTo>
                                <a:cubicBezTo>
                                  <a:pt x="0" y="20001"/>
                                  <a:pt x="0" y="14100"/>
                                  <a:pt x="3633" y="10438"/>
                                </a:cubicBezTo>
                                <a:lnTo>
                                  <a:pt x="13939" y="0"/>
                                </a:lnTo>
                                <a:close/>
                              </a:path>
                            </a:pathLst>
                          </a:custGeom>
                          <a:ln w="0" cap="flat">
                            <a:miter lim="127000"/>
                          </a:ln>
                        </wps:spPr>
                        <wps:style>
                          <a:lnRef idx="0">
                            <a:srgbClr val="000000">
                              <a:alpha val="0"/>
                            </a:srgbClr>
                          </a:lnRef>
                          <a:fillRef idx="1">
                            <a:srgbClr val="50E6FF"/>
                          </a:fillRef>
                          <a:effectRef idx="0">
                            <a:scrgbClr r="0" g="0" b="0"/>
                          </a:effectRef>
                          <a:fontRef idx="none"/>
                        </wps:style>
                        <wps:bodyPr/>
                      </wps:wsp>
                      <wps:wsp>
                        <wps:cNvPr id="6718" name="Shape 6718"/>
                        <wps:cNvSpPr/>
                        <wps:spPr>
                          <a:xfrm>
                            <a:off x="2498691" y="1739039"/>
                            <a:ext cx="96973" cy="100882"/>
                          </a:xfrm>
                          <a:custGeom>
                            <a:avLst/>
                            <a:gdLst/>
                            <a:ahLst/>
                            <a:cxnLst/>
                            <a:rect l="0" t="0" r="0" b="0"/>
                            <a:pathLst>
                              <a:path w="96973" h="100882">
                                <a:moveTo>
                                  <a:pt x="78262" y="1803"/>
                                </a:moveTo>
                                <a:cubicBezTo>
                                  <a:pt x="80106" y="0"/>
                                  <a:pt x="83034" y="0"/>
                                  <a:pt x="84824" y="1858"/>
                                </a:cubicBezTo>
                                <a:lnTo>
                                  <a:pt x="95129" y="12187"/>
                                </a:lnTo>
                                <a:cubicBezTo>
                                  <a:pt x="96973" y="14045"/>
                                  <a:pt x="96973" y="16996"/>
                                  <a:pt x="95129" y="18854"/>
                                </a:cubicBezTo>
                                <a:lnTo>
                                  <a:pt x="13938" y="100882"/>
                                </a:lnTo>
                                <a:lnTo>
                                  <a:pt x="3634" y="90554"/>
                                </a:lnTo>
                                <a:cubicBezTo>
                                  <a:pt x="0" y="86892"/>
                                  <a:pt x="0" y="80935"/>
                                  <a:pt x="3634" y="77274"/>
                                </a:cubicBezTo>
                                <a:lnTo>
                                  <a:pt x="78262" y="1803"/>
                                </a:lnTo>
                                <a:close/>
                              </a:path>
                            </a:pathLst>
                          </a:custGeom>
                          <a:ln w="0" cap="flat">
                            <a:miter lim="127000"/>
                          </a:ln>
                        </wps:spPr>
                        <wps:style>
                          <a:lnRef idx="0">
                            <a:srgbClr val="000000">
                              <a:alpha val="0"/>
                            </a:srgbClr>
                          </a:lnRef>
                          <a:fillRef idx="1">
                            <a:srgbClr val="1490DF"/>
                          </a:fillRef>
                          <a:effectRef idx="0">
                            <a:scrgbClr r="0" g="0" b="0"/>
                          </a:effectRef>
                          <a:fontRef idx="none"/>
                        </wps:style>
                        <wps:bodyPr/>
                      </wps:wsp>
                      <wps:wsp>
                        <wps:cNvPr id="6720" name="Shape 6720"/>
                        <wps:cNvSpPr/>
                        <wps:spPr>
                          <a:xfrm>
                            <a:off x="2714439" y="1806149"/>
                            <a:ext cx="98328" cy="101888"/>
                          </a:xfrm>
                          <a:custGeom>
                            <a:avLst/>
                            <a:gdLst/>
                            <a:ahLst/>
                            <a:cxnLst/>
                            <a:rect l="0" t="0" r="0" b="0"/>
                            <a:pathLst>
                              <a:path w="98328" h="101888">
                                <a:moveTo>
                                  <a:pt x="84444" y="0"/>
                                </a:moveTo>
                                <a:lnTo>
                                  <a:pt x="94695" y="10383"/>
                                </a:lnTo>
                                <a:cubicBezTo>
                                  <a:pt x="98328" y="14045"/>
                                  <a:pt x="98328" y="20002"/>
                                  <a:pt x="94695" y="23663"/>
                                </a:cubicBezTo>
                                <a:lnTo>
                                  <a:pt x="18602" y="100052"/>
                                </a:lnTo>
                                <a:cubicBezTo>
                                  <a:pt x="16813" y="101888"/>
                                  <a:pt x="13830" y="101882"/>
                                  <a:pt x="12040" y="100041"/>
                                </a:cubicBezTo>
                                <a:lnTo>
                                  <a:pt x="1789" y="89712"/>
                                </a:lnTo>
                                <a:cubicBezTo>
                                  <a:pt x="0" y="87870"/>
                                  <a:pt x="0" y="84898"/>
                                  <a:pt x="1789" y="83061"/>
                                </a:cubicBezTo>
                                <a:lnTo>
                                  <a:pt x="84444" y="0"/>
                                </a:lnTo>
                                <a:close/>
                              </a:path>
                            </a:pathLst>
                          </a:custGeom>
                          <a:ln w="0" cap="flat">
                            <a:miter lim="127000"/>
                          </a:ln>
                        </wps:spPr>
                        <wps:style>
                          <a:lnRef idx="0">
                            <a:srgbClr val="000000">
                              <a:alpha val="0"/>
                            </a:srgbClr>
                          </a:lnRef>
                          <a:fillRef idx="1">
                            <a:srgbClr val="50E6FF"/>
                          </a:fillRef>
                          <a:effectRef idx="0">
                            <a:scrgbClr r="0" g="0" b="0"/>
                          </a:effectRef>
                          <a:fontRef idx="none"/>
                        </wps:style>
                        <wps:bodyPr/>
                      </wps:wsp>
                      <wps:wsp>
                        <wps:cNvPr id="6722" name="Shape 6722"/>
                        <wps:cNvSpPr/>
                        <wps:spPr>
                          <a:xfrm>
                            <a:off x="2715904" y="1738985"/>
                            <a:ext cx="96972" cy="100882"/>
                          </a:xfrm>
                          <a:custGeom>
                            <a:avLst/>
                            <a:gdLst/>
                            <a:ahLst/>
                            <a:cxnLst/>
                            <a:rect l="0" t="0" r="0" b="0"/>
                            <a:pathLst>
                              <a:path w="96972" h="100882">
                                <a:moveTo>
                                  <a:pt x="12094" y="1858"/>
                                </a:moveTo>
                                <a:cubicBezTo>
                                  <a:pt x="13938" y="0"/>
                                  <a:pt x="16867" y="0"/>
                                  <a:pt x="18711" y="1858"/>
                                </a:cubicBezTo>
                                <a:lnTo>
                                  <a:pt x="93339" y="77274"/>
                                </a:lnTo>
                                <a:cubicBezTo>
                                  <a:pt x="96972" y="80935"/>
                                  <a:pt x="96972" y="86892"/>
                                  <a:pt x="93339" y="90554"/>
                                </a:cubicBezTo>
                                <a:lnTo>
                                  <a:pt x="93285" y="90554"/>
                                </a:lnTo>
                                <a:lnTo>
                                  <a:pt x="82980" y="100882"/>
                                </a:lnTo>
                                <a:lnTo>
                                  <a:pt x="1789" y="18854"/>
                                </a:lnTo>
                                <a:cubicBezTo>
                                  <a:pt x="0" y="16996"/>
                                  <a:pt x="0" y="14045"/>
                                  <a:pt x="1789" y="12187"/>
                                </a:cubicBezTo>
                                <a:lnTo>
                                  <a:pt x="12094" y="1858"/>
                                </a:lnTo>
                                <a:close/>
                              </a:path>
                            </a:pathLst>
                          </a:custGeom>
                          <a:ln w="0" cap="flat">
                            <a:miter lim="127000"/>
                          </a:ln>
                        </wps:spPr>
                        <wps:style>
                          <a:lnRef idx="0">
                            <a:srgbClr val="000000">
                              <a:alpha val="0"/>
                            </a:srgbClr>
                          </a:lnRef>
                          <a:fillRef idx="1">
                            <a:srgbClr val="1490DF"/>
                          </a:fillRef>
                          <a:effectRef idx="0">
                            <a:scrgbClr r="0" g="0" b="0"/>
                          </a:effectRef>
                          <a:fontRef idx="none"/>
                        </wps:style>
                        <wps:bodyPr/>
                      </wps:wsp>
                      <pic:pic xmlns:pic="http://schemas.openxmlformats.org/drawingml/2006/picture">
                        <pic:nvPicPr>
                          <pic:cNvPr id="94642" name="Picture 94642"/>
                          <pic:cNvPicPr/>
                        </pic:nvPicPr>
                        <pic:blipFill>
                          <a:blip r:embed="rId23"/>
                          <a:stretch>
                            <a:fillRect/>
                          </a:stretch>
                        </pic:blipFill>
                        <pic:spPr>
                          <a:xfrm>
                            <a:off x="2576625" y="1678828"/>
                            <a:ext cx="161544" cy="280416"/>
                          </a:xfrm>
                          <a:prstGeom prst="rect">
                            <a:avLst/>
                          </a:prstGeom>
                        </pic:spPr>
                      </pic:pic>
                      <wps:wsp>
                        <wps:cNvPr id="6725" name="Rectangle 6725"/>
                        <wps:cNvSpPr/>
                        <wps:spPr>
                          <a:xfrm>
                            <a:off x="2525050" y="1995968"/>
                            <a:ext cx="368579" cy="102349"/>
                          </a:xfrm>
                          <a:prstGeom prst="rect">
                            <a:avLst/>
                          </a:prstGeom>
                          <a:ln>
                            <a:noFill/>
                          </a:ln>
                        </wps:spPr>
                        <wps:txbx>
                          <w:txbxContent>
                            <w:p w14:paraId="1B38553B" w14:textId="77777777" w:rsidR="003F0DB8" w:rsidRDefault="00000000">
                              <w:pPr>
                                <w:spacing w:after="160" w:line="259" w:lineRule="auto"/>
                                <w:ind w:left="0" w:firstLine="0"/>
                              </w:pPr>
                              <w:r>
                                <w:rPr>
                                  <w:rFonts w:ascii="Calibri" w:eastAsia="Calibri" w:hAnsi="Calibri" w:cs="Calibri"/>
                                  <w:sz w:val="12"/>
                                </w:rPr>
                                <w:t xml:space="preserve">Provider </w:t>
                              </w:r>
                            </w:p>
                          </w:txbxContent>
                        </wps:txbx>
                        <wps:bodyPr horzOverflow="overflow" vert="horz" lIns="0" tIns="0" rIns="0" bIns="0" rtlCol="0">
                          <a:noAutofit/>
                        </wps:bodyPr>
                      </wps:wsp>
                      <wps:wsp>
                        <wps:cNvPr id="6727" name="Rectangle 6727"/>
                        <wps:cNvSpPr/>
                        <wps:spPr>
                          <a:xfrm>
                            <a:off x="2563286" y="2087915"/>
                            <a:ext cx="244024" cy="102349"/>
                          </a:xfrm>
                          <a:prstGeom prst="rect">
                            <a:avLst/>
                          </a:prstGeom>
                          <a:ln>
                            <a:noFill/>
                          </a:ln>
                        </wps:spPr>
                        <wps:txbx>
                          <w:txbxContent>
                            <w:p w14:paraId="06830F6C" w14:textId="77777777" w:rsidR="003F0DB8" w:rsidRDefault="00000000">
                              <w:pPr>
                                <w:spacing w:after="160" w:line="259" w:lineRule="auto"/>
                                <w:ind w:left="0" w:firstLine="0"/>
                              </w:pPr>
                              <w:r>
                                <w:rPr>
                                  <w:rFonts w:ascii="Calibri" w:eastAsia="Calibri" w:hAnsi="Calibri" w:cs="Calibri"/>
                                  <w:sz w:val="12"/>
                                </w:rPr>
                                <w:t>Portal</w:t>
                              </w:r>
                            </w:p>
                          </w:txbxContent>
                        </wps:txbx>
                        <wps:bodyPr horzOverflow="overflow" vert="horz" lIns="0" tIns="0" rIns="0" bIns="0" rtlCol="0">
                          <a:noAutofit/>
                        </wps:bodyPr>
                      </wps:wsp>
                      <wps:wsp>
                        <wps:cNvPr id="6729" name="Shape 6729"/>
                        <wps:cNvSpPr/>
                        <wps:spPr>
                          <a:xfrm>
                            <a:off x="1991212" y="1263865"/>
                            <a:ext cx="98437" cy="101921"/>
                          </a:xfrm>
                          <a:custGeom>
                            <a:avLst/>
                            <a:gdLst/>
                            <a:ahLst/>
                            <a:cxnLst/>
                            <a:rect l="0" t="0" r="0" b="0"/>
                            <a:pathLst>
                              <a:path w="98437" h="101921">
                                <a:moveTo>
                                  <a:pt x="13939" y="0"/>
                                </a:moveTo>
                                <a:lnTo>
                                  <a:pt x="96593" y="83067"/>
                                </a:lnTo>
                                <a:cubicBezTo>
                                  <a:pt x="98437" y="84870"/>
                                  <a:pt x="98437" y="87876"/>
                                  <a:pt x="96593" y="89734"/>
                                </a:cubicBezTo>
                                <a:lnTo>
                                  <a:pt x="96539" y="89734"/>
                                </a:lnTo>
                                <a:lnTo>
                                  <a:pt x="86288" y="100063"/>
                                </a:lnTo>
                                <a:cubicBezTo>
                                  <a:pt x="84498" y="101921"/>
                                  <a:pt x="81516" y="101921"/>
                                  <a:pt x="79726" y="100063"/>
                                </a:cubicBezTo>
                                <a:lnTo>
                                  <a:pt x="3688" y="23663"/>
                                </a:lnTo>
                                <a:cubicBezTo>
                                  <a:pt x="0" y="20001"/>
                                  <a:pt x="0" y="14099"/>
                                  <a:pt x="3634" y="10383"/>
                                </a:cubicBezTo>
                                <a:lnTo>
                                  <a:pt x="13939" y="0"/>
                                </a:lnTo>
                                <a:close/>
                              </a:path>
                            </a:pathLst>
                          </a:custGeom>
                          <a:ln w="0" cap="flat">
                            <a:miter lim="127000"/>
                          </a:ln>
                        </wps:spPr>
                        <wps:style>
                          <a:lnRef idx="0">
                            <a:srgbClr val="000000">
                              <a:alpha val="0"/>
                            </a:srgbClr>
                          </a:lnRef>
                          <a:fillRef idx="1">
                            <a:srgbClr val="50E6FF"/>
                          </a:fillRef>
                          <a:effectRef idx="0">
                            <a:scrgbClr r="0" g="0" b="0"/>
                          </a:effectRef>
                          <a:fontRef idx="none"/>
                        </wps:style>
                        <wps:bodyPr/>
                      </wps:wsp>
                      <wps:wsp>
                        <wps:cNvPr id="6731" name="Shape 6731"/>
                        <wps:cNvSpPr/>
                        <wps:spPr>
                          <a:xfrm>
                            <a:off x="1991104" y="1196865"/>
                            <a:ext cx="96973" cy="100882"/>
                          </a:xfrm>
                          <a:custGeom>
                            <a:avLst/>
                            <a:gdLst/>
                            <a:ahLst/>
                            <a:cxnLst/>
                            <a:rect l="0" t="0" r="0" b="0"/>
                            <a:pathLst>
                              <a:path w="96973" h="100882">
                                <a:moveTo>
                                  <a:pt x="78262" y="1803"/>
                                </a:moveTo>
                                <a:cubicBezTo>
                                  <a:pt x="80106" y="0"/>
                                  <a:pt x="83034" y="0"/>
                                  <a:pt x="84824" y="1803"/>
                                </a:cubicBezTo>
                                <a:lnTo>
                                  <a:pt x="95129" y="12187"/>
                                </a:lnTo>
                                <a:cubicBezTo>
                                  <a:pt x="96973" y="13990"/>
                                  <a:pt x="96973" y="16996"/>
                                  <a:pt x="95129" y="18854"/>
                                </a:cubicBezTo>
                                <a:lnTo>
                                  <a:pt x="13938" y="100882"/>
                                </a:lnTo>
                                <a:lnTo>
                                  <a:pt x="3634" y="90499"/>
                                </a:lnTo>
                                <a:cubicBezTo>
                                  <a:pt x="0" y="86838"/>
                                  <a:pt x="0" y="80935"/>
                                  <a:pt x="3580" y="77274"/>
                                </a:cubicBezTo>
                                <a:lnTo>
                                  <a:pt x="78262" y="1803"/>
                                </a:lnTo>
                                <a:close/>
                              </a:path>
                            </a:pathLst>
                          </a:custGeom>
                          <a:ln w="0" cap="flat">
                            <a:miter lim="127000"/>
                          </a:ln>
                        </wps:spPr>
                        <wps:style>
                          <a:lnRef idx="0">
                            <a:srgbClr val="000000">
                              <a:alpha val="0"/>
                            </a:srgbClr>
                          </a:lnRef>
                          <a:fillRef idx="1">
                            <a:srgbClr val="1490DF"/>
                          </a:fillRef>
                          <a:effectRef idx="0">
                            <a:scrgbClr r="0" g="0" b="0"/>
                          </a:effectRef>
                          <a:fontRef idx="none"/>
                        </wps:style>
                        <wps:bodyPr/>
                      </wps:wsp>
                      <wps:wsp>
                        <wps:cNvPr id="6733" name="Shape 6733"/>
                        <wps:cNvSpPr/>
                        <wps:spPr>
                          <a:xfrm>
                            <a:off x="2206851" y="1263920"/>
                            <a:ext cx="98328" cy="101921"/>
                          </a:xfrm>
                          <a:custGeom>
                            <a:avLst/>
                            <a:gdLst/>
                            <a:ahLst/>
                            <a:cxnLst/>
                            <a:rect l="0" t="0" r="0" b="0"/>
                            <a:pathLst>
                              <a:path w="98328" h="101921">
                                <a:moveTo>
                                  <a:pt x="84390" y="0"/>
                                </a:moveTo>
                                <a:lnTo>
                                  <a:pt x="94695" y="10383"/>
                                </a:lnTo>
                                <a:cubicBezTo>
                                  <a:pt x="98328" y="14100"/>
                                  <a:pt x="98328" y="20002"/>
                                  <a:pt x="94695" y="23663"/>
                                </a:cubicBezTo>
                                <a:lnTo>
                                  <a:pt x="18603" y="100117"/>
                                </a:lnTo>
                                <a:cubicBezTo>
                                  <a:pt x="16813" y="101921"/>
                                  <a:pt x="13830" y="101921"/>
                                  <a:pt x="12040" y="100063"/>
                                </a:cubicBezTo>
                                <a:lnTo>
                                  <a:pt x="1790" y="89734"/>
                                </a:lnTo>
                                <a:cubicBezTo>
                                  <a:pt x="0" y="87930"/>
                                  <a:pt x="0" y="84925"/>
                                  <a:pt x="1790" y="83121"/>
                                </a:cubicBezTo>
                                <a:lnTo>
                                  <a:pt x="84444" y="55"/>
                                </a:lnTo>
                                <a:lnTo>
                                  <a:pt x="84390" y="0"/>
                                </a:lnTo>
                                <a:close/>
                              </a:path>
                            </a:pathLst>
                          </a:custGeom>
                          <a:ln w="0" cap="flat">
                            <a:miter lim="127000"/>
                          </a:ln>
                        </wps:spPr>
                        <wps:style>
                          <a:lnRef idx="0">
                            <a:srgbClr val="000000">
                              <a:alpha val="0"/>
                            </a:srgbClr>
                          </a:lnRef>
                          <a:fillRef idx="1">
                            <a:srgbClr val="50E6FF"/>
                          </a:fillRef>
                          <a:effectRef idx="0">
                            <a:scrgbClr r="0" g="0" b="0"/>
                          </a:effectRef>
                          <a:fontRef idx="none"/>
                        </wps:style>
                        <wps:bodyPr/>
                      </wps:wsp>
                      <wps:wsp>
                        <wps:cNvPr id="6735" name="Shape 6735"/>
                        <wps:cNvSpPr/>
                        <wps:spPr>
                          <a:xfrm>
                            <a:off x="2208262" y="1196811"/>
                            <a:ext cx="97027" cy="100882"/>
                          </a:xfrm>
                          <a:custGeom>
                            <a:avLst/>
                            <a:gdLst/>
                            <a:ahLst/>
                            <a:cxnLst/>
                            <a:rect l="0" t="0" r="0" b="0"/>
                            <a:pathLst>
                              <a:path w="97027" h="100882">
                                <a:moveTo>
                                  <a:pt x="12148" y="1803"/>
                                </a:moveTo>
                                <a:cubicBezTo>
                                  <a:pt x="13993" y="0"/>
                                  <a:pt x="16921" y="0"/>
                                  <a:pt x="18765" y="1858"/>
                                </a:cubicBezTo>
                                <a:lnTo>
                                  <a:pt x="93393" y="77274"/>
                                </a:lnTo>
                                <a:cubicBezTo>
                                  <a:pt x="97027" y="80935"/>
                                  <a:pt x="97027" y="86892"/>
                                  <a:pt x="93393" y="90554"/>
                                </a:cubicBezTo>
                                <a:lnTo>
                                  <a:pt x="93338" y="90499"/>
                                </a:lnTo>
                                <a:lnTo>
                                  <a:pt x="83034" y="100882"/>
                                </a:lnTo>
                                <a:lnTo>
                                  <a:pt x="1844" y="18799"/>
                                </a:lnTo>
                                <a:cubicBezTo>
                                  <a:pt x="0" y="16996"/>
                                  <a:pt x="54" y="13990"/>
                                  <a:pt x="1844" y="12187"/>
                                </a:cubicBezTo>
                                <a:lnTo>
                                  <a:pt x="12148" y="1803"/>
                                </a:lnTo>
                                <a:close/>
                              </a:path>
                            </a:pathLst>
                          </a:custGeom>
                          <a:ln w="0" cap="flat">
                            <a:miter lim="127000"/>
                          </a:ln>
                        </wps:spPr>
                        <wps:style>
                          <a:lnRef idx="0">
                            <a:srgbClr val="000000">
                              <a:alpha val="0"/>
                            </a:srgbClr>
                          </a:lnRef>
                          <a:fillRef idx="1">
                            <a:srgbClr val="1490DF"/>
                          </a:fillRef>
                          <a:effectRef idx="0">
                            <a:scrgbClr r="0" g="0" b="0"/>
                          </a:effectRef>
                          <a:fontRef idx="none"/>
                        </wps:style>
                        <wps:bodyPr/>
                      </wps:wsp>
                      <pic:pic xmlns:pic="http://schemas.openxmlformats.org/drawingml/2006/picture">
                        <pic:nvPicPr>
                          <pic:cNvPr id="94643" name="Picture 94643"/>
                          <pic:cNvPicPr/>
                        </pic:nvPicPr>
                        <pic:blipFill>
                          <a:blip r:embed="rId24"/>
                          <a:stretch>
                            <a:fillRect/>
                          </a:stretch>
                        </pic:blipFill>
                        <pic:spPr>
                          <a:xfrm>
                            <a:off x="2068624" y="1136284"/>
                            <a:ext cx="161544" cy="280416"/>
                          </a:xfrm>
                          <a:prstGeom prst="rect">
                            <a:avLst/>
                          </a:prstGeom>
                        </pic:spPr>
                      </pic:pic>
                      <wps:wsp>
                        <wps:cNvPr id="6738" name="Rectangle 6738"/>
                        <wps:cNvSpPr/>
                        <wps:spPr>
                          <a:xfrm>
                            <a:off x="2054559" y="1453013"/>
                            <a:ext cx="269653" cy="102349"/>
                          </a:xfrm>
                          <a:prstGeom prst="rect">
                            <a:avLst/>
                          </a:prstGeom>
                          <a:ln>
                            <a:noFill/>
                          </a:ln>
                        </wps:spPr>
                        <wps:txbx>
                          <w:txbxContent>
                            <w:p w14:paraId="4EC731CE" w14:textId="77777777" w:rsidR="003F0DB8" w:rsidRDefault="00000000">
                              <w:pPr>
                                <w:spacing w:after="160" w:line="259" w:lineRule="auto"/>
                                <w:ind w:left="0" w:firstLine="0"/>
                              </w:pPr>
                              <w:r>
                                <w:rPr>
                                  <w:rFonts w:ascii="Calibri" w:eastAsia="Calibri" w:hAnsi="Calibri" w:cs="Calibri"/>
                                  <w:sz w:val="12"/>
                                </w:rPr>
                                <w:t xml:space="preserve">Cache </w:t>
                              </w:r>
                            </w:p>
                          </w:txbxContent>
                        </wps:txbx>
                        <wps:bodyPr horzOverflow="overflow" vert="horz" lIns="0" tIns="0" rIns="0" bIns="0" rtlCol="0">
                          <a:noAutofit/>
                        </wps:bodyPr>
                      </wps:wsp>
                      <wps:wsp>
                        <wps:cNvPr id="6740" name="Rectangle 6740"/>
                        <wps:cNvSpPr/>
                        <wps:spPr>
                          <a:xfrm>
                            <a:off x="2043983" y="1544987"/>
                            <a:ext cx="274440" cy="102349"/>
                          </a:xfrm>
                          <a:prstGeom prst="rect">
                            <a:avLst/>
                          </a:prstGeom>
                          <a:ln>
                            <a:noFill/>
                          </a:ln>
                        </wps:spPr>
                        <wps:txbx>
                          <w:txbxContent>
                            <w:p w14:paraId="70FF031A" w14:textId="77777777" w:rsidR="003F0DB8" w:rsidRDefault="00000000">
                              <w:pPr>
                                <w:spacing w:after="160" w:line="259" w:lineRule="auto"/>
                                <w:ind w:left="0" w:firstLine="0"/>
                              </w:pPr>
                              <w:r>
                                <w:rPr>
                                  <w:rFonts w:ascii="Calibri" w:eastAsia="Calibri" w:hAnsi="Calibri" w:cs="Calibri"/>
                                  <w:sz w:val="12"/>
                                </w:rPr>
                                <w:t>Engine</w:t>
                              </w:r>
                            </w:p>
                          </w:txbxContent>
                        </wps:txbx>
                        <wps:bodyPr horzOverflow="overflow" vert="horz" lIns="0" tIns="0" rIns="0" bIns="0" rtlCol="0">
                          <a:noAutofit/>
                        </wps:bodyPr>
                      </wps:wsp>
                      <wps:wsp>
                        <wps:cNvPr id="6741" name="Shape 6741"/>
                        <wps:cNvSpPr/>
                        <wps:spPr>
                          <a:xfrm>
                            <a:off x="461214" y="1823527"/>
                            <a:ext cx="2038345" cy="57125"/>
                          </a:xfrm>
                          <a:custGeom>
                            <a:avLst/>
                            <a:gdLst/>
                            <a:ahLst/>
                            <a:cxnLst/>
                            <a:rect l="0" t="0" r="0" b="0"/>
                            <a:pathLst>
                              <a:path w="2038345" h="57125">
                                <a:moveTo>
                                  <a:pt x="2038345" y="0"/>
                                </a:moveTo>
                                <a:lnTo>
                                  <a:pt x="46122" y="0"/>
                                </a:lnTo>
                                <a:cubicBezTo>
                                  <a:pt x="20647" y="0"/>
                                  <a:pt x="0" y="20821"/>
                                  <a:pt x="0" y="46485"/>
                                </a:cubicBezTo>
                                <a:lnTo>
                                  <a:pt x="0" y="57125"/>
                                </a:lnTo>
                              </a:path>
                            </a:pathLst>
                          </a:custGeom>
                          <a:ln w="8135" cap="rnd">
                            <a:round/>
                          </a:ln>
                        </wps:spPr>
                        <wps:style>
                          <a:lnRef idx="1">
                            <a:srgbClr val="156082"/>
                          </a:lnRef>
                          <a:fillRef idx="0">
                            <a:srgbClr val="000000">
                              <a:alpha val="0"/>
                            </a:srgbClr>
                          </a:fillRef>
                          <a:effectRef idx="0">
                            <a:scrgbClr r="0" g="0" b="0"/>
                          </a:effectRef>
                          <a:fontRef idx="none"/>
                        </wps:style>
                        <wps:bodyPr/>
                      </wps:wsp>
                      <wps:wsp>
                        <wps:cNvPr id="6742" name="Shape 6742"/>
                        <wps:cNvSpPr/>
                        <wps:spPr>
                          <a:xfrm>
                            <a:off x="439412" y="1875159"/>
                            <a:ext cx="43605" cy="43938"/>
                          </a:xfrm>
                          <a:custGeom>
                            <a:avLst/>
                            <a:gdLst/>
                            <a:ahLst/>
                            <a:cxnLst/>
                            <a:rect l="0" t="0" r="0" b="0"/>
                            <a:pathLst>
                              <a:path w="43605" h="43938">
                                <a:moveTo>
                                  <a:pt x="0" y="0"/>
                                </a:moveTo>
                                <a:lnTo>
                                  <a:pt x="43605" y="0"/>
                                </a:lnTo>
                                <a:lnTo>
                                  <a:pt x="21803" y="43938"/>
                                </a:lnTo>
                                <a:lnTo>
                                  <a:pt x="0" y="0"/>
                                </a:lnTo>
                                <a:close/>
                              </a:path>
                            </a:pathLst>
                          </a:custGeom>
                          <a:ln w="0" cap="rnd">
                            <a:round/>
                          </a:ln>
                        </wps:spPr>
                        <wps:style>
                          <a:lnRef idx="0">
                            <a:srgbClr val="000000">
                              <a:alpha val="0"/>
                            </a:srgbClr>
                          </a:lnRef>
                          <a:fillRef idx="1">
                            <a:srgbClr val="156082"/>
                          </a:fillRef>
                          <a:effectRef idx="0">
                            <a:scrgbClr r="0" g="0" b="0"/>
                          </a:effectRef>
                          <a:fontRef idx="none"/>
                        </wps:style>
                        <wps:bodyPr/>
                      </wps:wsp>
                      <wps:wsp>
                        <wps:cNvPr id="6743" name="Shape 6743"/>
                        <wps:cNvSpPr/>
                        <wps:spPr>
                          <a:xfrm>
                            <a:off x="1570455" y="503204"/>
                            <a:ext cx="421517" cy="778149"/>
                          </a:xfrm>
                          <a:custGeom>
                            <a:avLst/>
                            <a:gdLst/>
                            <a:ahLst/>
                            <a:cxnLst/>
                            <a:rect l="0" t="0" r="0" b="0"/>
                            <a:pathLst>
                              <a:path w="421517" h="778149">
                                <a:moveTo>
                                  <a:pt x="421517" y="778149"/>
                                </a:moveTo>
                                <a:lnTo>
                                  <a:pt x="46100" y="778149"/>
                                </a:lnTo>
                                <a:cubicBezTo>
                                  <a:pt x="20610" y="778149"/>
                                  <a:pt x="0" y="757328"/>
                                  <a:pt x="0" y="731697"/>
                                </a:cubicBezTo>
                                <a:lnTo>
                                  <a:pt x="0" y="0"/>
                                </a:lnTo>
                              </a:path>
                            </a:pathLst>
                          </a:custGeom>
                          <a:ln w="8135" cap="rnd">
                            <a:round/>
                          </a:ln>
                        </wps:spPr>
                        <wps:style>
                          <a:lnRef idx="1">
                            <a:srgbClr val="156082"/>
                          </a:lnRef>
                          <a:fillRef idx="0">
                            <a:srgbClr val="000000">
                              <a:alpha val="0"/>
                            </a:srgbClr>
                          </a:fillRef>
                          <a:effectRef idx="0">
                            <a:scrgbClr r="0" g="0" b="0"/>
                          </a:effectRef>
                          <a:fontRef idx="none"/>
                        </wps:style>
                        <wps:bodyPr/>
                      </wps:wsp>
                      <wps:wsp>
                        <wps:cNvPr id="6744" name="Shape 6744"/>
                        <wps:cNvSpPr/>
                        <wps:spPr>
                          <a:xfrm>
                            <a:off x="1548653" y="464731"/>
                            <a:ext cx="43605" cy="43938"/>
                          </a:xfrm>
                          <a:custGeom>
                            <a:avLst/>
                            <a:gdLst/>
                            <a:ahLst/>
                            <a:cxnLst/>
                            <a:rect l="0" t="0" r="0" b="0"/>
                            <a:pathLst>
                              <a:path w="43605" h="43938">
                                <a:moveTo>
                                  <a:pt x="21802" y="0"/>
                                </a:moveTo>
                                <a:lnTo>
                                  <a:pt x="43605" y="43938"/>
                                </a:lnTo>
                                <a:lnTo>
                                  <a:pt x="0" y="43938"/>
                                </a:lnTo>
                                <a:lnTo>
                                  <a:pt x="21802" y="0"/>
                                </a:lnTo>
                                <a:close/>
                              </a:path>
                            </a:pathLst>
                          </a:custGeom>
                          <a:ln w="0" cap="rnd">
                            <a:round/>
                          </a:ln>
                        </wps:spPr>
                        <wps:style>
                          <a:lnRef idx="0">
                            <a:srgbClr val="000000">
                              <a:alpha val="0"/>
                            </a:srgbClr>
                          </a:lnRef>
                          <a:fillRef idx="1">
                            <a:srgbClr val="156082"/>
                          </a:fillRef>
                          <a:effectRef idx="0">
                            <a:scrgbClr r="0" g="0" b="0"/>
                          </a:effectRef>
                          <a:fontRef idx="none"/>
                        </wps:style>
                        <wps:bodyPr/>
                      </wps:wsp>
                      <wps:wsp>
                        <wps:cNvPr id="6745" name="Shape 6745"/>
                        <wps:cNvSpPr/>
                        <wps:spPr>
                          <a:xfrm>
                            <a:off x="4028179" y="1678488"/>
                            <a:ext cx="777462" cy="0"/>
                          </a:xfrm>
                          <a:custGeom>
                            <a:avLst/>
                            <a:gdLst/>
                            <a:ahLst/>
                            <a:cxnLst/>
                            <a:rect l="0" t="0" r="0" b="0"/>
                            <a:pathLst>
                              <a:path w="777462">
                                <a:moveTo>
                                  <a:pt x="777462" y="0"/>
                                </a:moveTo>
                                <a:lnTo>
                                  <a:pt x="0" y="0"/>
                                </a:lnTo>
                              </a:path>
                            </a:pathLst>
                          </a:custGeom>
                          <a:ln w="8135" cap="rnd">
                            <a:round/>
                          </a:ln>
                        </wps:spPr>
                        <wps:style>
                          <a:lnRef idx="1">
                            <a:srgbClr val="156082"/>
                          </a:lnRef>
                          <a:fillRef idx="0">
                            <a:srgbClr val="000000">
                              <a:alpha val="0"/>
                            </a:srgbClr>
                          </a:fillRef>
                          <a:effectRef idx="0">
                            <a:scrgbClr r="0" g="0" b="0"/>
                          </a:effectRef>
                          <a:fontRef idx="none"/>
                        </wps:style>
                        <wps:bodyPr/>
                      </wps:wsp>
                      <wps:wsp>
                        <wps:cNvPr id="6746" name="Shape 6746"/>
                        <wps:cNvSpPr/>
                        <wps:spPr>
                          <a:xfrm>
                            <a:off x="3989998" y="1656519"/>
                            <a:ext cx="43605" cy="43938"/>
                          </a:xfrm>
                          <a:custGeom>
                            <a:avLst/>
                            <a:gdLst/>
                            <a:ahLst/>
                            <a:cxnLst/>
                            <a:rect l="0" t="0" r="0" b="0"/>
                            <a:pathLst>
                              <a:path w="43605" h="43938">
                                <a:moveTo>
                                  <a:pt x="43605" y="0"/>
                                </a:moveTo>
                                <a:lnTo>
                                  <a:pt x="43605" y="43938"/>
                                </a:lnTo>
                                <a:lnTo>
                                  <a:pt x="0" y="21969"/>
                                </a:lnTo>
                                <a:lnTo>
                                  <a:pt x="43605" y="0"/>
                                </a:lnTo>
                                <a:close/>
                              </a:path>
                            </a:pathLst>
                          </a:custGeom>
                          <a:ln w="0" cap="rnd">
                            <a:round/>
                          </a:ln>
                        </wps:spPr>
                        <wps:style>
                          <a:lnRef idx="0">
                            <a:srgbClr val="000000">
                              <a:alpha val="0"/>
                            </a:srgbClr>
                          </a:lnRef>
                          <a:fillRef idx="1">
                            <a:srgbClr val="156082"/>
                          </a:fillRef>
                          <a:effectRef idx="0">
                            <a:scrgbClr r="0" g="0" b="0"/>
                          </a:effectRef>
                          <a:fontRef idx="none"/>
                        </wps:style>
                        <wps:bodyPr/>
                      </wps:wsp>
                      <pic:pic xmlns:pic="http://schemas.openxmlformats.org/drawingml/2006/picture">
                        <pic:nvPicPr>
                          <pic:cNvPr id="94644" name="Picture 94644"/>
                          <pic:cNvPicPr/>
                        </pic:nvPicPr>
                        <pic:blipFill>
                          <a:blip r:embed="rId25"/>
                          <a:stretch>
                            <a:fillRect/>
                          </a:stretch>
                        </pic:blipFill>
                        <pic:spPr>
                          <a:xfrm>
                            <a:off x="3382312" y="1396380"/>
                            <a:ext cx="612648" cy="569976"/>
                          </a:xfrm>
                          <a:prstGeom prst="rect">
                            <a:avLst/>
                          </a:prstGeom>
                        </pic:spPr>
                      </pic:pic>
                      <pic:pic xmlns:pic="http://schemas.openxmlformats.org/drawingml/2006/picture">
                        <pic:nvPicPr>
                          <pic:cNvPr id="94645" name="Picture 94645"/>
                          <pic:cNvPicPr/>
                        </pic:nvPicPr>
                        <pic:blipFill>
                          <a:blip r:embed="rId26"/>
                          <a:stretch>
                            <a:fillRect/>
                          </a:stretch>
                        </pic:blipFill>
                        <pic:spPr>
                          <a:xfrm>
                            <a:off x="3604817" y="1762140"/>
                            <a:ext cx="118872" cy="118872"/>
                          </a:xfrm>
                          <a:prstGeom prst="rect">
                            <a:avLst/>
                          </a:prstGeom>
                        </pic:spPr>
                      </pic:pic>
                      <wps:wsp>
                        <wps:cNvPr id="6749" name="Shape 6749"/>
                        <wps:cNvSpPr/>
                        <wps:spPr>
                          <a:xfrm>
                            <a:off x="2850136" y="1668323"/>
                            <a:ext cx="535898" cy="155204"/>
                          </a:xfrm>
                          <a:custGeom>
                            <a:avLst/>
                            <a:gdLst/>
                            <a:ahLst/>
                            <a:cxnLst/>
                            <a:rect l="0" t="0" r="0" b="0"/>
                            <a:pathLst>
                              <a:path w="535898" h="155204">
                                <a:moveTo>
                                  <a:pt x="535898" y="0"/>
                                </a:moveTo>
                                <a:lnTo>
                                  <a:pt x="493161" y="0"/>
                                </a:lnTo>
                                <a:cubicBezTo>
                                  <a:pt x="469514" y="0"/>
                                  <a:pt x="450369" y="19291"/>
                                  <a:pt x="450369" y="43064"/>
                                </a:cubicBezTo>
                                <a:lnTo>
                                  <a:pt x="450369" y="108752"/>
                                </a:lnTo>
                                <a:cubicBezTo>
                                  <a:pt x="450369" y="134382"/>
                                  <a:pt x="429760" y="155204"/>
                                  <a:pt x="404269" y="155204"/>
                                </a:cubicBezTo>
                                <a:lnTo>
                                  <a:pt x="0" y="155204"/>
                                </a:lnTo>
                              </a:path>
                            </a:pathLst>
                          </a:custGeom>
                          <a:ln w="8135" cap="rnd">
                            <a:round/>
                          </a:ln>
                        </wps:spPr>
                        <wps:style>
                          <a:lnRef idx="1">
                            <a:srgbClr val="156082"/>
                          </a:lnRef>
                          <a:fillRef idx="0">
                            <a:srgbClr val="000000">
                              <a:alpha val="0"/>
                            </a:srgbClr>
                          </a:fillRef>
                          <a:effectRef idx="0">
                            <a:scrgbClr r="0" g="0" b="0"/>
                          </a:effectRef>
                          <a:fontRef idx="none"/>
                        </wps:style>
                        <wps:bodyPr/>
                      </wps:wsp>
                      <wps:wsp>
                        <wps:cNvPr id="6750" name="Shape 6750"/>
                        <wps:cNvSpPr/>
                        <wps:spPr>
                          <a:xfrm>
                            <a:off x="2811954" y="1801558"/>
                            <a:ext cx="43605" cy="43938"/>
                          </a:xfrm>
                          <a:custGeom>
                            <a:avLst/>
                            <a:gdLst/>
                            <a:ahLst/>
                            <a:cxnLst/>
                            <a:rect l="0" t="0" r="0" b="0"/>
                            <a:pathLst>
                              <a:path w="43605" h="43938">
                                <a:moveTo>
                                  <a:pt x="43605" y="0"/>
                                </a:moveTo>
                                <a:lnTo>
                                  <a:pt x="43605" y="43938"/>
                                </a:lnTo>
                                <a:lnTo>
                                  <a:pt x="0" y="21969"/>
                                </a:lnTo>
                                <a:lnTo>
                                  <a:pt x="43605" y="0"/>
                                </a:lnTo>
                                <a:close/>
                              </a:path>
                            </a:pathLst>
                          </a:custGeom>
                          <a:ln w="0" cap="rnd">
                            <a:round/>
                          </a:ln>
                        </wps:spPr>
                        <wps:style>
                          <a:lnRef idx="0">
                            <a:srgbClr val="000000">
                              <a:alpha val="0"/>
                            </a:srgbClr>
                          </a:lnRef>
                          <a:fillRef idx="1">
                            <a:srgbClr val="156082"/>
                          </a:fillRef>
                          <a:effectRef idx="0">
                            <a:scrgbClr r="0" g="0" b="0"/>
                          </a:effectRef>
                          <a:fontRef idx="none"/>
                        </wps:style>
                        <wps:bodyPr/>
                      </wps:wsp>
                      <wps:wsp>
                        <wps:cNvPr id="6751" name="Shape 6751"/>
                        <wps:cNvSpPr/>
                        <wps:spPr>
                          <a:xfrm>
                            <a:off x="2342548" y="1281353"/>
                            <a:ext cx="157011" cy="542174"/>
                          </a:xfrm>
                          <a:custGeom>
                            <a:avLst/>
                            <a:gdLst/>
                            <a:ahLst/>
                            <a:cxnLst/>
                            <a:rect l="0" t="0" r="0" b="0"/>
                            <a:pathLst>
                              <a:path w="157011" h="542174">
                                <a:moveTo>
                                  <a:pt x="157011" y="542174"/>
                                </a:moveTo>
                                <a:lnTo>
                                  <a:pt x="114599" y="542174"/>
                                </a:lnTo>
                                <a:cubicBezTo>
                                  <a:pt x="91169" y="542174"/>
                                  <a:pt x="72187" y="523047"/>
                                  <a:pt x="72187" y="499438"/>
                                </a:cubicBezTo>
                                <a:lnTo>
                                  <a:pt x="72187" y="46452"/>
                                </a:lnTo>
                                <a:cubicBezTo>
                                  <a:pt x="72187" y="20821"/>
                                  <a:pt x="51524" y="0"/>
                                  <a:pt x="26033" y="0"/>
                                </a:cubicBezTo>
                                <a:lnTo>
                                  <a:pt x="0" y="0"/>
                                </a:lnTo>
                              </a:path>
                            </a:pathLst>
                          </a:custGeom>
                          <a:ln w="8135" cap="rnd">
                            <a:round/>
                          </a:ln>
                        </wps:spPr>
                        <wps:style>
                          <a:lnRef idx="1">
                            <a:srgbClr val="156082"/>
                          </a:lnRef>
                          <a:fillRef idx="0">
                            <a:srgbClr val="000000">
                              <a:alpha val="0"/>
                            </a:srgbClr>
                          </a:fillRef>
                          <a:effectRef idx="0">
                            <a:scrgbClr r="0" g="0" b="0"/>
                          </a:effectRef>
                          <a:fontRef idx="none"/>
                        </wps:style>
                        <wps:bodyPr/>
                      </wps:wsp>
                      <wps:wsp>
                        <wps:cNvPr id="6752" name="Shape 6752"/>
                        <wps:cNvSpPr/>
                        <wps:spPr>
                          <a:xfrm>
                            <a:off x="2304366" y="1259384"/>
                            <a:ext cx="43605" cy="43938"/>
                          </a:xfrm>
                          <a:custGeom>
                            <a:avLst/>
                            <a:gdLst/>
                            <a:ahLst/>
                            <a:cxnLst/>
                            <a:rect l="0" t="0" r="0" b="0"/>
                            <a:pathLst>
                              <a:path w="43605" h="43938">
                                <a:moveTo>
                                  <a:pt x="43605" y="0"/>
                                </a:moveTo>
                                <a:lnTo>
                                  <a:pt x="43605" y="43938"/>
                                </a:lnTo>
                                <a:lnTo>
                                  <a:pt x="0" y="21969"/>
                                </a:lnTo>
                                <a:lnTo>
                                  <a:pt x="43605" y="0"/>
                                </a:lnTo>
                                <a:close/>
                              </a:path>
                            </a:pathLst>
                          </a:custGeom>
                          <a:ln w="0" cap="rnd">
                            <a:round/>
                          </a:ln>
                        </wps:spPr>
                        <wps:style>
                          <a:lnRef idx="0">
                            <a:srgbClr val="000000">
                              <a:alpha val="0"/>
                            </a:srgbClr>
                          </a:lnRef>
                          <a:fillRef idx="1">
                            <a:srgbClr val="156082"/>
                          </a:fillRef>
                          <a:effectRef idx="0">
                            <a:scrgbClr r="0" g="0" b="0"/>
                          </a:effectRef>
                          <a:fontRef idx="none"/>
                        </wps:style>
                        <wps:bodyPr/>
                      </wps:wsp>
                    </wpg:wgp>
                  </a:graphicData>
                </a:graphic>
              </wp:inline>
            </w:drawing>
          </mc:Choice>
          <mc:Fallback>
            <w:pict>
              <v:group w14:anchorId="2F1180CC" id="Group 86501" o:spid="_x0000_s1050" style="width:455.4pt;height:192.6pt;mso-position-horizontal-relative:char;mso-position-vertical-relative:line" coordsize="57833,24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">
                <v:rect id="Rectangle 6703" o:spid="_x0000_s1051" style="position:absolute;left:57415;top:22967;width:55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" filled="f" stroked="f">
                  <v:textbox inset="0,0,0,0">
                    <w:txbxContent>
                      <w:p w14:paraId="717007B3" w14:textId="77777777" w:rsidR="003F0DB8" w:rsidRDefault="00000000">
                        <w:pPr>
                          <w:spacing w:after="160" w:line="259" w:lineRule="auto"/>
                          <w:ind w:left="0" w:firstLine="0"/>
                        </w:pPr>
                        <w:r>
                          <w:rPr>
                            <w:sz w:val="24"/>
                          </w:rPr>
                          <w:t xml:space="preserve"> </w:t>
                        </w:r>
                      </w:p>
                    </w:txbxContent>
                  </v:textbox>
                </v:rect>
                <v:shape id="Shape 6706" o:spid="_x0000_s1052" style="position:absolute;left:11488;width:9225;height:4647;visibility:visible;mso-wrap-style:square;v-text-anchor:top" coordsize="922433,464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" path="m,l922433,r,464731l,464731,,xe" fillcolor="#83caeb" stroked="f" strokeweight="0">
                  <v:stroke miterlimit="83231f" joinstyle="miter"/>
                  <v:path arrowok="t" textboxrect="0,0,922433,464731"/>
                </v:shape>
                <v:rect id="Rectangle 6708" o:spid="_x0000_s1053" style="position:absolute;left:15567;top:2018;width:1399;height: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" filled="f" stroked="f">
                  <v:textbox inset="0,0,0,0">
                    <w:txbxContent>
                      <w:p w14:paraId="5FFD1AD1" w14:textId="77777777" w:rsidR="003F0DB8" w:rsidRDefault="00000000">
                        <w:pPr>
                          <w:spacing w:after="160" w:line="259" w:lineRule="auto"/>
                          <w:ind w:left="0" w:firstLine="0"/>
                        </w:pPr>
                        <w:r>
                          <w:rPr>
                            <w:rFonts w:ascii="Calibri" w:eastAsia="Calibri" w:hAnsi="Calibri" w:cs="Calibri"/>
                            <w:color w:val="FEFFFF"/>
                            <w:sz w:val="10"/>
                          </w:rPr>
                          <w:t>EDP</w:t>
                        </w:r>
                      </w:p>
                    </w:txbxContent>
                  </v:textbox>
                </v:rect>
                <v:shape id="Shape 99103" o:spid="_x0000_s1054" style="position:absolute;top:19190;width:9224;height:4648;visibility:visible;mso-wrap-style:square;v-text-anchor:top" coordsize="922433,464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" path="m,l922433,r,464731l,464731,,e" fillcolor="#bf4f14" stroked="f" strokeweight="0">
                  <v:stroke miterlimit="83231f" joinstyle="miter"/>
                  <v:path arrowok="t" textboxrect="0,0,922433,464731"/>
                </v:shape>
                <v:rect id="Rectangle 6711" o:spid="_x0000_s1055" style="position:absolute;left:3405;top:21234;width:3190;height: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" filled="f" stroked="f">
                  <v:textbox inset="0,0,0,0">
                    <w:txbxContent>
                      <w:p w14:paraId="2D574244" w14:textId="77777777" w:rsidR="003F0DB8" w:rsidRDefault="00000000">
                        <w:pPr>
                          <w:spacing w:after="160" w:line="259" w:lineRule="auto"/>
                          <w:ind w:left="0" w:firstLine="0"/>
                        </w:pPr>
                        <w:r>
                          <w:rPr>
                            <w:rFonts w:ascii="Calibri" w:eastAsia="Calibri" w:hAnsi="Calibri" w:cs="Calibri"/>
                            <w:color w:val="FEFFFF"/>
                            <w:sz w:val="10"/>
                          </w:rPr>
                          <w:t>Mulesoft</w:t>
                        </w:r>
                      </w:p>
                    </w:txbxContent>
                  </v:textbox>
                </v:rect>
                <v:shape id="Shape 99104" o:spid="_x0000_s1056" style="position:absolute;left:48056;top:14497;width:9224;height:4647;visibility:visible;mso-wrap-style:square;v-text-anchor:top" coordsize="922433,464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" path="m,l922433,r,464731l,464731,,e" fillcolor="#8ed873" stroked="f" strokeweight="0">
                  <v:stroke miterlimit="83231f" joinstyle="miter"/>
                  <v:path arrowok="t" textboxrect="0,0,922433,464731"/>
                </v:shape>
                <v:rect id="Rectangle 6714" o:spid="_x0000_s1057" style="position:absolute;left:50639;top:16534;width:5444;height: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" filled="f" stroked="f">
                  <v:textbox inset="0,0,0,0">
                    <w:txbxContent>
                      <w:p w14:paraId="200E279F" w14:textId="77777777" w:rsidR="003F0DB8" w:rsidRDefault="00000000">
                        <w:pPr>
                          <w:spacing w:after="160" w:line="259" w:lineRule="auto"/>
                          <w:ind w:left="0" w:firstLine="0"/>
                        </w:pPr>
                        <w:r>
                          <w:rPr>
                            <w:rFonts w:ascii="Calibri" w:eastAsia="Calibri" w:hAnsi="Calibri" w:cs="Calibri"/>
                            <w:b/>
                            <w:color w:val="FEFFFF"/>
                            <w:sz w:val="10"/>
                          </w:rPr>
                          <w:t>Provider portal</w:t>
                        </w:r>
                      </w:p>
                    </w:txbxContent>
                  </v:textbox>
                </v:rect>
                <v:shape id="Shape 6716" o:spid="_x0000_s1058" style="position:absolute;left:24988;top:18060;width:984;height:1019;visibility:visible;mso-wrap-style:square;v-text-anchor:top" coordsize="98437,101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" path="m13939,l96593,83078v1844,1830,1844,4809,,6645l96539,89750,86288,100095v-1790,1837,-4718,1842,-6562,6l3688,23663c,20001,,14100,3633,10438l13939,xe" fillcolor="#50e6ff" stroked="f" strokeweight="0">
                  <v:stroke miterlimit="83231f" joinstyle="miter"/>
                  <v:path arrowok="t" textboxrect="0,0,98437,101937"/>
                </v:shape>
                <v:shape id="Shape 6718" o:spid="_x0000_s1059" style="position:absolute;left:24986;top:17390;width:970;height:1009;visibility:visible;mso-wrap-style:square;v-text-anchor:top" coordsize="96973,100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" path="m78262,1803c80106,,83034,,84824,1858l95129,12187v1844,1858,1844,4809,,6667l13938,100882,3634,90554c,86892,,80935,3634,77274l78262,1803xe" fillcolor="#1490df" stroked="f" strokeweight="0">
                  <v:stroke miterlimit="83231f" joinstyle="miter"/>
                  <v:path arrowok="t" textboxrect="0,0,96973,100882"/>
                </v:shape>
                <v:shape id="Shape 6720" o:spid="_x0000_s1060" style="position:absolute;left:27144;top:18061;width:983;height:1019;visibility:visible;mso-wrap-style:square;v-text-anchor:top" coordsize="98328,101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" path="m84444,l94695,10383v3633,3662,3633,9619,,13280l18602,100052v-1789,1836,-4772,1830,-6562,-11l1789,89712c,87870,,84898,1789,83061l84444,xe" fillcolor="#50e6ff" stroked="f" strokeweight="0">
                  <v:stroke miterlimit="83231f" joinstyle="miter"/>
                  <v:path arrowok="t" textboxrect="0,0,98328,101888"/>
                </v:shape>
                <v:shape id="Shape 6722" o:spid="_x0000_s1061" style="position:absolute;left:27159;top:17389;width:969;height:1009;visibility:visible;mso-wrap-style:square;v-text-anchor:top" coordsize="96972,100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" path="m12094,1858c13938,,16867,,18711,1858l93339,77274v3633,3661,3633,9618,,13280l93285,90554,82980,100882,1789,18854c,16996,,14045,1789,12187l12094,1858xe" fillcolor="#1490df" stroked="f" strokeweight="0">
                  <v:stroke miterlimit="83231f" joinstyle="miter"/>
                  <v:path arrowok="t" textboxrect="0,0,96972,10088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642" o:spid="_x0000_s1062" type="#_x0000_t75" style="position:absolute;left:25766;top:16788;width:1615;height:2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">
                  <v:imagedata r:id="rId27" o:title=""/>
                </v:shape>
                <v:rect id="Rectangle 6725" o:spid="_x0000_s1063" style="position:absolute;left:25250;top:19959;width:3686;height:1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JmP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wNPuH1JjwBOX8CAAD//wMAUEsBAi0AFAAGAAgAAAAhANvh9svuAAAAhQEAABMAAAAAAAAA&#10;AAAAAAAAAAAAAFtDb250ZW50X1R5cGVzXS54bWxQSwECLQAUAAYACAAAACEAWvQsW78AAAAVAQAA&#10;CwAAAAAAAAAAAAAAAAAfAQAAX3JlbHMvLnJlbHNQSwECLQAUAAYACAAAACEAKMyZj8YAAADdAAAA&#10;DwAAAAAAAAAAAAAAAAAHAgAAZHJzL2Rvd25yZXYueG1sUEsFBgAAAAADAAMAtwAAAPoCAAAAAA==&#10;" filled="f" stroked="f">
                  <v:textbox inset="0,0,0,0">
                    <w:txbxContent>
                      <w:p w14:paraId="1B38553B" w14:textId="77777777" w:rsidR="003F0DB8" w:rsidRDefault="00000000">
                        <w:pPr>
                          <w:spacing w:after="160" w:line="259" w:lineRule="auto"/>
                          <w:ind w:left="0" w:firstLine="0"/>
                        </w:pPr>
                        <w:r>
                          <w:rPr>
                            <w:rFonts w:ascii="Calibri" w:eastAsia="Calibri" w:hAnsi="Calibri" w:cs="Calibri"/>
                            <w:sz w:val="12"/>
                          </w:rPr>
                          <w:t xml:space="preserve">Provider </w:t>
                        </w:r>
                      </w:p>
                    </w:txbxContent>
                  </v:textbox>
                </v:rect>
                <v:rect id="Rectangle 6727" o:spid="_x0000_s1064" style="position:absolute;left:25632;top:20879;width:2441;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" filled="f" stroked="f">
                  <v:textbox inset="0,0,0,0">
                    <w:txbxContent>
                      <w:p w14:paraId="06830F6C" w14:textId="77777777" w:rsidR="003F0DB8" w:rsidRDefault="00000000">
                        <w:pPr>
                          <w:spacing w:after="160" w:line="259" w:lineRule="auto"/>
                          <w:ind w:left="0" w:firstLine="0"/>
                        </w:pPr>
                        <w:r>
                          <w:rPr>
                            <w:rFonts w:ascii="Calibri" w:eastAsia="Calibri" w:hAnsi="Calibri" w:cs="Calibri"/>
                            <w:sz w:val="12"/>
                          </w:rPr>
                          <w:t>Portal</w:t>
                        </w:r>
                      </w:p>
                    </w:txbxContent>
                  </v:textbox>
                </v:rect>
                <v:shape id="Shape 6729" o:spid="_x0000_s1065" style="position:absolute;left:19912;top:12638;width:984;height:1019;visibility:visible;mso-wrap-style:square;v-text-anchor:top" coordsize="98437,101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" path="m13939,l96593,83067v1844,1803,1844,4809,,6667l96539,89734,86288,100063v-1790,1858,-4772,1858,-6562,l3688,23663c,20001,,14099,3634,10383l13939,xe" fillcolor="#50e6ff" stroked="f" strokeweight="0">
                  <v:stroke miterlimit="83231f" joinstyle="miter"/>
                  <v:path arrowok="t" textboxrect="0,0,98437,101921"/>
                </v:shape>
                <v:shape id="Shape 6731" o:spid="_x0000_s1066" style="position:absolute;left:19911;top:11968;width:969;height:1009;visibility:visible;mso-wrap-style:square;v-text-anchor:top" coordsize="96973,100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" path="m78262,1803c80106,,83034,,84824,1803l95129,12187v1844,1803,1844,4809,,6667l13938,100882,3634,90499c,86838,,80935,3580,77274l78262,1803xe" fillcolor="#1490df" stroked="f" strokeweight="0">
                  <v:stroke miterlimit="83231f" joinstyle="miter"/>
                  <v:path arrowok="t" textboxrect="0,0,96973,100882"/>
                </v:shape>
                <v:shape id="Shape 6733" o:spid="_x0000_s1067" style="position:absolute;left:22068;top:12639;width:983;height:1019;visibility:visible;mso-wrap-style:square;v-text-anchor:top" coordsize="98328,101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" path="m84390,l94695,10383v3633,3717,3633,9619,,13280l18603,100117v-1790,1804,-4773,1804,-6563,-54l1790,89734c,87930,,84925,1790,83121l84444,55,84390,xe" fillcolor="#50e6ff" stroked="f" strokeweight="0">
                  <v:stroke miterlimit="83231f" joinstyle="miter"/>
                  <v:path arrowok="t" textboxrect="0,0,98328,101921"/>
                </v:shape>
                <v:shape id="Shape 6735" o:spid="_x0000_s1068" style="position:absolute;left:22082;top:11968;width:970;height:1008;visibility:visible;mso-wrap-style:square;v-text-anchor:top" coordsize="97027,100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" path="m12148,1803c13993,,16921,,18765,1858l93393,77274v3634,3661,3634,9618,,13280l93338,90499,83034,100882,1844,18799c,16996,54,13990,1844,12187l12148,1803xe" fillcolor="#1490df" stroked="f" strokeweight="0">
                  <v:stroke miterlimit="83231f" joinstyle="miter"/>
                  <v:path arrowok="t" textboxrect="0,0,97027,100882"/>
                </v:shape>
                <v:shape id="Picture 94643" o:spid="_x0000_s1069" type="#_x0000_t75" style="position:absolute;left:20686;top:11362;width:1615;height:2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">
                  <v:imagedata r:id="rId28" o:title=""/>
                </v:shape>
                <v:rect id="Rectangle 6738" o:spid="_x0000_s1070" style="position:absolute;left:20545;top:14530;width:2697;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" filled="f" stroked="f">
                  <v:textbox inset="0,0,0,0">
                    <w:txbxContent>
                      <w:p w14:paraId="4EC731CE" w14:textId="77777777" w:rsidR="003F0DB8" w:rsidRDefault="00000000">
                        <w:pPr>
                          <w:spacing w:after="160" w:line="259" w:lineRule="auto"/>
                          <w:ind w:left="0" w:firstLine="0"/>
                        </w:pPr>
                        <w:r>
                          <w:rPr>
                            <w:rFonts w:ascii="Calibri" w:eastAsia="Calibri" w:hAnsi="Calibri" w:cs="Calibri"/>
                            <w:sz w:val="12"/>
                          </w:rPr>
                          <w:t xml:space="preserve">Cache </w:t>
                        </w:r>
                      </w:p>
                    </w:txbxContent>
                  </v:textbox>
                </v:rect>
                <v:rect id="Rectangle 6740" o:spid="_x0000_s1071" style="position:absolute;left:20439;top:15449;width:2745;height:1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" filled="f" stroked="f">
                  <v:textbox inset="0,0,0,0">
                    <w:txbxContent>
                      <w:p w14:paraId="70FF031A" w14:textId="77777777" w:rsidR="003F0DB8" w:rsidRDefault="00000000">
                        <w:pPr>
                          <w:spacing w:after="160" w:line="259" w:lineRule="auto"/>
                          <w:ind w:left="0" w:firstLine="0"/>
                        </w:pPr>
                        <w:r>
                          <w:rPr>
                            <w:rFonts w:ascii="Calibri" w:eastAsia="Calibri" w:hAnsi="Calibri" w:cs="Calibri"/>
                            <w:sz w:val="12"/>
                          </w:rPr>
                          <w:t>Engine</w:t>
                        </w:r>
                      </w:p>
                    </w:txbxContent>
                  </v:textbox>
                </v:rect>
                <v:shape id="Shape 6741" o:spid="_x0000_s1072" style="position:absolute;left:4612;top:18235;width:20383;height:571;visibility:visible;mso-wrap-style:square;v-text-anchor:top" coordsize="2038345,5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" path="m2038345,l46122,c20647,,,20821,,46485l,57125e" filled="f" strokecolor="#156082" strokeweight=".22597mm">
                  <v:stroke endcap="round"/>
                  <v:path arrowok="t" textboxrect="0,0,2038345,57125"/>
                </v:shape>
                <v:shape id="Shape 6742" o:spid="_x0000_s1073" style="position:absolute;left:4394;top:18751;width:436;height:439;visibility:visible;mso-wrap-style:square;v-text-anchor:top" coordsize="43605,4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" path="m,l43605,,21803,43938,,xe" fillcolor="#156082" stroked="f" strokeweight="0">
                  <v:stroke endcap="round"/>
                  <v:path arrowok="t" textboxrect="0,0,43605,43938"/>
                </v:shape>
                <v:shape id="Shape 6743" o:spid="_x0000_s1074" style="position:absolute;left:15704;top:5032;width:4215;height:7781;visibility:visible;mso-wrap-style:square;v-text-anchor:top" coordsize="421517,778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" path="m421517,778149r-375417,c20610,778149,,757328,,731697l,e" filled="f" strokecolor="#156082" strokeweight=".22597mm">
                  <v:stroke endcap="round"/>
                  <v:path arrowok="t" textboxrect="0,0,421517,778149"/>
                </v:shape>
                <v:shape id="Shape 6744" o:spid="_x0000_s1075" style="position:absolute;left:15486;top:4647;width:436;height:439;visibility:visible;mso-wrap-style:square;v-text-anchor:top" coordsize="43605,4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" path="m21802,l43605,43938,,43938,21802,xe" fillcolor="#156082" stroked="f" strokeweight="0">
                  <v:stroke endcap="round"/>
                  <v:path arrowok="t" textboxrect="0,0,43605,43938"/>
                </v:shape>
                <v:shape id="Shape 6745" o:spid="_x0000_s1076" style="position:absolute;left:40281;top:16784;width:7775;height:0;visibility:visible;mso-wrap-style:square;v-text-anchor:top" coordsize="777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" path="m777462,l,e" filled="f" strokecolor="#156082" strokeweight=".22597mm">
                  <v:stroke endcap="round"/>
                  <v:path arrowok="t" textboxrect="0,0,777462,0"/>
                </v:shape>
                <v:shape id="Shape 6746" o:spid="_x0000_s1077" style="position:absolute;left:39899;top:16565;width:437;height:439;visibility:visible;mso-wrap-style:square;v-text-anchor:top" coordsize="43605,4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" path="m43605,r,43938l,21969,43605,xe" fillcolor="#156082" stroked="f" strokeweight="0">
                  <v:stroke endcap="round"/>
                  <v:path arrowok="t" textboxrect="0,0,43605,43938"/>
                </v:shape>
                <v:shape id="Picture 94644" o:spid="_x0000_s1078" type="#_x0000_t75" style="position:absolute;left:33823;top:13963;width:6126;height:5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">
                  <v:imagedata r:id="rId29" o:title=""/>
                </v:shape>
                <v:shape id="Picture 94645" o:spid="_x0000_s1079" type="#_x0000_t75" style="position:absolute;left:36048;top:17621;width:1188;height: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">
                  <v:imagedata r:id="rId30" o:title=""/>
                </v:shape>
                <v:shape id="Shape 6749" o:spid="_x0000_s1080" style="position:absolute;left:28501;top:16683;width:5359;height:1552;visibility:visible;mso-wrap-style:square;v-text-anchor:top" coordsize="535898,155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" path="m535898,l493161,c469514,,450369,19291,450369,43064r,65688c450369,134382,429760,155204,404269,155204l,155204e" filled="f" strokecolor="#156082" strokeweight=".22597mm">
                  <v:stroke endcap="round"/>
                  <v:path arrowok="t" textboxrect="0,0,535898,155204"/>
                </v:shape>
                <v:shape id="Shape 6750" o:spid="_x0000_s1081" style="position:absolute;left:28119;top:18015;width:436;height:439;visibility:visible;mso-wrap-style:square;v-text-anchor:top" coordsize="43605,4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" path="m43605,r,43938l,21969,43605,xe" fillcolor="#156082" stroked="f" strokeweight="0">
                  <v:stroke endcap="round"/>
                  <v:path arrowok="t" textboxrect="0,0,43605,43938"/>
                </v:shape>
                <v:shape id="Shape 6751" o:spid="_x0000_s1082" style="position:absolute;left:23425;top:12813;width:1570;height:5422;visibility:visible;mso-wrap-style:square;v-text-anchor:top" coordsize="157011,542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" path="m157011,542174r-42412,c91169,542174,72187,523047,72187,499438r,-452986c72187,20821,51524,,26033,l,e" filled="f" strokecolor="#156082" strokeweight=".22597mm">
                  <v:stroke endcap="round"/>
                  <v:path arrowok="t" textboxrect="0,0,157011,542174"/>
                </v:shape>
                <v:shape id="Shape 6752" o:spid="_x0000_s1083" style="position:absolute;left:23043;top:12593;width:436;height:440;visibility:visible;mso-wrap-style:square;v-text-anchor:top" coordsize="43605,4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" path="m43605,r,43938l,21969,43605,xe" fillcolor="#156082" stroked="f" strokeweight="0">
                  <v:stroke endcap="round"/>
                  <v:path arrowok="t" textboxrect="0,0,43605,43938"/>
                </v:shape>
                <w10:anchorlock/>
              </v:group>
            </w:pict>
          </mc:Fallback>
        </mc:AlternateContent>
      </w:r>
    </w:p>
    <w:p w14:paraId="543A1FF8" w14:textId="77777777" w:rsidR="003F0DB8" w:rsidRDefault="00000000">
      <w:pPr>
        <w:spacing w:after="0" w:line="259" w:lineRule="auto"/>
        <w:ind w:left="0" w:firstLine="0"/>
        <w:jc w:val="both"/>
      </w:pPr>
      <w:r>
        <w:rPr>
          <w:sz w:val="24"/>
        </w:rPr>
        <w:t xml:space="preserve"> </w:t>
      </w:r>
      <w:r>
        <w:rPr>
          <w:sz w:val="24"/>
        </w:rPr>
        <w:tab/>
      </w:r>
      <w:r>
        <w:rPr>
          <w:b/>
          <w:sz w:val="28"/>
        </w:rPr>
        <w:t xml:space="preserve"> </w:t>
      </w:r>
      <w:r>
        <w:br w:type="page"/>
      </w:r>
    </w:p>
    <w:p w14:paraId="54E95E3C" w14:textId="77777777" w:rsidR="003F0DB8" w:rsidRDefault="00000000">
      <w:pPr>
        <w:pStyle w:val="Heading3"/>
        <w:spacing w:after="122"/>
        <w:ind w:left="-5"/>
      </w:pPr>
      <w:r>
        <w:rPr>
          <w:sz w:val="22"/>
        </w:rPr>
        <w:lastRenderedPageBreak/>
        <w:t xml:space="preserve">Syndication API </w:t>
      </w:r>
    </w:p>
    <w:p w14:paraId="17D10847" w14:textId="77777777" w:rsidR="003F0DB8" w:rsidRDefault="00000000">
      <w:pPr>
        <w:spacing w:after="86" w:line="269" w:lineRule="auto"/>
        <w:ind w:left="10" w:right="3" w:hanging="10"/>
      </w:pPr>
      <w:r>
        <w:rPr>
          <w:sz w:val="24"/>
        </w:rPr>
        <w:t xml:space="preserve">A public-facing API aggregating data from EDP and MuleSoft, exposed to external third-party consumers via APIM with subscription key access control and self-service onboarding through the APIM Developer Portal. At up to 5 million calls per day, a layered caching strategy - Cache Engine Function App backed by Redis - protects upstream systems from excessive load. </w:t>
      </w:r>
    </w:p>
    <w:p w14:paraId="49375586" w14:textId="77777777" w:rsidR="003F0DB8" w:rsidRDefault="00000000">
      <w:pPr>
        <w:spacing w:after="8" w:line="269" w:lineRule="auto"/>
        <w:ind w:left="10" w:right="3" w:hanging="10"/>
      </w:pPr>
      <w:r>
        <w:rPr>
          <w:sz w:val="24"/>
        </w:rPr>
        <w:t xml:space="preserve">Two structural constraints shape ongoing operations: data is drawn from EDP and MuleSoft with no guarantee of consistency between them, with no single source of truth currently defined; and because consumers are external and independently managed, API changes must be non-breaking, requiring active version maintenance until consumers migrate at their own pace. </w:t>
      </w:r>
    </w:p>
    <w:p w14:paraId="6AD8C554" w14:textId="77777777" w:rsidR="003F0DB8" w:rsidRDefault="00000000">
      <w:pPr>
        <w:spacing w:after="144" w:line="259" w:lineRule="auto"/>
        <w:ind w:left="17" w:firstLine="0"/>
      </w:pPr>
      <w:r>
        <w:rPr>
          <w:rFonts w:ascii="Calibri" w:eastAsia="Calibri" w:hAnsi="Calibri" w:cs="Calibri"/>
          <w:noProof/>
          <w:sz w:val="22"/>
        </w:rPr>
        <mc:AlternateContent>
          <mc:Choice Requires="wpg">
            <w:drawing>
              <wp:inline distT="0" distB="0" distL="0" distR="0" wp14:anchorId="49C67597" wp14:editId="5D9A0030">
                <wp:extent cx="5708967" cy="2373845"/>
                <wp:effectExtent l="0" t="0" r="0" b="0"/>
                <wp:docPr id="86563" name="Group 86563"/>
                <wp:cNvGraphicFramePr/>
                <a:graphic xmlns:a="http://schemas.openxmlformats.org/drawingml/2006/main">
                  <a:graphicData uri="http://schemas.microsoft.com/office/word/2010/wordprocessingGroup">
                    <wpg:wgp>
                      <wpg:cNvGrpSpPr/>
                      <wpg:grpSpPr>
                        <a:xfrm>
                          <a:off x="0" y="0"/>
                          <a:ext cx="5708967" cy="2373845"/>
                          <a:chOff x="0" y="0"/>
                          <a:chExt cx="5708967" cy="2373845"/>
                        </a:xfrm>
                      </wpg:grpSpPr>
                      <wps:wsp>
                        <wps:cNvPr id="6782" name="Rectangle 6782"/>
                        <wps:cNvSpPr/>
                        <wps:spPr>
                          <a:xfrm>
                            <a:off x="5667209" y="2224645"/>
                            <a:ext cx="55538" cy="198436"/>
                          </a:xfrm>
                          <a:prstGeom prst="rect">
                            <a:avLst/>
                          </a:prstGeom>
                          <a:ln>
                            <a:noFill/>
                          </a:ln>
                        </wps:spPr>
                        <wps:txbx>
                          <w:txbxContent>
                            <w:p w14:paraId="2ADA1385" w14:textId="77777777" w:rsidR="003F0DB8"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99107" name="Shape 99107"/>
                        <wps:cNvSpPr/>
                        <wps:spPr>
                          <a:xfrm>
                            <a:off x="781060" y="0"/>
                            <a:ext cx="795067" cy="394696"/>
                          </a:xfrm>
                          <a:custGeom>
                            <a:avLst/>
                            <a:gdLst/>
                            <a:ahLst/>
                            <a:cxnLst/>
                            <a:rect l="0" t="0" r="0" b="0"/>
                            <a:pathLst>
                              <a:path w="795067" h="394696">
                                <a:moveTo>
                                  <a:pt x="0" y="0"/>
                                </a:moveTo>
                                <a:lnTo>
                                  <a:pt x="795067" y="0"/>
                                </a:lnTo>
                                <a:lnTo>
                                  <a:pt x="795067" y="394696"/>
                                </a:lnTo>
                                <a:lnTo>
                                  <a:pt x="0" y="394696"/>
                                </a:lnTo>
                                <a:lnTo>
                                  <a:pt x="0" y="0"/>
                                </a:lnTo>
                              </a:path>
                            </a:pathLst>
                          </a:custGeom>
                          <a:ln w="0" cap="flat">
                            <a:miter lim="127000"/>
                          </a:ln>
                        </wps:spPr>
                        <wps:style>
                          <a:lnRef idx="0">
                            <a:srgbClr val="000000">
                              <a:alpha val="0"/>
                            </a:srgbClr>
                          </a:lnRef>
                          <a:fillRef idx="1">
                            <a:srgbClr val="83CAEB"/>
                          </a:fillRef>
                          <a:effectRef idx="0">
                            <a:scrgbClr r="0" g="0" b="0"/>
                          </a:effectRef>
                          <a:fontRef idx="none"/>
                        </wps:style>
                        <wps:bodyPr/>
                      </wps:wsp>
                      <wps:wsp>
                        <wps:cNvPr id="6801" name="Rectangle 6801"/>
                        <wps:cNvSpPr/>
                        <wps:spPr>
                          <a:xfrm>
                            <a:off x="1132454" y="171174"/>
                            <a:ext cx="120668" cy="75607"/>
                          </a:xfrm>
                          <a:prstGeom prst="rect">
                            <a:avLst/>
                          </a:prstGeom>
                          <a:ln>
                            <a:noFill/>
                          </a:ln>
                        </wps:spPr>
                        <wps:txbx>
                          <w:txbxContent>
                            <w:p w14:paraId="25EE5A14" w14:textId="77777777" w:rsidR="003F0DB8" w:rsidRDefault="00000000">
                              <w:pPr>
                                <w:spacing w:after="160" w:line="259" w:lineRule="auto"/>
                                <w:ind w:left="0" w:firstLine="0"/>
                              </w:pPr>
                              <w:r>
                                <w:rPr>
                                  <w:rFonts w:ascii="Calibri" w:eastAsia="Calibri" w:hAnsi="Calibri" w:cs="Calibri"/>
                                  <w:color w:val="FEFFFF"/>
                                  <w:sz w:val="9"/>
                                </w:rPr>
                                <w:t>EDP</w:t>
                              </w:r>
                            </w:p>
                          </w:txbxContent>
                        </wps:txbx>
                        <wps:bodyPr horzOverflow="overflow" vert="horz" lIns="0" tIns="0" rIns="0" bIns="0" rtlCol="0">
                          <a:noAutofit/>
                        </wps:bodyPr>
                      </wps:wsp>
                      <wps:wsp>
                        <wps:cNvPr id="6802" name="Shape 6802"/>
                        <wps:cNvSpPr/>
                        <wps:spPr>
                          <a:xfrm>
                            <a:off x="0" y="1343068"/>
                            <a:ext cx="795067" cy="394696"/>
                          </a:xfrm>
                          <a:custGeom>
                            <a:avLst/>
                            <a:gdLst/>
                            <a:ahLst/>
                            <a:cxnLst/>
                            <a:rect l="0" t="0" r="0" b="0"/>
                            <a:pathLst>
                              <a:path w="795067" h="394696">
                                <a:moveTo>
                                  <a:pt x="0" y="0"/>
                                </a:moveTo>
                                <a:lnTo>
                                  <a:pt x="795067" y="0"/>
                                </a:lnTo>
                                <a:lnTo>
                                  <a:pt x="795067" y="394696"/>
                                </a:lnTo>
                                <a:lnTo>
                                  <a:pt x="0" y="394696"/>
                                </a:lnTo>
                                <a:lnTo>
                                  <a:pt x="0" y="0"/>
                                </a:lnTo>
                                <a:close/>
                              </a:path>
                            </a:pathLst>
                          </a:custGeom>
                          <a:ln w="0" cap="flat">
                            <a:miter lim="127000"/>
                          </a:ln>
                        </wps:spPr>
                        <wps:style>
                          <a:lnRef idx="0">
                            <a:srgbClr val="000000">
                              <a:alpha val="0"/>
                            </a:srgbClr>
                          </a:lnRef>
                          <a:fillRef idx="1">
                            <a:srgbClr val="BF4F14"/>
                          </a:fillRef>
                          <a:effectRef idx="0">
                            <a:scrgbClr r="0" g="0" b="0"/>
                          </a:effectRef>
                          <a:fontRef idx="none"/>
                        </wps:style>
                        <wps:bodyPr/>
                      </wps:wsp>
                      <wps:wsp>
                        <wps:cNvPr id="6803" name="Rectangle 6803"/>
                        <wps:cNvSpPr/>
                        <wps:spPr>
                          <a:xfrm>
                            <a:off x="293563" y="1515913"/>
                            <a:ext cx="274754" cy="75607"/>
                          </a:xfrm>
                          <a:prstGeom prst="rect">
                            <a:avLst/>
                          </a:prstGeom>
                          <a:ln>
                            <a:noFill/>
                          </a:ln>
                        </wps:spPr>
                        <wps:txbx>
                          <w:txbxContent>
                            <w:p w14:paraId="2E943405" w14:textId="77777777" w:rsidR="003F0DB8" w:rsidRDefault="00000000">
                              <w:pPr>
                                <w:spacing w:after="160" w:line="259" w:lineRule="auto"/>
                                <w:ind w:left="0" w:firstLine="0"/>
                              </w:pPr>
                              <w:r>
                                <w:rPr>
                                  <w:rFonts w:ascii="Calibri" w:eastAsia="Calibri" w:hAnsi="Calibri" w:cs="Calibri"/>
                                  <w:color w:val="FEFFFF"/>
                                  <w:sz w:val="9"/>
                                </w:rPr>
                                <w:t>Mulesoft</w:t>
                              </w:r>
                            </w:p>
                          </w:txbxContent>
                        </wps:txbx>
                        <wps:bodyPr horzOverflow="overflow" vert="horz" lIns="0" tIns="0" rIns="0" bIns="0" rtlCol="0">
                          <a:noAutofit/>
                        </wps:bodyPr>
                      </wps:wsp>
                      <wps:wsp>
                        <wps:cNvPr id="99108" name="Shape 99108"/>
                        <wps:cNvSpPr/>
                        <wps:spPr>
                          <a:xfrm>
                            <a:off x="2859557" y="1364790"/>
                            <a:ext cx="795067" cy="394696"/>
                          </a:xfrm>
                          <a:custGeom>
                            <a:avLst/>
                            <a:gdLst/>
                            <a:ahLst/>
                            <a:cxnLst/>
                            <a:rect l="0" t="0" r="0" b="0"/>
                            <a:pathLst>
                              <a:path w="795067" h="394696">
                                <a:moveTo>
                                  <a:pt x="0" y="0"/>
                                </a:moveTo>
                                <a:lnTo>
                                  <a:pt x="795067" y="0"/>
                                </a:lnTo>
                                <a:lnTo>
                                  <a:pt x="795067" y="394696"/>
                                </a:lnTo>
                                <a:lnTo>
                                  <a:pt x="0" y="394696"/>
                                </a:lnTo>
                                <a:lnTo>
                                  <a:pt x="0" y="0"/>
                                </a:lnTo>
                              </a:path>
                            </a:pathLst>
                          </a:custGeom>
                          <a:ln w="0" cap="flat">
                            <a:miter lim="127000"/>
                          </a:ln>
                        </wps:spPr>
                        <wps:style>
                          <a:lnRef idx="0">
                            <a:srgbClr val="000000">
                              <a:alpha val="0"/>
                            </a:srgbClr>
                          </a:lnRef>
                          <a:fillRef idx="1">
                            <a:srgbClr val="83CAEB"/>
                          </a:fillRef>
                          <a:effectRef idx="0">
                            <a:scrgbClr r="0" g="0" b="0"/>
                          </a:effectRef>
                          <a:fontRef idx="none"/>
                        </wps:style>
                        <wps:bodyPr/>
                      </wps:wsp>
                      <wps:wsp>
                        <wps:cNvPr id="6805" name="Rectangle 6805"/>
                        <wps:cNvSpPr/>
                        <wps:spPr>
                          <a:xfrm>
                            <a:off x="3081089" y="1470839"/>
                            <a:ext cx="469655" cy="75451"/>
                          </a:xfrm>
                          <a:prstGeom prst="rect">
                            <a:avLst/>
                          </a:prstGeom>
                          <a:ln>
                            <a:noFill/>
                          </a:ln>
                        </wps:spPr>
                        <wps:txbx>
                          <w:txbxContent>
                            <w:p w14:paraId="39E7063A" w14:textId="77777777" w:rsidR="003F0DB8" w:rsidRDefault="00000000">
                              <w:pPr>
                                <w:spacing w:after="160" w:line="259" w:lineRule="auto"/>
                                <w:ind w:left="0" w:firstLine="0"/>
                              </w:pPr>
                              <w:r>
                                <w:rPr>
                                  <w:rFonts w:ascii="Calibri" w:eastAsia="Calibri" w:hAnsi="Calibri" w:cs="Calibri"/>
                                  <w:color w:val="FEFFFF"/>
                                  <w:sz w:val="9"/>
                                </w:rPr>
                                <w:t>Syndication API</w:t>
                              </w:r>
                            </w:p>
                          </w:txbxContent>
                        </wps:txbx>
                        <wps:bodyPr horzOverflow="overflow" vert="horz" lIns="0" tIns="0" rIns="0" bIns="0" rtlCol="0">
                          <a:noAutofit/>
                        </wps:bodyPr>
                      </wps:wsp>
                      <wps:wsp>
                        <wps:cNvPr id="6806" name="Rectangle 6806"/>
                        <wps:cNvSpPr/>
                        <wps:spPr>
                          <a:xfrm>
                            <a:off x="3189541" y="1537588"/>
                            <a:ext cx="178759" cy="75607"/>
                          </a:xfrm>
                          <a:prstGeom prst="rect">
                            <a:avLst/>
                          </a:prstGeom>
                          <a:ln>
                            <a:noFill/>
                          </a:ln>
                        </wps:spPr>
                        <wps:txbx>
                          <w:txbxContent>
                            <w:p w14:paraId="20850008" w14:textId="77777777" w:rsidR="003F0DB8" w:rsidRDefault="00000000">
                              <w:pPr>
                                <w:spacing w:after="160" w:line="259" w:lineRule="auto"/>
                                <w:ind w:left="0" w:firstLine="0"/>
                              </w:pPr>
                              <w:r>
                                <w:rPr>
                                  <w:rFonts w:ascii="Calibri" w:eastAsia="Calibri" w:hAnsi="Calibri" w:cs="Calibri"/>
                                  <w:color w:val="FEFFFF"/>
                                  <w:sz w:val="9"/>
                                </w:rPr>
                                <w:t>Inside</w:t>
                              </w:r>
                            </w:p>
                          </w:txbxContent>
                        </wps:txbx>
                        <wps:bodyPr horzOverflow="overflow" vert="horz" lIns="0" tIns="0" rIns="0" bIns="0" rtlCol="0">
                          <a:noAutofit/>
                        </wps:bodyPr>
                      </wps:wsp>
                      <wps:wsp>
                        <wps:cNvPr id="6807" name="Rectangle 6807"/>
                        <wps:cNvSpPr/>
                        <wps:spPr>
                          <a:xfrm>
                            <a:off x="2997039" y="1604563"/>
                            <a:ext cx="692082" cy="75607"/>
                          </a:xfrm>
                          <a:prstGeom prst="rect">
                            <a:avLst/>
                          </a:prstGeom>
                          <a:ln>
                            <a:noFill/>
                          </a:ln>
                        </wps:spPr>
                        <wps:txbx>
                          <w:txbxContent>
                            <w:p w14:paraId="3A6DFB9E" w14:textId="77777777" w:rsidR="003F0DB8" w:rsidRDefault="00000000">
                              <w:pPr>
                                <w:spacing w:after="160" w:line="259" w:lineRule="auto"/>
                                <w:ind w:left="0" w:firstLine="0"/>
                              </w:pPr>
                              <w:r>
                                <w:rPr>
                                  <w:rFonts w:ascii="Calibri" w:eastAsia="Calibri" w:hAnsi="Calibri" w:cs="Calibri"/>
                                  <w:color w:val="FEFFFF"/>
                                  <w:sz w:val="9"/>
                                </w:rPr>
                                <w:t>APIM Developer Portal</w:t>
                              </w:r>
                            </w:p>
                          </w:txbxContent>
                        </wps:txbx>
                        <wps:bodyPr horzOverflow="overflow" vert="horz" lIns="0" tIns="0" rIns="0" bIns="0" rtlCol="0">
                          <a:noAutofit/>
                        </wps:bodyPr>
                      </wps:wsp>
                      <wps:wsp>
                        <wps:cNvPr id="6809" name="Shape 6809"/>
                        <wps:cNvSpPr/>
                        <wps:spPr>
                          <a:xfrm>
                            <a:off x="1384700" y="1519620"/>
                            <a:ext cx="84845" cy="86561"/>
                          </a:xfrm>
                          <a:custGeom>
                            <a:avLst/>
                            <a:gdLst/>
                            <a:ahLst/>
                            <a:cxnLst/>
                            <a:rect l="0" t="0" r="0" b="0"/>
                            <a:pathLst>
                              <a:path w="84845" h="86561">
                                <a:moveTo>
                                  <a:pt x="12014" y="0"/>
                                </a:moveTo>
                                <a:lnTo>
                                  <a:pt x="83256" y="70549"/>
                                </a:lnTo>
                                <a:cubicBezTo>
                                  <a:pt x="84845" y="72080"/>
                                  <a:pt x="84845" y="74633"/>
                                  <a:pt x="83256" y="76165"/>
                                </a:cubicBezTo>
                                <a:lnTo>
                                  <a:pt x="83209" y="76211"/>
                                </a:lnTo>
                                <a:lnTo>
                                  <a:pt x="74421" y="84983"/>
                                </a:lnTo>
                                <a:cubicBezTo>
                                  <a:pt x="72831" y="86561"/>
                                  <a:pt x="70307" y="86561"/>
                                  <a:pt x="68718" y="84983"/>
                                </a:cubicBezTo>
                                <a:lnTo>
                                  <a:pt x="3179" y="20097"/>
                                </a:lnTo>
                                <a:cubicBezTo>
                                  <a:pt x="47" y="16987"/>
                                  <a:pt x="0" y="11928"/>
                                  <a:pt x="3132" y="8819"/>
                                </a:cubicBezTo>
                                <a:lnTo>
                                  <a:pt x="12014" y="0"/>
                                </a:lnTo>
                                <a:close/>
                              </a:path>
                            </a:pathLst>
                          </a:custGeom>
                          <a:ln w="0" cap="flat">
                            <a:miter lim="127000"/>
                          </a:ln>
                        </wps:spPr>
                        <wps:style>
                          <a:lnRef idx="0">
                            <a:srgbClr val="000000">
                              <a:alpha val="0"/>
                            </a:srgbClr>
                          </a:lnRef>
                          <a:fillRef idx="1">
                            <a:srgbClr val="50E6FF"/>
                          </a:fillRef>
                          <a:effectRef idx="0">
                            <a:scrgbClr r="0" g="0" b="0"/>
                          </a:effectRef>
                          <a:fontRef idx="none"/>
                        </wps:style>
                        <wps:bodyPr/>
                      </wps:wsp>
                      <wps:wsp>
                        <wps:cNvPr id="6811" name="Shape 6811"/>
                        <wps:cNvSpPr/>
                        <wps:spPr>
                          <a:xfrm>
                            <a:off x="1384606" y="1462717"/>
                            <a:ext cx="83583" cy="85679"/>
                          </a:xfrm>
                          <a:custGeom>
                            <a:avLst/>
                            <a:gdLst/>
                            <a:ahLst/>
                            <a:cxnLst/>
                            <a:rect l="0" t="0" r="0" b="0"/>
                            <a:pathLst>
                              <a:path w="83583" h="85679">
                                <a:moveTo>
                                  <a:pt x="67455" y="1532"/>
                                </a:moveTo>
                                <a:cubicBezTo>
                                  <a:pt x="69045" y="0"/>
                                  <a:pt x="71569" y="0"/>
                                  <a:pt x="73112" y="1532"/>
                                </a:cubicBezTo>
                                <a:lnTo>
                                  <a:pt x="81994" y="10350"/>
                                </a:lnTo>
                                <a:cubicBezTo>
                                  <a:pt x="83583" y="11882"/>
                                  <a:pt x="83583" y="14434"/>
                                  <a:pt x="81994" y="15966"/>
                                </a:cubicBezTo>
                                <a:lnTo>
                                  <a:pt x="12014" y="85679"/>
                                </a:lnTo>
                                <a:lnTo>
                                  <a:pt x="3132" y="76860"/>
                                </a:lnTo>
                                <a:cubicBezTo>
                                  <a:pt x="0" y="73751"/>
                                  <a:pt x="0" y="68738"/>
                                  <a:pt x="3132" y="65582"/>
                                </a:cubicBezTo>
                                <a:lnTo>
                                  <a:pt x="67455" y="1532"/>
                                </a:lnTo>
                                <a:close/>
                              </a:path>
                            </a:pathLst>
                          </a:custGeom>
                          <a:ln w="0" cap="flat">
                            <a:miter lim="127000"/>
                          </a:ln>
                        </wps:spPr>
                        <wps:style>
                          <a:lnRef idx="0">
                            <a:srgbClr val="000000">
                              <a:alpha val="0"/>
                            </a:srgbClr>
                          </a:lnRef>
                          <a:fillRef idx="1">
                            <a:srgbClr val="1490DF"/>
                          </a:fillRef>
                          <a:effectRef idx="0">
                            <a:scrgbClr r="0" g="0" b="0"/>
                          </a:effectRef>
                          <a:fontRef idx="none"/>
                        </wps:style>
                        <wps:bodyPr/>
                      </wps:wsp>
                      <wps:wsp>
                        <wps:cNvPr id="6813" name="Shape 6813"/>
                        <wps:cNvSpPr/>
                        <wps:spPr>
                          <a:xfrm>
                            <a:off x="1570564" y="1519667"/>
                            <a:ext cx="84752" cy="86561"/>
                          </a:xfrm>
                          <a:custGeom>
                            <a:avLst/>
                            <a:gdLst/>
                            <a:ahLst/>
                            <a:cxnLst/>
                            <a:rect l="0" t="0" r="0" b="0"/>
                            <a:pathLst>
                              <a:path w="84752" h="86561">
                                <a:moveTo>
                                  <a:pt x="72785" y="0"/>
                                </a:moveTo>
                                <a:lnTo>
                                  <a:pt x="81620" y="8818"/>
                                </a:lnTo>
                                <a:cubicBezTo>
                                  <a:pt x="84752" y="11928"/>
                                  <a:pt x="84752" y="16987"/>
                                  <a:pt x="81620" y="20097"/>
                                </a:cubicBezTo>
                                <a:lnTo>
                                  <a:pt x="16034" y="84983"/>
                                </a:lnTo>
                                <a:cubicBezTo>
                                  <a:pt x="14492" y="86561"/>
                                  <a:pt x="11921" y="86561"/>
                                  <a:pt x="10378" y="84983"/>
                                </a:cubicBezTo>
                                <a:lnTo>
                                  <a:pt x="1543" y="76211"/>
                                </a:lnTo>
                                <a:cubicBezTo>
                                  <a:pt x="0" y="74679"/>
                                  <a:pt x="0" y="72127"/>
                                  <a:pt x="1543" y="70595"/>
                                </a:cubicBezTo>
                                <a:lnTo>
                                  <a:pt x="72785" y="47"/>
                                </a:lnTo>
                                <a:lnTo>
                                  <a:pt x="72785" y="0"/>
                                </a:lnTo>
                                <a:close/>
                              </a:path>
                            </a:pathLst>
                          </a:custGeom>
                          <a:ln w="0" cap="flat">
                            <a:miter lim="127000"/>
                          </a:ln>
                        </wps:spPr>
                        <wps:style>
                          <a:lnRef idx="0">
                            <a:srgbClr val="000000">
                              <a:alpha val="0"/>
                            </a:srgbClr>
                          </a:lnRef>
                          <a:fillRef idx="1">
                            <a:srgbClr val="50E6FF"/>
                          </a:fillRef>
                          <a:effectRef idx="0">
                            <a:scrgbClr r="0" g="0" b="0"/>
                          </a:effectRef>
                          <a:fontRef idx="none"/>
                        </wps:style>
                        <wps:bodyPr/>
                      </wps:wsp>
                      <wps:wsp>
                        <wps:cNvPr id="6815" name="Shape 6815"/>
                        <wps:cNvSpPr/>
                        <wps:spPr>
                          <a:xfrm>
                            <a:off x="1571827" y="1462671"/>
                            <a:ext cx="83583" cy="85679"/>
                          </a:xfrm>
                          <a:custGeom>
                            <a:avLst/>
                            <a:gdLst/>
                            <a:ahLst/>
                            <a:cxnLst/>
                            <a:rect l="0" t="0" r="0" b="0"/>
                            <a:pathLst>
                              <a:path w="83583" h="85679">
                                <a:moveTo>
                                  <a:pt x="10425" y="1532"/>
                                </a:moveTo>
                                <a:cubicBezTo>
                                  <a:pt x="12014" y="0"/>
                                  <a:pt x="14538" y="0"/>
                                  <a:pt x="16128" y="1532"/>
                                </a:cubicBezTo>
                                <a:lnTo>
                                  <a:pt x="80451" y="65629"/>
                                </a:lnTo>
                                <a:cubicBezTo>
                                  <a:pt x="83583" y="68738"/>
                                  <a:pt x="83583" y="73797"/>
                                  <a:pt x="80451" y="76907"/>
                                </a:cubicBezTo>
                                <a:lnTo>
                                  <a:pt x="80404" y="76861"/>
                                </a:lnTo>
                                <a:lnTo>
                                  <a:pt x="71522" y="85679"/>
                                </a:lnTo>
                                <a:lnTo>
                                  <a:pt x="1543" y="15966"/>
                                </a:lnTo>
                                <a:cubicBezTo>
                                  <a:pt x="0" y="14435"/>
                                  <a:pt x="0" y="11882"/>
                                  <a:pt x="1543" y="10350"/>
                                </a:cubicBezTo>
                                <a:lnTo>
                                  <a:pt x="10425" y="1532"/>
                                </a:lnTo>
                                <a:close/>
                              </a:path>
                            </a:pathLst>
                          </a:custGeom>
                          <a:ln w="0" cap="flat">
                            <a:miter lim="127000"/>
                          </a:ln>
                        </wps:spPr>
                        <wps:style>
                          <a:lnRef idx="0">
                            <a:srgbClr val="000000">
                              <a:alpha val="0"/>
                            </a:srgbClr>
                          </a:lnRef>
                          <a:fillRef idx="1">
                            <a:srgbClr val="1490DF"/>
                          </a:fillRef>
                          <a:effectRef idx="0">
                            <a:scrgbClr r="0" g="0" b="0"/>
                          </a:effectRef>
                          <a:fontRef idx="none"/>
                        </wps:style>
                        <wps:bodyPr/>
                      </wps:wsp>
                      <pic:pic xmlns:pic="http://schemas.openxmlformats.org/drawingml/2006/picture">
                        <pic:nvPicPr>
                          <pic:cNvPr id="94646" name="Picture 94646"/>
                          <pic:cNvPicPr/>
                        </pic:nvPicPr>
                        <pic:blipFill>
                          <a:blip r:embed="rId31"/>
                          <a:stretch>
                            <a:fillRect/>
                          </a:stretch>
                        </pic:blipFill>
                        <pic:spPr>
                          <a:xfrm>
                            <a:off x="1450682" y="1412052"/>
                            <a:ext cx="140208" cy="237744"/>
                          </a:xfrm>
                          <a:prstGeom prst="rect">
                            <a:avLst/>
                          </a:prstGeom>
                        </pic:spPr>
                      </pic:pic>
                      <wps:wsp>
                        <wps:cNvPr id="6818" name="Shape 6818"/>
                        <wps:cNvSpPr/>
                        <wps:spPr>
                          <a:xfrm>
                            <a:off x="1043262" y="1059152"/>
                            <a:ext cx="84845" cy="86561"/>
                          </a:xfrm>
                          <a:custGeom>
                            <a:avLst/>
                            <a:gdLst/>
                            <a:ahLst/>
                            <a:cxnLst/>
                            <a:rect l="0" t="0" r="0" b="0"/>
                            <a:pathLst>
                              <a:path w="84845" h="86561">
                                <a:moveTo>
                                  <a:pt x="12014" y="0"/>
                                </a:moveTo>
                                <a:lnTo>
                                  <a:pt x="83256" y="70549"/>
                                </a:lnTo>
                                <a:cubicBezTo>
                                  <a:pt x="84845" y="72080"/>
                                  <a:pt x="84845" y="74633"/>
                                  <a:pt x="83256" y="76165"/>
                                </a:cubicBezTo>
                                <a:lnTo>
                                  <a:pt x="83209" y="76211"/>
                                </a:lnTo>
                                <a:lnTo>
                                  <a:pt x="74421" y="84983"/>
                                </a:lnTo>
                                <a:cubicBezTo>
                                  <a:pt x="72831" y="86561"/>
                                  <a:pt x="70307" y="86561"/>
                                  <a:pt x="68718" y="84983"/>
                                </a:cubicBezTo>
                                <a:lnTo>
                                  <a:pt x="3179" y="20097"/>
                                </a:lnTo>
                                <a:cubicBezTo>
                                  <a:pt x="47" y="16987"/>
                                  <a:pt x="0" y="11928"/>
                                  <a:pt x="3132" y="8819"/>
                                </a:cubicBezTo>
                                <a:lnTo>
                                  <a:pt x="12014" y="0"/>
                                </a:lnTo>
                                <a:close/>
                              </a:path>
                            </a:pathLst>
                          </a:custGeom>
                          <a:ln w="0" cap="flat">
                            <a:miter lim="127000"/>
                          </a:ln>
                        </wps:spPr>
                        <wps:style>
                          <a:lnRef idx="0">
                            <a:srgbClr val="000000">
                              <a:alpha val="0"/>
                            </a:srgbClr>
                          </a:lnRef>
                          <a:fillRef idx="1">
                            <a:srgbClr val="50E6FF"/>
                          </a:fillRef>
                          <a:effectRef idx="0">
                            <a:scrgbClr r="0" g="0" b="0"/>
                          </a:effectRef>
                          <a:fontRef idx="none"/>
                        </wps:style>
                        <wps:bodyPr/>
                      </wps:wsp>
                      <wps:wsp>
                        <wps:cNvPr id="6820" name="Shape 6820"/>
                        <wps:cNvSpPr/>
                        <wps:spPr>
                          <a:xfrm>
                            <a:off x="1043168" y="1002249"/>
                            <a:ext cx="83583" cy="85679"/>
                          </a:xfrm>
                          <a:custGeom>
                            <a:avLst/>
                            <a:gdLst/>
                            <a:ahLst/>
                            <a:cxnLst/>
                            <a:rect l="0" t="0" r="0" b="0"/>
                            <a:pathLst>
                              <a:path w="83583" h="85679">
                                <a:moveTo>
                                  <a:pt x="67455" y="1531"/>
                                </a:moveTo>
                                <a:cubicBezTo>
                                  <a:pt x="69045" y="0"/>
                                  <a:pt x="71569" y="0"/>
                                  <a:pt x="73112" y="1531"/>
                                </a:cubicBezTo>
                                <a:lnTo>
                                  <a:pt x="81994" y="10350"/>
                                </a:lnTo>
                                <a:cubicBezTo>
                                  <a:pt x="83583" y="11882"/>
                                  <a:pt x="83583" y="14434"/>
                                  <a:pt x="82041" y="15966"/>
                                </a:cubicBezTo>
                                <a:lnTo>
                                  <a:pt x="12014" y="85679"/>
                                </a:lnTo>
                                <a:lnTo>
                                  <a:pt x="3132" y="76861"/>
                                </a:lnTo>
                                <a:cubicBezTo>
                                  <a:pt x="0" y="73751"/>
                                  <a:pt x="0" y="68692"/>
                                  <a:pt x="3132" y="65582"/>
                                </a:cubicBezTo>
                                <a:lnTo>
                                  <a:pt x="67455" y="1531"/>
                                </a:lnTo>
                                <a:close/>
                              </a:path>
                            </a:pathLst>
                          </a:custGeom>
                          <a:ln w="0" cap="flat">
                            <a:miter lim="127000"/>
                          </a:ln>
                        </wps:spPr>
                        <wps:style>
                          <a:lnRef idx="0">
                            <a:srgbClr val="000000">
                              <a:alpha val="0"/>
                            </a:srgbClr>
                          </a:lnRef>
                          <a:fillRef idx="1">
                            <a:srgbClr val="1490DF"/>
                          </a:fillRef>
                          <a:effectRef idx="0">
                            <a:scrgbClr r="0" g="0" b="0"/>
                          </a:effectRef>
                          <a:fontRef idx="none"/>
                        </wps:style>
                        <wps:bodyPr/>
                      </wps:wsp>
                      <wps:wsp>
                        <wps:cNvPr id="6822" name="Shape 6822"/>
                        <wps:cNvSpPr/>
                        <wps:spPr>
                          <a:xfrm>
                            <a:off x="1229127" y="1059198"/>
                            <a:ext cx="84752" cy="86561"/>
                          </a:xfrm>
                          <a:custGeom>
                            <a:avLst/>
                            <a:gdLst/>
                            <a:ahLst/>
                            <a:cxnLst/>
                            <a:rect l="0" t="0" r="0" b="0"/>
                            <a:pathLst>
                              <a:path w="84752" h="86561">
                                <a:moveTo>
                                  <a:pt x="72785" y="0"/>
                                </a:moveTo>
                                <a:lnTo>
                                  <a:pt x="81620" y="8818"/>
                                </a:lnTo>
                                <a:cubicBezTo>
                                  <a:pt x="84752" y="11928"/>
                                  <a:pt x="84752" y="16987"/>
                                  <a:pt x="81620" y="20097"/>
                                </a:cubicBezTo>
                                <a:lnTo>
                                  <a:pt x="16081" y="84983"/>
                                </a:lnTo>
                                <a:cubicBezTo>
                                  <a:pt x="14492" y="86561"/>
                                  <a:pt x="11920" y="86561"/>
                                  <a:pt x="10378" y="84983"/>
                                </a:cubicBezTo>
                                <a:lnTo>
                                  <a:pt x="1543" y="76211"/>
                                </a:lnTo>
                                <a:cubicBezTo>
                                  <a:pt x="0" y="74633"/>
                                  <a:pt x="0" y="72127"/>
                                  <a:pt x="1590" y="70549"/>
                                </a:cubicBezTo>
                                <a:lnTo>
                                  <a:pt x="72785" y="47"/>
                                </a:lnTo>
                                <a:lnTo>
                                  <a:pt x="72785" y="0"/>
                                </a:lnTo>
                                <a:close/>
                              </a:path>
                            </a:pathLst>
                          </a:custGeom>
                          <a:ln w="0" cap="flat">
                            <a:miter lim="127000"/>
                          </a:ln>
                        </wps:spPr>
                        <wps:style>
                          <a:lnRef idx="0">
                            <a:srgbClr val="000000">
                              <a:alpha val="0"/>
                            </a:srgbClr>
                          </a:lnRef>
                          <a:fillRef idx="1">
                            <a:srgbClr val="50E6FF"/>
                          </a:fillRef>
                          <a:effectRef idx="0">
                            <a:scrgbClr r="0" g="0" b="0"/>
                          </a:effectRef>
                          <a:fontRef idx="none"/>
                        </wps:style>
                        <wps:bodyPr/>
                      </wps:wsp>
                      <wps:wsp>
                        <wps:cNvPr id="6824" name="Shape 6824"/>
                        <wps:cNvSpPr/>
                        <wps:spPr>
                          <a:xfrm>
                            <a:off x="1230389" y="1002156"/>
                            <a:ext cx="83583" cy="85726"/>
                          </a:xfrm>
                          <a:custGeom>
                            <a:avLst/>
                            <a:gdLst/>
                            <a:ahLst/>
                            <a:cxnLst/>
                            <a:rect l="0" t="0" r="0" b="0"/>
                            <a:pathLst>
                              <a:path w="83583" h="85726">
                                <a:moveTo>
                                  <a:pt x="10425" y="1578"/>
                                </a:moveTo>
                                <a:cubicBezTo>
                                  <a:pt x="12014" y="0"/>
                                  <a:pt x="14538" y="47"/>
                                  <a:pt x="16128" y="1578"/>
                                </a:cubicBezTo>
                                <a:lnTo>
                                  <a:pt x="80451" y="65675"/>
                                </a:lnTo>
                                <a:cubicBezTo>
                                  <a:pt x="83583" y="68785"/>
                                  <a:pt x="83583" y="73797"/>
                                  <a:pt x="80451" y="76907"/>
                                </a:cubicBezTo>
                                <a:lnTo>
                                  <a:pt x="80404" y="76907"/>
                                </a:lnTo>
                                <a:lnTo>
                                  <a:pt x="71522" y="85726"/>
                                </a:lnTo>
                                <a:lnTo>
                                  <a:pt x="1543" y="16013"/>
                                </a:lnTo>
                                <a:cubicBezTo>
                                  <a:pt x="0" y="14435"/>
                                  <a:pt x="0" y="11928"/>
                                  <a:pt x="1543" y="10350"/>
                                </a:cubicBezTo>
                                <a:lnTo>
                                  <a:pt x="10425" y="1578"/>
                                </a:lnTo>
                                <a:close/>
                              </a:path>
                            </a:pathLst>
                          </a:custGeom>
                          <a:ln w="0" cap="flat">
                            <a:miter lim="127000"/>
                          </a:ln>
                        </wps:spPr>
                        <wps:style>
                          <a:lnRef idx="0">
                            <a:srgbClr val="000000">
                              <a:alpha val="0"/>
                            </a:srgbClr>
                          </a:lnRef>
                          <a:fillRef idx="1">
                            <a:srgbClr val="1490DF"/>
                          </a:fillRef>
                          <a:effectRef idx="0">
                            <a:scrgbClr r="0" g="0" b="0"/>
                          </a:effectRef>
                          <a:fontRef idx="none"/>
                        </wps:style>
                        <wps:bodyPr/>
                      </wps:wsp>
                      <pic:pic xmlns:pic="http://schemas.openxmlformats.org/drawingml/2006/picture">
                        <pic:nvPicPr>
                          <pic:cNvPr id="94647" name="Picture 94647"/>
                          <pic:cNvPicPr/>
                        </pic:nvPicPr>
                        <pic:blipFill>
                          <a:blip r:embed="rId32"/>
                          <a:stretch>
                            <a:fillRect/>
                          </a:stretch>
                        </pic:blipFill>
                        <pic:spPr>
                          <a:xfrm>
                            <a:off x="1108290" y="951804"/>
                            <a:ext cx="143256" cy="237744"/>
                          </a:xfrm>
                          <a:prstGeom prst="rect">
                            <a:avLst/>
                          </a:prstGeom>
                        </pic:spPr>
                      </pic:pic>
                      <wps:wsp>
                        <wps:cNvPr id="6826" name="Rectangle 6826"/>
                        <wps:cNvSpPr/>
                        <wps:spPr>
                          <a:xfrm>
                            <a:off x="1097395" y="1219424"/>
                            <a:ext cx="232678" cy="86925"/>
                          </a:xfrm>
                          <a:prstGeom prst="rect">
                            <a:avLst/>
                          </a:prstGeom>
                          <a:ln>
                            <a:noFill/>
                          </a:ln>
                        </wps:spPr>
                        <wps:txbx>
                          <w:txbxContent>
                            <w:p w14:paraId="3919EA56" w14:textId="77777777" w:rsidR="003F0DB8" w:rsidRDefault="00000000">
                              <w:pPr>
                                <w:spacing w:after="160" w:line="259" w:lineRule="auto"/>
                                <w:ind w:left="0" w:firstLine="0"/>
                              </w:pPr>
                              <w:r>
                                <w:rPr>
                                  <w:rFonts w:ascii="Calibri" w:eastAsia="Calibri" w:hAnsi="Calibri" w:cs="Calibri"/>
                                  <w:sz w:val="10"/>
                                </w:rPr>
                                <w:t xml:space="preserve">Cache </w:t>
                              </w:r>
                            </w:p>
                          </w:txbxContent>
                        </wps:txbx>
                        <wps:bodyPr horzOverflow="overflow" vert="horz" lIns="0" tIns="0" rIns="0" bIns="0" rtlCol="0">
                          <a:noAutofit/>
                        </wps:bodyPr>
                      </wps:wsp>
                      <wps:wsp>
                        <wps:cNvPr id="6827" name="Rectangle 6827"/>
                        <wps:cNvSpPr/>
                        <wps:spPr>
                          <a:xfrm>
                            <a:off x="1088232" y="1297537"/>
                            <a:ext cx="236718" cy="86926"/>
                          </a:xfrm>
                          <a:prstGeom prst="rect">
                            <a:avLst/>
                          </a:prstGeom>
                          <a:ln>
                            <a:noFill/>
                          </a:ln>
                        </wps:spPr>
                        <wps:txbx>
                          <w:txbxContent>
                            <w:p w14:paraId="50BAEF82" w14:textId="77777777" w:rsidR="003F0DB8" w:rsidRDefault="00000000">
                              <w:pPr>
                                <w:spacing w:after="160" w:line="259" w:lineRule="auto"/>
                                <w:ind w:left="0" w:firstLine="0"/>
                              </w:pPr>
                              <w:r>
                                <w:rPr>
                                  <w:rFonts w:ascii="Calibri" w:eastAsia="Calibri" w:hAnsi="Calibri" w:cs="Calibri"/>
                                  <w:sz w:val="10"/>
                                </w:rPr>
                                <w:t>Engine</w:t>
                              </w:r>
                            </w:p>
                          </w:txbxContent>
                        </wps:txbx>
                        <wps:bodyPr horzOverflow="overflow" vert="horz" lIns="0" tIns="0" rIns="0" bIns="0" rtlCol="0">
                          <a:noAutofit/>
                        </wps:bodyPr>
                      </wps:wsp>
                      <wps:wsp>
                        <wps:cNvPr id="6828" name="Shape 6828"/>
                        <wps:cNvSpPr/>
                        <wps:spPr>
                          <a:xfrm>
                            <a:off x="827947" y="1534473"/>
                            <a:ext cx="557407" cy="0"/>
                          </a:xfrm>
                          <a:custGeom>
                            <a:avLst/>
                            <a:gdLst/>
                            <a:ahLst/>
                            <a:cxnLst/>
                            <a:rect l="0" t="0" r="0" b="0"/>
                            <a:pathLst>
                              <a:path w="557407">
                                <a:moveTo>
                                  <a:pt x="557407" y="0"/>
                                </a:moveTo>
                                <a:lnTo>
                                  <a:pt x="0" y="0"/>
                                </a:lnTo>
                              </a:path>
                            </a:pathLst>
                          </a:custGeom>
                          <a:ln w="6962" cap="rnd">
                            <a:round/>
                          </a:ln>
                        </wps:spPr>
                        <wps:style>
                          <a:lnRef idx="1">
                            <a:srgbClr val="156082"/>
                          </a:lnRef>
                          <a:fillRef idx="0">
                            <a:srgbClr val="000000">
                              <a:alpha val="0"/>
                            </a:srgbClr>
                          </a:fillRef>
                          <a:effectRef idx="0">
                            <a:scrgbClr r="0" g="0" b="0"/>
                          </a:effectRef>
                          <a:fontRef idx="none"/>
                        </wps:style>
                        <wps:bodyPr/>
                      </wps:wsp>
                      <wps:wsp>
                        <wps:cNvPr id="6829" name="Shape 6829"/>
                        <wps:cNvSpPr/>
                        <wps:spPr>
                          <a:xfrm>
                            <a:off x="795084" y="1515814"/>
                            <a:ext cx="37585" cy="37317"/>
                          </a:xfrm>
                          <a:custGeom>
                            <a:avLst/>
                            <a:gdLst/>
                            <a:ahLst/>
                            <a:cxnLst/>
                            <a:rect l="0" t="0" r="0" b="0"/>
                            <a:pathLst>
                              <a:path w="37585" h="37317">
                                <a:moveTo>
                                  <a:pt x="37585" y="0"/>
                                </a:moveTo>
                                <a:lnTo>
                                  <a:pt x="37585" y="37317"/>
                                </a:lnTo>
                                <a:lnTo>
                                  <a:pt x="0" y="18659"/>
                                </a:lnTo>
                                <a:lnTo>
                                  <a:pt x="37585" y="0"/>
                                </a:lnTo>
                                <a:close/>
                              </a:path>
                            </a:pathLst>
                          </a:custGeom>
                          <a:ln w="0" cap="rnd">
                            <a:round/>
                          </a:ln>
                        </wps:spPr>
                        <wps:style>
                          <a:lnRef idx="0">
                            <a:srgbClr val="000000">
                              <a:alpha val="0"/>
                            </a:srgbClr>
                          </a:lnRef>
                          <a:fillRef idx="1">
                            <a:srgbClr val="156082"/>
                          </a:fillRef>
                          <a:effectRef idx="0">
                            <a:scrgbClr r="0" g="0" b="0"/>
                          </a:effectRef>
                          <a:fontRef idx="none"/>
                        </wps:style>
                        <wps:bodyPr/>
                      </wps:wsp>
                      <wps:wsp>
                        <wps:cNvPr id="6830" name="Shape 6830"/>
                        <wps:cNvSpPr/>
                        <wps:spPr>
                          <a:xfrm>
                            <a:off x="1178594" y="427371"/>
                            <a:ext cx="0" cy="527350"/>
                          </a:xfrm>
                          <a:custGeom>
                            <a:avLst/>
                            <a:gdLst/>
                            <a:ahLst/>
                            <a:cxnLst/>
                            <a:rect l="0" t="0" r="0" b="0"/>
                            <a:pathLst>
                              <a:path h="527350">
                                <a:moveTo>
                                  <a:pt x="0" y="527350"/>
                                </a:moveTo>
                                <a:lnTo>
                                  <a:pt x="0" y="0"/>
                                </a:lnTo>
                              </a:path>
                            </a:pathLst>
                          </a:custGeom>
                          <a:ln w="6962" cap="rnd">
                            <a:round/>
                          </a:ln>
                        </wps:spPr>
                        <wps:style>
                          <a:lnRef idx="1">
                            <a:srgbClr val="156082"/>
                          </a:lnRef>
                          <a:fillRef idx="0">
                            <a:srgbClr val="000000">
                              <a:alpha val="0"/>
                            </a:srgbClr>
                          </a:fillRef>
                          <a:effectRef idx="0">
                            <a:scrgbClr r="0" g="0" b="0"/>
                          </a:effectRef>
                          <a:fontRef idx="none"/>
                        </wps:style>
                        <wps:bodyPr/>
                      </wps:wsp>
                      <wps:wsp>
                        <wps:cNvPr id="6831" name="Shape 6831"/>
                        <wps:cNvSpPr/>
                        <wps:spPr>
                          <a:xfrm>
                            <a:off x="1159801" y="394696"/>
                            <a:ext cx="37585" cy="37316"/>
                          </a:xfrm>
                          <a:custGeom>
                            <a:avLst/>
                            <a:gdLst/>
                            <a:ahLst/>
                            <a:cxnLst/>
                            <a:rect l="0" t="0" r="0" b="0"/>
                            <a:pathLst>
                              <a:path w="37585" h="37316">
                                <a:moveTo>
                                  <a:pt x="18792" y="0"/>
                                </a:moveTo>
                                <a:lnTo>
                                  <a:pt x="37585" y="37316"/>
                                </a:lnTo>
                                <a:lnTo>
                                  <a:pt x="0" y="37316"/>
                                </a:lnTo>
                                <a:lnTo>
                                  <a:pt x="18792" y="0"/>
                                </a:lnTo>
                                <a:close/>
                              </a:path>
                            </a:pathLst>
                          </a:custGeom>
                          <a:ln w="0" cap="rnd">
                            <a:round/>
                          </a:ln>
                        </wps:spPr>
                        <wps:style>
                          <a:lnRef idx="0">
                            <a:srgbClr val="000000">
                              <a:alpha val="0"/>
                            </a:srgbClr>
                          </a:lnRef>
                          <a:fillRef idx="1">
                            <a:srgbClr val="156082"/>
                          </a:fillRef>
                          <a:effectRef idx="0">
                            <a:scrgbClr r="0" g="0" b="0"/>
                          </a:effectRef>
                          <a:fontRef idx="none"/>
                        </wps:style>
                        <wps:bodyPr/>
                      </wps:wsp>
                      <pic:pic xmlns:pic="http://schemas.openxmlformats.org/drawingml/2006/picture">
                        <pic:nvPicPr>
                          <pic:cNvPr id="94648" name="Picture 94648"/>
                          <pic:cNvPicPr/>
                        </pic:nvPicPr>
                        <pic:blipFill>
                          <a:blip r:embed="rId33"/>
                          <a:stretch>
                            <a:fillRect/>
                          </a:stretch>
                        </pic:blipFill>
                        <pic:spPr>
                          <a:xfrm>
                            <a:off x="2241130" y="1304356"/>
                            <a:ext cx="530352" cy="481584"/>
                          </a:xfrm>
                          <a:prstGeom prst="rect">
                            <a:avLst/>
                          </a:prstGeom>
                        </pic:spPr>
                      </pic:pic>
                      <pic:pic xmlns:pic="http://schemas.openxmlformats.org/drawingml/2006/picture">
                        <pic:nvPicPr>
                          <pic:cNvPr id="94649" name="Picture 94649"/>
                          <pic:cNvPicPr/>
                        </pic:nvPicPr>
                        <pic:blipFill>
                          <a:blip r:embed="rId34"/>
                          <a:stretch>
                            <a:fillRect/>
                          </a:stretch>
                        </pic:blipFill>
                        <pic:spPr>
                          <a:xfrm>
                            <a:off x="2435186" y="1613220"/>
                            <a:ext cx="100584" cy="100584"/>
                          </a:xfrm>
                          <a:prstGeom prst="rect">
                            <a:avLst/>
                          </a:prstGeom>
                        </pic:spPr>
                      </pic:pic>
                      <wps:wsp>
                        <wps:cNvPr id="6834" name="Shape 6834"/>
                        <wps:cNvSpPr/>
                        <wps:spPr>
                          <a:xfrm>
                            <a:off x="1707953" y="1534473"/>
                            <a:ext cx="537587" cy="278"/>
                          </a:xfrm>
                          <a:custGeom>
                            <a:avLst/>
                            <a:gdLst/>
                            <a:ahLst/>
                            <a:cxnLst/>
                            <a:rect l="0" t="0" r="0" b="0"/>
                            <a:pathLst>
                              <a:path w="537587" h="278">
                                <a:moveTo>
                                  <a:pt x="537587" y="278"/>
                                </a:moveTo>
                                <a:lnTo>
                                  <a:pt x="0" y="0"/>
                                </a:lnTo>
                              </a:path>
                            </a:pathLst>
                          </a:custGeom>
                          <a:ln w="18565" cap="rnd">
                            <a:round/>
                          </a:ln>
                        </wps:spPr>
                        <wps:style>
                          <a:lnRef idx="1">
                            <a:srgbClr val="156082"/>
                          </a:lnRef>
                          <a:fillRef idx="0">
                            <a:srgbClr val="000000">
                              <a:alpha val="0"/>
                            </a:srgbClr>
                          </a:fillRef>
                          <a:effectRef idx="0">
                            <a:scrgbClr r="0" g="0" b="0"/>
                          </a:effectRef>
                          <a:fontRef idx="none"/>
                        </wps:style>
                        <wps:bodyPr/>
                      </wps:wsp>
                      <wps:wsp>
                        <wps:cNvPr id="6835" name="Shape 6835"/>
                        <wps:cNvSpPr/>
                        <wps:spPr>
                          <a:xfrm>
                            <a:off x="1654615" y="1504211"/>
                            <a:ext cx="61004" cy="60523"/>
                          </a:xfrm>
                          <a:custGeom>
                            <a:avLst/>
                            <a:gdLst/>
                            <a:ahLst/>
                            <a:cxnLst/>
                            <a:rect l="0" t="0" r="0" b="0"/>
                            <a:pathLst>
                              <a:path w="61004" h="60523">
                                <a:moveTo>
                                  <a:pt x="61004" y="0"/>
                                </a:moveTo>
                                <a:lnTo>
                                  <a:pt x="60958" y="60523"/>
                                </a:lnTo>
                                <a:lnTo>
                                  <a:pt x="0" y="30262"/>
                                </a:lnTo>
                                <a:lnTo>
                                  <a:pt x="61004" y="0"/>
                                </a:lnTo>
                                <a:close/>
                              </a:path>
                            </a:pathLst>
                          </a:custGeom>
                          <a:ln w="0" cap="rnd">
                            <a:round/>
                          </a:ln>
                        </wps:spPr>
                        <wps:style>
                          <a:lnRef idx="0">
                            <a:srgbClr val="000000">
                              <a:alpha val="0"/>
                            </a:srgbClr>
                          </a:lnRef>
                          <a:fillRef idx="1">
                            <a:srgbClr val="156082"/>
                          </a:fillRef>
                          <a:effectRef idx="0">
                            <a:scrgbClr r="0" g="0" b="0"/>
                          </a:effectRef>
                          <a:fontRef idx="none"/>
                        </wps:style>
                        <wps:bodyPr/>
                      </wps:wsp>
                      <wps:wsp>
                        <wps:cNvPr id="6836" name="Shape 6836"/>
                        <wps:cNvSpPr/>
                        <wps:spPr>
                          <a:xfrm>
                            <a:off x="1619835" y="2037873"/>
                            <a:ext cx="84798" cy="193141"/>
                          </a:xfrm>
                          <a:custGeom>
                            <a:avLst/>
                            <a:gdLst/>
                            <a:ahLst/>
                            <a:cxnLst/>
                            <a:rect l="0" t="0" r="0" b="0"/>
                            <a:pathLst>
                              <a:path w="84798" h="193141">
                                <a:moveTo>
                                  <a:pt x="0" y="0"/>
                                </a:moveTo>
                                <a:lnTo>
                                  <a:pt x="84798" y="0"/>
                                </a:lnTo>
                                <a:lnTo>
                                  <a:pt x="84798" y="193141"/>
                                </a:lnTo>
                                <a:cubicBezTo>
                                  <a:pt x="38098" y="193141"/>
                                  <a:pt x="0" y="179634"/>
                                  <a:pt x="0" y="162526"/>
                                </a:cubicBezTo>
                                <a:lnTo>
                                  <a:pt x="0" y="0"/>
                                </a:lnTo>
                                <a:close/>
                              </a:path>
                            </a:pathLst>
                          </a:custGeom>
                          <a:ln w="0" cap="rnd">
                            <a:round/>
                          </a:ln>
                        </wps:spPr>
                        <wps:style>
                          <a:lnRef idx="0">
                            <a:srgbClr val="000000">
                              <a:alpha val="0"/>
                            </a:srgbClr>
                          </a:lnRef>
                          <a:fillRef idx="1">
                            <a:srgbClr val="3999C6"/>
                          </a:fillRef>
                          <a:effectRef idx="0">
                            <a:scrgbClr r="0" g="0" b="0"/>
                          </a:effectRef>
                          <a:fontRef idx="none"/>
                        </wps:style>
                        <wps:bodyPr/>
                      </wps:wsp>
                      <wps:wsp>
                        <wps:cNvPr id="6837" name="Shape 6837"/>
                        <wps:cNvSpPr/>
                        <wps:spPr>
                          <a:xfrm>
                            <a:off x="1703746" y="2037873"/>
                            <a:ext cx="86154" cy="193141"/>
                          </a:xfrm>
                          <a:custGeom>
                            <a:avLst/>
                            <a:gdLst/>
                            <a:ahLst/>
                            <a:cxnLst/>
                            <a:rect l="0" t="0" r="0" b="0"/>
                            <a:pathLst>
                              <a:path w="86154" h="193141">
                                <a:moveTo>
                                  <a:pt x="0" y="0"/>
                                </a:moveTo>
                                <a:lnTo>
                                  <a:pt x="86154" y="0"/>
                                </a:lnTo>
                                <a:lnTo>
                                  <a:pt x="86154" y="162526"/>
                                </a:lnTo>
                                <a:cubicBezTo>
                                  <a:pt x="86154" y="179634"/>
                                  <a:pt x="48523" y="193141"/>
                                  <a:pt x="1356" y="193141"/>
                                </a:cubicBezTo>
                                <a:lnTo>
                                  <a:pt x="0" y="193141"/>
                                </a:lnTo>
                                <a:lnTo>
                                  <a:pt x="0" y="0"/>
                                </a:lnTo>
                                <a:close/>
                              </a:path>
                            </a:pathLst>
                          </a:custGeom>
                          <a:ln w="0" cap="rnd">
                            <a:round/>
                          </a:ln>
                        </wps:spPr>
                        <wps:style>
                          <a:lnRef idx="0">
                            <a:srgbClr val="000000">
                              <a:alpha val="0"/>
                            </a:srgbClr>
                          </a:lnRef>
                          <a:fillRef idx="1">
                            <a:srgbClr val="59B4D9"/>
                          </a:fillRef>
                          <a:effectRef idx="0">
                            <a:scrgbClr r="0" g="0" b="0"/>
                          </a:effectRef>
                          <a:fontRef idx="none"/>
                        </wps:style>
                        <wps:bodyPr/>
                      </wps:wsp>
                      <wps:wsp>
                        <wps:cNvPr id="6838" name="Shape 6838"/>
                        <wps:cNvSpPr/>
                        <wps:spPr>
                          <a:xfrm>
                            <a:off x="1619835" y="2007259"/>
                            <a:ext cx="170064" cy="61229"/>
                          </a:xfrm>
                          <a:custGeom>
                            <a:avLst/>
                            <a:gdLst/>
                            <a:ahLst/>
                            <a:cxnLst/>
                            <a:rect l="0" t="0" r="0" b="0"/>
                            <a:pathLst>
                              <a:path w="170064" h="61229">
                                <a:moveTo>
                                  <a:pt x="84798" y="0"/>
                                </a:moveTo>
                                <a:cubicBezTo>
                                  <a:pt x="131499" y="0"/>
                                  <a:pt x="170064" y="13957"/>
                                  <a:pt x="170064" y="30614"/>
                                </a:cubicBezTo>
                                <a:cubicBezTo>
                                  <a:pt x="170064" y="47272"/>
                                  <a:pt x="131966" y="61229"/>
                                  <a:pt x="85266" y="61229"/>
                                </a:cubicBezTo>
                                <a:cubicBezTo>
                                  <a:pt x="38566" y="61229"/>
                                  <a:pt x="0" y="47272"/>
                                  <a:pt x="0" y="30614"/>
                                </a:cubicBezTo>
                                <a:cubicBezTo>
                                  <a:pt x="0" y="13957"/>
                                  <a:pt x="38098" y="0"/>
                                  <a:pt x="84798"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839" name="Shape 6839"/>
                        <wps:cNvSpPr/>
                        <wps:spPr>
                          <a:xfrm>
                            <a:off x="1637085" y="2015813"/>
                            <a:ext cx="135565" cy="40519"/>
                          </a:xfrm>
                          <a:custGeom>
                            <a:avLst/>
                            <a:gdLst/>
                            <a:ahLst/>
                            <a:cxnLst/>
                            <a:rect l="0" t="0" r="0" b="0"/>
                            <a:pathLst>
                              <a:path w="135565" h="40519">
                                <a:moveTo>
                                  <a:pt x="67549" y="0"/>
                                </a:moveTo>
                                <a:cubicBezTo>
                                  <a:pt x="104759" y="0"/>
                                  <a:pt x="135565" y="9004"/>
                                  <a:pt x="135565" y="20260"/>
                                </a:cubicBezTo>
                                <a:cubicBezTo>
                                  <a:pt x="135565" y="31515"/>
                                  <a:pt x="105180" y="40519"/>
                                  <a:pt x="68016" y="40519"/>
                                </a:cubicBezTo>
                                <a:cubicBezTo>
                                  <a:pt x="30806" y="40519"/>
                                  <a:pt x="0" y="31515"/>
                                  <a:pt x="0" y="20260"/>
                                </a:cubicBezTo>
                                <a:cubicBezTo>
                                  <a:pt x="0" y="9004"/>
                                  <a:pt x="30385" y="0"/>
                                  <a:pt x="67549" y="0"/>
                                </a:cubicBezTo>
                                <a:close/>
                              </a:path>
                            </a:pathLst>
                          </a:custGeom>
                          <a:ln w="0" cap="rnd">
                            <a:round/>
                          </a:ln>
                        </wps:spPr>
                        <wps:style>
                          <a:lnRef idx="0">
                            <a:srgbClr val="000000">
                              <a:alpha val="0"/>
                            </a:srgbClr>
                          </a:lnRef>
                          <a:fillRef idx="1">
                            <a:srgbClr val="7FBA00"/>
                          </a:fillRef>
                          <a:effectRef idx="0">
                            <a:scrgbClr r="0" g="0" b="0"/>
                          </a:effectRef>
                          <a:fontRef idx="none"/>
                        </wps:style>
                        <wps:bodyPr/>
                      </wps:wsp>
                      <wps:wsp>
                        <wps:cNvPr id="6840" name="Shape 6840"/>
                        <wps:cNvSpPr/>
                        <wps:spPr>
                          <a:xfrm>
                            <a:off x="1637085" y="2015813"/>
                            <a:ext cx="135098" cy="32415"/>
                          </a:xfrm>
                          <a:custGeom>
                            <a:avLst/>
                            <a:gdLst/>
                            <a:ahLst/>
                            <a:cxnLst/>
                            <a:rect l="0" t="0" r="0" b="0"/>
                            <a:pathLst>
                              <a:path w="135098" h="32415">
                                <a:moveTo>
                                  <a:pt x="67549" y="0"/>
                                </a:moveTo>
                                <a:cubicBezTo>
                                  <a:pt x="104759" y="0"/>
                                  <a:pt x="135098" y="9004"/>
                                  <a:pt x="135098" y="20260"/>
                                </a:cubicBezTo>
                                <a:cubicBezTo>
                                  <a:pt x="135098" y="24762"/>
                                  <a:pt x="130142" y="28813"/>
                                  <a:pt x="121074" y="32415"/>
                                </a:cubicBezTo>
                                <a:cubicBezTo>
                                  <a:pt x="108826" y="27913"/>
                                  <a:pt x="89333" y="24762"/>
                                  <a:pt x="67549" y="24762"/>
                                </a:cubicBezTo>
                                <a:cubicBezTo>
                                  <a:pt x="45812" y="24762"/>
                                  <a:pt x="26272" y="27463"/>
                                  <a:pt x="14071" y="32415"/>
                                </a:cubicBezTo>
                                <a:cubicBezTo>
                                  <a:pt x="5423" y="29264"/>
                                  <a:pt x="0" y="24762"/>
                                  <a:pt x="0" y="20260"/>
                                </a:cubicBezTo>
                                <a:cubicBezTo>
                                  <a:pt x="0" y="9004"/>
                                  <a:pt x="30385" y="0"/>
                                  <a:pt x="67549" y="0"/>
                                </a:cubicBezTo>
                                <a:close/>
                              </a:path>
                            </a:pathLst>
                          </a:custGeom>
                          <a:ln w="0" cap="rnd">
                            <a:round/>
                          </a:ln>
                        </wps:spPr>
                        <wps:style>
                          <a:lnRef idx="0">
                            <a:srgbClr val="000000">
                              <a:alpha val="0"/>
                            </a:srgbClr>
                          </a:lnRef>
                          <a:fillRef idx="1">
                            <a:srgbClr val="B8D432"/>
                          </a:fillRef>
                          <a:effectRef idx="0">
                            <a:scrgbClr r="0" g="0" b="0"/>
                          </a:effectRef>
                          <a:fontRef idx="none"/>
                        </wps:style>
                        <wps:bodyPr/>
                      </wps:wsp>
                      <wps:wsp>
                        <wps:cNvPr id="6841" name="Shape 6841"/>
                        <wps:cNvSpPr/>
                        <wps:spPr>
                          <a:xfrm>
                            <a:off x="1727773" y="2102254"/>
                            <a:ext cx="56657" cy="128760"/>
                          </a:xfrm>
                          <a:custGeom>
                            <a:avLst/>
                            <a:gdLst/>
                            <a:ahLst/>
                            <a:cxnLst/>
                            <a:rect l="0" t="0" r="0" b="0"/>
                            <a:pathLst>
                              <a:path w="56657" h="128760">
                                <a:moveTo>
                                  <a:pt x="0" y="0"/>
                                </a:moveTo>
                                <a:lnTo>
                                  <a:pt x="56657" y="0"/>
                                </a:lnTo>
                                <a:lnTo>
                                  <a:pt x="56657" y="128760"/>
                                </a:lnTo>
                                <a:cubicBezTo>
                                  <a:pt x="25384" y="128760"/>
                                  <a:pt x="0" y="119756"/>
                                  <a:pt x="0" y="108501"/>
                                </a:cubicBezTo>
                                <a:lnTo>
                                  <a:pt x="0" y="0"/>
                                </a:lnTo>
                                <a:close/>
                              </a:path>
                            </a:pathLst>
                          </a:custGeom>
                          <a:ln w="0" cap="rnd">
                            <a:round/>
                          </a:ln>
                        </wps:spPr>
                        <wps:style>
                          <a:lnRef idx="0">
                            <a:srgbClr val="000000">
                              <a:alpha val="0"/>
                            </a:srgbClr>
                          </a:lnRef>
                          <a:fillRef idx="1">
                            <a:srgbClr val="0072C6"/>
                          </a:fillRef>
                          <a:effectRef idx="0">
                            <a:scrgbClr r="0" g="0" b="0"/>
                          </a:effectRef>
                          <a:fontRef idx="none"/>
                        </wps:style>
                        <wps:bodyPr/>
                      </wps:wsp>
                      <wps:wsp>
                        <wps:cNvPr id="6842" name="Shape 6842"/>
                        <wps:cNvSpPr/>
                        <wps:spPr>
                          <a:xfrm>
                            <a:off x="1783542" y="2102254"/>
                            <a:ext cx="57592" cy="128760"/>
                          </a:xfrm>
                          <a:custGeom>
                            <a:avLst/>
                            <a:gdLst/>
                            <a:ahLst/>
                            <a:cxnLst/>
                            <a:rect l="0" t="0" r="0" b="0"/>
                            <a:pathLst>
                              <a:path w="57592" h="128760">
                                <a:moveTo>
                                  <a:pt x="0" y="0"/>
                                </a:moveTo>
                                <a:lnTo>
                                  <a:pt x="57592" y="0"/>
                                </a:lnTo>
                                <a:lnTo>
                                  <a:pt x="57592" y="108501"/>
                                </a:lnTo>
                                <a:cubicBezTo>
                                  <a:pt x="57592" y="119756"/>
                                  <a:pt x="32209" y="128760"/>
                                  <a:pt x="888" y="128760"/>
                                </a:cubicBezTo>
                                <a:lnTo>
                                  <a:pt x="0" y="128760"/>
                                </a:lnTo>
                                <a:lnTo>
                                  <a:pt x="0" y="0"/>
                                </a:lnTo>
                                <a:close/>
                              </a:path>
                            </a:pathLst>
                          </a:custGeom>
                          <a:ln w="0" cap="rnd">
                            <a:round/>
                          </a:ln>
                        </wps:spPr>
                        <wps:style>
                          <a:lnRef idx="0">
                            <a:srgbClr val="000000">
                              <a:alpha val="0"/>
                            </a:srgbClr>
                          </a:lnRef>
                          <a:fillRef idx="1">
                            <a:srgbClr val="0072C6"/>
                          </a:fillRef>
                          <a:effectRef idx="0">
                            <a:scrgbClr r="0" g="0" b="0"/>
                          </a:effectRef>
                          <a:fontRef idx="none"/>
                        </wps:style>
                        <wps:bodyPr/>
                      </wps:wsp>
                      <wps:wsp>
                        <wps:cNvPr id="6843" name="Shape 6843"/>
                        <wps:cNvSpPr/>
                        <wps:spPr>
                          <a:xfrm>
                            <a:off x="1783542" y="2102254"/>
                            <a:ext cx="57592" cy="128760"/>
                          </a:xfrm>
                          <a:custGeom>
                            <a:avLst/>
                            <a:gdLst/>
                            <a:ahLst/>
                            <a:cxnLst/>
                            <a:rect l="0" t="0" r="0" b="0"/>
                            <a:pathLst>
                              <a:path w="57592" h="128760">
                                <a:moveTo>
                                  <a:pt x="0" y="0"/>
                                </a:moveTo>
                                <a:lnTo>
                                  <a:pt x="57592" y="0"/>
                                </a:lnTo>
                                <a:lnTo>
                                  <a:pt x="57592" y="108501"/>
                                </a:lnTo>
                                <a:cubicBezTo>
                                  <a:pt x="57592" y="119756"/>
                                  <a:pt x="32209" y="128760"/>
                                  <a:pt x="888" y="128760"/>
                                </a:cubicBezTo>
                                <a:lnTo>
                                  <a:pt x="0" y="128760"/>
                                </a:lnTo>
                                <a:lnTo>
                                  <a:pt x="0" y="0"/>
                                </a:lnTo>
                                <a:close/>
                              </a:path>
                            </a:pathLst>
                          </a:custGeom>
                          <a:ln w="0" cap="rnd">
                            <a:round/>
                          </a:ln>
                        </wps:spPr>
                        <wps:style>
                          <a:lnRef idx="0">
                            <a:srgbClr val="000000">
                              <a:alpha val="0"/>
                            </a:srgbClr>
                          </a:lnRef>
                          <a:fillRef idx="1">
                            <a:srgbClr val="FFFFFF">
                              <a:alpha val="14901"/>
                            </a:srgbClr>
                          </a:fillRef>
                          <a:effectRef idx="0">
                            <a:scrgbClr r="0" g="0" b="0"/>
                          </a:effectRef>
                          <a:fontRef idx="none"/>
                        </wps:style>
                        <wps:bodyPr/>
                      </wps:wsp>
                      <wps:wsp>
                        <wps:cNvPr id="6844" name="Shape 6844"/>
                        <wps:cNvSpPr/>
                        <wps:spPr>
                          <a:xfrm>
                            <a:off x="1727773" y="2081994"/>
                            <a:ext cx="113361" cy="40519"/>
                          </a:xfrm>
                          <a:custGeom>
                            <a:avLst/>
                            <a:gdLst/>
                            <a:ahLst/>
                            <a:cxnLst/>
                            <a:rect l="0" t="0" r="0" b="0"/>
                            <a:pathLst>
                              <a:path w="113361" h="40519">
                                <a:moveTo>
                                  <a:pt x="56657" y="0"/>
                                </a:moveTo>
                                <a:cubicBezTo>
                                  <a:pt x="87977" y="0"/>
                                  <a:pt x="113361" y="9004"/>
                                  <a:pt x="113361" y="20259"/>
                                </a:cubicBezTo>
                                <a:cubicBezTo>
                                  <a:pt x="113361" y="31515"/>
                                  <a:pt x="87977" y="40519"/>
                                  <a:pt x="56657" y="40519"/>
                                </a:cubicBezTo>
                                <a:cubicBezTo>
                                  <a:pt x="25384" y="40519"/>
                                  <a:pt x="0" y="31515"/>
                                  <a:pt x="0" y="20259"/>
                                </a:cubicBezTo>
                                <a:cubicBezTo>
                                  <a:pt x="0" y="9004"/>
                                  <a:pt x="25384" y="0"/>
                                  <a:pt x="56657"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845" name="Shape 6845"/>
                        <wps:cNvSpPr/>
                        <wps:spPr>
                          <a:xfrm>
                            <a:off x="1739554" y="2087397"/>
                            <a:ext cx="89800" cy="27013"/>
                          </a:xfrm>
                          <a:custGeom>
                            <a:avLst/>
                            <a:gdLst/>
                            <a:ahLst/>
                            <a:cxnLst/>
                            <a:rect l="0" t="0" r="0" b="0"/>
                            <a:pathLst>
                              <a:path w="89800" h="27013">
                                <a:moveTo>
                                  <a:pt x="44877" y="0"/>
                                </a:moveTo>
                                <a:cubicBezTo>
                                  <a:pt x="69372" y="0"/>
                                  <a:pt x="89800" y="6303"/>
                                  <a:pt x="89800" y="13506"/>
                                </a:cubicBezTo>
                                <a:cubicBezTo>
                                  <a:pt x="89800" y="20710"/>
                                  <a:pt x="69372" y="27013"/>
                                  <a:pt x="44877" y="27013"/>
                                </a:cubicBezTo>
                                <a:cubicBezTo>
                                  <a:pt x="20428" y="27013"/>
                                  <a:pt x="0" y="21160"/>
                                  <a:pt x="0" y="13506"/>
                                </a:cubicBezTo>
                                <a:cubicBezTo>
                                  <a:pt x="0" y="6303"/>
                                  <a:pt x="20428" y="0"/>
                                  <a:pt x="44877" y="0"/>
                                </a:cubicBezTo>
                                <a:close/>
                              </a:path>
                            </a:pathLst>
                          </a:custGeom>
                          <a:ln w="0" cap="rnd">
                            <a:round/>
                          </a:ln>
                        </wps:spPr>
                        <wps:style>
                          <a:lnRef idx="0">
                            <a:srgbClr val="000000">
                              <a:alpha val="0"/>
                            </a:srgbClr>
                          </a:lnRef>
                          <a:fillRef idx="1">
                            <a:srgbClr val="7FBA00"/>
                          </a:fillRef>
                          <a:effectRef idx="0">
                            <a:scrgbClr r="0" g="0" b="0"/>
                          </a:effectRef>
                          <a:fontRef idx="none"/>
                        </wps:style>
                        <wps:bodyPr/>
                      </wps:wsp>
                      <wps:wsp>
                        <wps:cNvPr id="6846" name="Shape 6846"/>
                        <wps:cNvSpPr/>
                        <wps:spPr>
                          <a:xfrm>
                            <a:off x="1739554" y="2087397"/>
                            <a:ext cx="89800" cy="21610"/>
                          </a:xfrm>
                          <a:custGeom>
                            <a:avLst/>
                            <a:gdLst/>
                            <a:ahLst/>
                            <a:cxnLst/>
                            <a:rect l="0" t="0" r="0" b="0"/>
                            <a:pathLst>
                              <a:path w="89800" h="21610">
                                <a:moveTo>
                                  <a:pt x="44877" y="0"/>
                                </a:moveTo>
                                <a:cubicBezTo>
                                  <a:pt x="69372" y="0"/>
                                  <a:pt x="89800" y="6303"/>
                                  <a:pt x="89800" y="13506"/>
                                </a:cubicBezTo>
                                <a:cubicBezTo>
                                  <a:pt x="89800" y="16658"/>
                                  <a:pt x="86154" y="19359"/>
                                  <a:pt x="80264" y="21610"/>
                                </a:cubicBezTo>
                                <a:cubicBezTo>
                                  <a:pt x="71663" y="18459"/>
                                  <a:pt x="58948" y="16208"/>
                                  <a:pt x="45344" y="16208"/>
                                </a:cubicBezTo>
                                <a:cubicBezTo>
                                  <a:pt x="30853" y="16208"/>
                                  <a:pt x="17670" y="18459"/>
                                  <a:pt x="9536" y="21610"/>
                                </a:cubicBezTo>
                                <a:cubicBezTo>
                                  <a:pt x="3646" y="19359"/>
                                  <a:pt x="0" y="16658"/>
                                  <a:pt x="0" y="13506"/>
                                </a:cubicBezTo>
                                <a:cubicBezTo>
                                  <a:pt x="0" y="5853"/>
                                  <a:pt x="19961" y="0"/>
                                  <a:pt x="44877" y="0"/>
                                </a:cubicBezTo>
                                <a:close/>
                              </a:path>
                            </a:pathLst>
                          </a:custGeom>
                          <a:ln w="0" cap="rnd">
                            <a:round/>
                          </a:ln>
                        </wps:spPr>
                        <wps:style>
                          <a:lnRef idx="0">
                            <a:srgbClr val="000000">
                              <a:alpha val="0"/>
                            </a:srgbClr>
                          </a:lnRef>
                          <a:fillRef idx="1">
                            <a:srgbClr val="B8D432"/>
                          </a:fillRef>
                          <a:effectRef idx="0">
                            <a:scrgbClr r="0" g="0" b="0"/>
                          </a:effectRef>
                          <a:fontRef idx="none"/>
                        </wps:style>
                        <wps:bodyPr/>
                      </wps:wsp>
                      <wps:wsp>
                        <wps:cNvPr id="6847" name="Shape 6847"/>
                        <wps:cNvSpPr/>
                        <wps:spPr>
                          <a:xfrm>
                            <a:off x="1752269" y="2128366"/>
                            <a:ext cx="66193" cy="91393"/>
                          </a:xfrm>
                          <a:custGeom>
                            <a:avLst/>
                            <a:gdLst/>
                            <a:ahLst/>
                            <a:cxnLst/>
                            <a:rect l="0" t="0" r="0" b="0"/>
                            <a:pathLst>
                              <a:path w="66193" h="91393">
                                <a:moveTo>
                                  <a:pt x="66193" y="0"/>
                                </a:moveTo>
                                <a:lnTo>
                                  <a:pt x="41698" y="39619"/>
                                </a:lnTo>
                                <a:lnTo>
                                  <a:pt x="63014" y="39619"/>
                                </a:lnTo>
                                <a:lnTo>
                                  <a:pt x="0" y="91393"/>
                                </a:lnTo>
                                <a:lnTo>
                                  <a:pt x="24449" y="51324"/>
                                </a:lnTo>
                                <a:lnTo>
                                  <a:pt x="3179" y="51324"/>
                                </a:lnTo>
                                <a:lnTo>
                                  <a:pt x="66193"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848" name="Rectangle 6848"/>
                        <wps:cNvSpPr/>
                        <wps:spPr>
                          <a:xfrm>
                            <a:off x="1848473" y="2049286"/>
                            <a:ext cx="361325" cy="75450"/>
                          </a:xfrm>
                          <a:prstGeom prst="rect">
                            <a:avLst/>
                          </a:prstGeom>
                          <a:ln>
                            <a:noFill/>
                          </a:ln>
                        </wps:spPr>
                        <wps:txbx>
                          <w:txbxContent>
                            <w:p w14:paraId="7C1FFDC1" w14:textId="77777777" w:rsidR="003F0DB8" w:rsidRDefault="00000000">
                              <w:pPr>
                                <w:spacing w:after="160" w:line="259" w:lineRule="auto"/>
                                <w:ind w:left="0" w:firstLine="0"/>
                              </w:pPr>
                              <w:r>
                                <w:rPr>
                                  <w:rFonts w:ascii="Calibri" w:eastAsia="Calibri" w:hAnsi="Calibri" w:cs="Calibri"/>
                                  <w:color w:val="0E4A65"/>
                                  <w:sz w:val="9"/>
                                </w:rPr>
                                <w:t>Redis Cache</w:t>
                              </w:r>
                            </w:p>
                          </w:txbxContent>
                        </wps:txbx>
                        <wps:bodyPr horzOverflow="overflow" vert="horz" lIns="0" tIns="0" rIns="0" bIns="0" rtlCol="0">
                          <a:noAutofit/>
                        </wps:bodyPr>
                      </wps:wsp>
                      <wps:wsp>
                        <wps:cNvPr id="6849" name="Shape 6849"/>
                        <wps:cNvSpPr/>
                        <wps:spPr>
                          <a:xfrm>
                            <a:off x="1721883" y="1763198"/>
                            <a:ext cx="0" cy="125929"/>
                          </a:xfrm>
                          <a:custGeom>
                            <a:avLst/>
                            <a:gdLst/>
                            <a:ahLst/>
                            <a:cxnLst/>
                            <a:rect l="0" t="0" r="0" b="0"/>
                            <a:pathLst>
                              <a:path h="125929">
                                <a:moveTo>
                                  <a:pt x="0" y="0"/>
                                </a:moveTo>
                                <a:lnTo>
                                  <a:pt x="0" y="125929"/>
                                </a:lnTo>
                              </a:path>
                            </a:pathLst>
                          </a:custGeom>
                          <a:ln w="25527" cap="rnd">
                            <a:round/>
                          </a:ln>
                        </wps:spPr>
                        <wps:style>
                          <a:lnRef idx="1">
                            <a:srgbClr val="156082"/>
                          </a:lnRef>
                          <a:fillRef idx="0">
                            <a:srgbClr val="000000">
                              <a:alpha val="0"/>
                            </a:srgbClr>
                          </a:fillRef>
                          <a:effectRef idx="0">
                            <a:scrgbClr r="0" g="0" b="0"/>
                          </a:effectRef>
                          <a:fontRef idx="none"/>
                        </wps:style>
                        <wps:bodyPr/>
                      </wps:wsp>
                      <wps:wsp>
                        <wps:cNvPr id="6850" name="Shape 6850"/>
                        <wps:cNvSpPr/>
                        <wps:spPr>
                          <a:xfrm>
                            <a:off x="1684393" y="1698080"/>
                            <a:ext cx="74981" cy="74447"/>
                          </a:xfrm>
                          <a:custGeom>
                            <a:avLst/>
                            <a:gdLst/>
                            <a:ahLst/>
                            <a:cxnLst/>
                            <a:rect l="0" t="0" r="0" b="0"/>
                            <a:pathLst>
                              <a:path w="74981" h="74447">
                                <a:moveTo>
                                  <a:pt x="37491" y="0"/>
                                </a:moveTo>
                                <a:lnTo>
                                  <a:pt x="74981" y="74447"/>
                                </a:lnTo>
                                <a:lnTo>
                                  <a:pt x="0" y="74447"/>
                                </a:lnTo>
                                <a:lnTo>
                                  <a:pt x="37491" y="0"/>
                                </a:lnTo>
                                <a:close/>
                              </a:path>
                            </a:pathLst>
                          </a:custGeom>
                          <a:ln w="0" cap="rnd">
                            <a:round/>
                          </a:ln>
                        </wps:spPr>
                        <wps:style>
                          <a:lnRef idx="0">
                            <a:srgbClr val="000000">
                              <a:alpha val="0"/>
                            </a:srgbClr>
                          </a:lnRef>
                          <a:fillRef idx="1">
                            <a:srgbClr val="156082"/>
                          </a:fillRef>
                          <a:effectRef idx="0">
                            <a:scrgbClr r="0" g="0" b="0"/>
                          </a:effectRef>
                          <a:fontRef idx="none"/>
                        </wps:style>
                        <wps:bodyPr/>
                      </wps:wsp>
                      <wps:wsp>
                        <wps:cNvPr id="6851" name="Shape 6851"/>
                        <wps:cNvSpPr/>
                        <wps:spPr>
                          <a:xfrm>
                            <a:off x="1684393" y="1879821"/>
                            <a:ext cx="74981" cy="74447"/>
                          </a:xfrm>
                          <a:custGeom>
                            <a:avLst/>
                            <a:gdLst/>
                            <a:ahLst/>
                            <a:cxnLst/>
                            <a:rect l="0" t="0" r="0" b="0"/>
                            <a:pathLst>
                              <a:path w="74981" h="74447">
                                <a:moveTo>
                                  <a:pt x="0" y="0"/>
                                </a:moveTo>
                                <a:lnTo>
                                  <a:pt x="74981" y="0"/>
                                </a:lnTo>
                                <a:lnTo>
                                  <a:pt x="37491" y="74447"/>
                                </a:lnTo>
                                <a:lnTo>
                                  <a:pt x="0" y="0"/>
                                </a:lnTo>
                                <a:close/>
                              </a:path>
                            </a:pathLst>
                          </a:custGeom>
                          <a:ln w="0" cap="rnd">
                            <a:round/>
                          </a:ln>
                        </wps:spPr>
                        <wps:style>
                          <a:lnRef idx="0">
                            <a:srgbClr val="000000">
                              <a:alpha val="0"/>
                            </a:srgbClr>
                          </a:lnRef>
                          <a:fillRef idx="1">
                            <a:srgbClr val="156082"/>
                          </a:fillRef>
                          <a:effectRef idx="0">
                            <a:scrgbClr r="0" g="0" b="0"/>
                          </a:effectRef>
                          <a:fontRef idx="none"/>
                        </wps:style>
                        <wps:bodyPr/>
                      </wps:wsp>
                      <wps:wsp>
                        <wps:cNvPr id="6852" name="Shape 6852"/>
                        <wps:cNvSpPr/>
                        <wps:spPr>
                          <a:xfrm>
                            <a:off x="1346087" y="1074004"/>
                            <a:ext cx="173898" cy="341186"/>
                          </a:xfrm>
                          <a:custGeom>
                            <a:avLst/>
                            <a:gdLst/>
                            <a:ahLst/>
                            <a:cxnLst/>
                            <a:rect l="0" t="0" r="0" b="0"/>
                            <a:pathLst>
                              <a:path w="173898" h="341186">
                                <a:moveTo>
                                  <a:pt x="173898" y="341186"/>
                                </a:moveTo>
                                <a:lnTo>
                                  <a:pt x="173898" y="39452"/>
                                </a:lnTo>
                                <a:cubicBezTo>
                                  <a:pt x="173898" y="17637"/>
                                  <a:pt x="156134" y="0"/>
                                  <a:pt x="134163" y="0"/>
                                </a:cubicBezTo>
                                <a:lnTo>
                                  <a:pt x="0" y="0"/>
                                </a:lnTo>
                              </a:path>
                            </a:pathLst>
                          </a:custGeom>
                          <a:ln w="6962" cap="rnd">
                            <a:round/>
                          </a:ln>
                        </wps:spPr>
                        <wps:style>
                          <a:lnRef idx="1">
                            <a:srgbClr val="156082"/>
                          </a:lnRef>
                          <a:fillRef idx="0">
                            <a:srgbClr val="000000">
                              <a:alpha val="0"/>
                            </a:srgbClr>
                          </a:fillRef>
                          <a:effectRef idx="0">
                            <a:scrgbClr r="0" g="0" b="0"/>
                          </a:effectRef>
                          <a:fontRef idx="none"/>
                        </wps:style>
                        <wps:bodyPr/>
                      </wps:wsp>
                      <wps:wsp>
                        <wps:cNvPr id="6853" name="Shape 6853"/>
                        <wps:cNvSpPr/>
                        <wps:spPr>
                          <a:xfrm>
                            <a:off x="1313224" y="1055346"/>
                            <a:ext cx="37584" cy="37316"/>
                          </a:xfrm>
                          <a:custGeom>
                            <a:avLst/>
                            <a:gdLst/>
                            <a:ahLst/>
                            <a:cxnLst/>
                            <a:rect l="0" t="0" r="0" b="0"/>
                            <a:pathLst>
                              <a:path w="37584" h="37316">
                                <a:moveTo>
                                  <a:pt x="37584" y="0"/>
                                </a:moveTo>
                                <a:lnTo>
                                  <a:pt x="37584" y="37316"/>
                                </a:lnTo>
                                <a:lnTo>
                                  <a:pt x="0" y="18658"/>
                                </a:lnTo>
                                <a:lnTo>
                                  <a:pt x="37584" y="0"/>
                                </a:lnTo>
                                <a:close/>
                              </a:path>
                            </a:pathLst>
                          </a:custGeom>
                          <a:ln w="0" cap="rnd">
                            <a:round/>
                          </a:ln>
                        </wps:spPr>
                        <wps:style>
                          <a:lnRef idx="0">
                            <a:srgbClr val="000000">
                              <a:alpha val="0"/>
                            </a:srgbClr>
                          </a:lnRef>
                          <a:fillRef idx="1">
                            <a:srgbClr val="156082"/>
                          </a:fillRef>
                          <a:effectRef idx="0">
                            <a:scrgbClr r="0" g="0" b="0"/>
                          </a:effectRef>
                          <a:fontRef idx="none"/>
                        </wps:style>
                        <wps:bodyPr/>
                      </wps:wsp>
                      <wps:wsp>
                        <wps:cNvPr id="6854" name="Rectangle 6854"/>
                        <wps:cNvSpPr/>
                        <wps:spPr>
                          <a:xfrm>
                            <a:off x="1264841" y="1592210"/>
                            <a:ext cx="410118" cy="86768"/>
                          </a:xfrm>
                          <a:prstGeom prst="rect">
                            <a:avLst/>
                          </a:prstGeom>
                          <a:ln>
                            <a:noFill/>
                          </a:ln>
                        </wps:spPr>
                        <wps:txbx>
                          <w:txbxContent>
                            <w:p w14:paraId="06766ADE" w14:textId="77777777" w:rsidR="003F0DB8" w:rsidRDefault="00000000">
                              <w:pPr>
                                <w:spacing w:after="160" w:line="259" w:lineRule="auto"/>
                                <w:ind w:left="0" w:firstLine="0"/>
                              </w:pPr>
                              <w:r>
                                <w:rPr>
                                  <w:rFonts w:ascii="Calibri" w:eastAsia="Calibri" w:hAnsi="Calibri" w:cs="Calibri"/>
                                  <w:sz w:val="10"/>
                                </w:rPr>
                                <w:t>Syndication</w:t>
                              </w:r>
                            </w:p>
                          </w:txbxContent>
                        </wps:txbx>
                        <wps:bodyPr horzOverflow="overflow" vert="horz" lIns="0" tIns="0" rIns="0" bIns="0" rtlCol="0">
                          <a:noAutofit/>
                        </wps:bodyPr>
                      </wps:wsp>
                      <wps:wsp>
                        <wps:cNvPr id="6855" name="Rectangle 6855"/>
                        <wps:cNvSpPr/>
                        <wps:spPr>
                          <a:xfrm>
                            <a:off x="1374930" y="1670098"/>
                            <a:ext cx="118531" cy="86926"/>
                          </a:xfrm>
                          <a:prstGeom prst="rect">
                            <a:avLst/>
                          </a:prstGeom>
                          <a:ln>
                            <a:noFill/>
                          </a:ln>
                        </wps:spPr>
                        <wps:txbx>
                          <w:txbxContent>
                            <w:p w14:paraId="64E0D780" w14:textId="77777777" w:rsidR="003F0DB8" w:rsidRDefault="00000000">
                              <w:pPr>
                                <w:spacing w:after="160" w:line="259" w:lineRule="auto"/>
                                <w:ind w:left="0" w:firstLine="0"/>
                              </w:pPr>
                              <w:r>
                                <w:rPr>
                                  <w:rFonts w:ascii="Calibri" w:eastAsia="Calibri" w:hAnsi="Calibri" w:cs="Calibri"/>
                                  <w:sz w:val="10"/>
                                </w:rPr>
                                <w:t>API</w:t>
                              </w:r>
                            </w:p>
                          </w:txbxContent>
                        </wps:txbx>
                        <wps:bodyPr horzOverflow="overflow" vert="horz" lIns="0" tIns="0" rIns="0" bIns="0" rtlCol="0">
                          <a:noAutofit/>
                        </wps:bodyPr>
                      </wps:wsp>
                      <wps:wsp>
                        <wps:cNvPr id="6856" name="Shape 6856"/>
                        <wps:cNvSpPr/>
                        <wps:spPr>
                          <a:xfrm>
                            <a:off x="4860454" y="812237"/>
                            <a:ext cx="795066" cy="394696"/>
                          </a:xfrm>
                          <a:custGeom>
                            <a:avLst/>
                            <a:gdLst/>
                            <a:ahLst/>
                            <a:cxnLst/>
                            <a:rect l="0" t="0" r="0" b="0"/>
                            <a:pathLst>
                              <a:path w="795066" h="394696">
                                <a:moveTo>
                                  <a:pt x="0" y="0"/>
                                </a:moveTo>
                                <a:lnTo>
                                  <a:pt x="795066" y="0"/>
                                </a:lnTo>
                                <a:lnTo>
                                  <a:pt x="795066" y="394696"/>
                                </a:lnTo>
                                <a:lnTo>
                                  <a:pt x="0" y="394696"/>
                                </a:lnTo>
                                <a:lnTo>
                                  <a:pt x="0" y="0"/>
                                </a:lnTo>
                                <a:close/>
                              </a:path>
                            </a:pathLst>
                          </a:custGeom>
                          <a:ln w="0" cap="rnd">
                            <a:round/>
                          </a:ln>
                        </wps:spPr>
                        <wps:style>
                          <a:lnRef idx="0">
                            <a:srgbClr val="000000">
                              <a:alpha val="0"/>
                            </a:srgbClr>
                          </a:lnRef>
                          <a:fillRef idx="1">
                            <a:srgbClr val="D8D8D8"/>
                          </a:fillRef>
                          <a:effectRef idx="0">
                            <a:scrgbClr r="0" g="0" b="0"/>
                          </a:effectRef>
                          <a:fontRef idx="none"/>
                        </wps:style>
                        <wps:bodyPr/>
                      </wps:wsp>
                      <wps:wsp>
                        <wps:cNvPr id="6857" name="Rectangle 6857"/>
                        <wps:cNvSpPr/>
                        <wps:spPr>
                          <a:xfrm>
                            <a:off x="4984847" y="984339"/>
                            <a:ext cx="730211" cy="75607"/>
                          </a:xfrm>
                          <a:prstGeom prst="rect">
                            <a:avLst/>
                          </a:prstGeom>
                          <a:ln>
                            <a:noFill/>
                          </a:ln>
                        </wps:spPr>
                        <wps:txbx>
                          <w:txbxContent>
                            <w:p w14:paraId="54784389" w14:textId="77777777" w:rsidR="003F0DB8" w:rsidRDefault="00000000">
                              <w:pPr>
                                <w:spacing w:after="160" w:line="259" w:lineRule="auto"/>
                                <w:ind w:left="0" w:firstLine="0"/>
                              </w:pPr>
                              <w:r>
                                <w:rPr>
                                  <w:rFonts w:ascii="Calibri" w:eastAsia="Calibri" w:hAnsi="Calibri" w:cs="Calibri"/>
                                  <w:b/>
                                  <w:color w:val="FEFFFF"/>
                                  <w:sz w:val="9"/>
                                </w:rPr>
                                <w:t>API External consumers</w:t>
                              </w:r>
                            </w:p>
                          </w:txbxContent>
                        </wps:txbx>
                        <wps:bodyPr horzOverflow="overflow" vert="horz" lIns="0" tIns="0" rIns="0" bIns="0" rtlCol="0">
                          <a:noAutofit/>
                        </wps:bodyPr>
                      </wps:wsp>
                      <wps:wsp>
                        <wps:cNvPr id="99109" name="Shape 99109"/>
                        <wps:cNvSpPr/>
                        <wps:spPr>
                          <a:xfrm>
                            <a:off x="4860454" y="1364790"/>
                            <a:ext cx="795066" cy="394696"/>
                          </a:xfrm>
                          <a:custGeom>
                            <a:avLst/>
                            <a:gdLst/>
                            <a:ahLst/>
                            <a:cxnLst/>
                            <a:rect l="0" t="0" r="0" b="0"/>
                            <a:pathLst>
                              <a:path w="795066" h="394696">
                                <a:moveTo>
                                  <a:pt x="0" y="0"/>
                                </a:moveTo>
                                <a:lnTo>
                                  <a:pt x="795066" y="0"/>
                                </a:lnTo>
                                <a:lnTo>
                                  <a:pt x="795066" y="394696"/>
                                </a:lnTo>
                                <a:lnTo>
                                  <a:pt x="0" y="394696"/>
                                </a:lnTo>
                                <a:lnTo>
                                  <a:pt x="0" y="0"/>
                                </a:lnTo>
                              </a:path>
                            </a:pathLst>
                          </a:custGeom>
                          <a:ln w="0" cap="rnd">
                            <a:round/>
                          </a:ln>
                        </wps:spPr>
                        <wps:style>
                          <a:lnRef idx="0">
                            <a:srgbClr val="000000">
                              <a:alpha val="0"/>
                            </a:srgbClr>
                          </a:lnRef>
                          <a:fillRef idx="1">
                            <a:srgbClr val="D8D8D8"/>
                          </a:fillRef>
                          <a:effectRef idx="0">
                            <a:scrgbClr r="0" g="0" b="0"/>
                          </a:effectRef>
                          <a:fontRef idx="none"/>
                        </wps:style>
                        <wps:bodyPr/>
                      </wps:wsp>
                      <wps:wsp>
                        <wps:cNvPr id="6859" name="Rectangle 6859"/>
                        <wps:cNvSpPr/>
                        <wps:spPr>
                          <a:xfrm>
                            <a:off x="4984847" y="1537588"/>
                            <a:ext cx="730211" cy="75607"/>
                          </a:xfrm>
                          <a:prstGeom prst="rect">
                            <a:avLst/>
                          </a:prstGeom>
                          <a:ln>
                            <a:noFill/>
                          </a:ln>
                        </wps:spPr>
                        <wps:txbx>
                          <w:txbxContent>
                            <w:p w14:paraId="02129B6B" w14:textId="77777777" w:rsidR="003F0DB8" w:rsidRDefault="00000000">
                              <w:pPr>
                                <w:spacing w:after="160" w:line="259" w:lineRule="auto"/>
                                <w:ind w:left="0" w:firstLine="0"/>
                              </w:pPr>
                              <w:r>
                                <w:rPr>
                                  <w:rFonts w:ascii="Calibri" w:eastAsia="Calibri" w:hAnsi="Calibri" w:cs="Calibri"/>
                                  <w:b/>
                                  <w:color w:val="FEFFFF"/>
                                  <w:sz w:val="9"/>
                                </w:rPr>
                                <w:t>API External consumers</w:t>
                              </w:r>
                            </w:p>
                          </w:txbxContent>
                        </wps:txbx>
                        <wps:bodyPr horzOverflow="overflow" vert="horz" lIns="0" tIns="0" rIns="0" bIns="0" rtlCol="0">
                          <a:noAutofit/>
                        </wps:bodyPr>
                      </wps:wsp>
                      <wps:wsp>
                        <wps:cNvPr id="99110" name="Shape 99110"/>
                        <wps:cNvSpPr/>
                        <wps:spPr>
                          <a:xfrm>
                            <a:off x="4860454" y="1917373"/>
                            <a:ext cx="795066" cy="394696"/>
                          </a:xfrm>
                          <a:custGeom>
                            <a:avLst/>
                            <a:gdLst/>
                            <a:ahLst/>
                            <a:cxnLst/>
                            <a:rect l="0" t="0" r="0" b="0"/>
                            <a:pathLst>
                              <a:path w="795066" h="394696">
                                <a:moveTo>
                                  <a:pt x="0" y="0"/>
                                </a:moveTo>
                                <a:lnTo>
                                  <a:pt x="795066" y="0"/>
                                </a:lnTo>
                                <a:lnTo>
                                  <a:pt x="795066" y="394696"/>
                                </a:lnTo>
                                <a:lnTo>
                                  <a:pt x="0" y="394696"/>
                                </a:lnTo>
                                <a:lnTo>
                                  <a:pt x="0" y="0"/>
                                </a:lnTo>
                              </a:path>
                            </a:pathLst>
                          </a:custGeom>
                          <a:ln w="0" cap="rnd">
                            <a:round/>
                          </a:ln>
                        </wps:spPr>
                        <wps:style>
                          <a:lnRef idx="0">
                            <a:srgbClr val="000000">
                              <a:alpha val="0"/>
                            </a:srgbClr>
                          </a:lnRef>
                          <a:fillRef idx="1">
                            <a:srgbClr val="D8D8D8"/>
                          </a:fillRef>
                          <a:effectRef idx="0">
                            <a:scrgbClr r="0" g="0" b="0"/>
                          </a:effectRef>
                          <a:fontRef idx="none"/>
                        </wps:style>
                        <wps:bodyPr/>
                      </wps:wsp>
                      <wps:wsp>
                        <wps:cNvPr id="6861" name="Rectangle 6861"/>
                        <wps:cNvSpPr/>
                        <wps:spPr>
                          <a:xfrm>
                            <a:off x="4984847" y="2090855"/>
                            <a:ext cx="730211" cy="75608"/>
                          </a:xfrm>
                          <a:prstGeom prst="rect">
                            <a:avLst/>
                          </a:prstGeom>
                          <a:ln>
                            <a:noFill/>
                          </a:ln>
                        </wps:spPr>
                        <wps:txbx>
                          <w:txbxContent>
                            <w:p w14:paraId="3B745BE3" w14:textId="77777777" w:rsidR="003F0DB8" w:rsidRDefault="00000000">
                              <w:pPr>
                                <w:spacing w:after="160" w:line="259" w:lineRule="auto"/>
                                <w:ind w:left="0" w:firstLine="0"/>
                              </w:pPr>
                              <w:r>
                                <w:rPr>
                                  <w:rFonts w:ascii="Calibri" w:eastAsia="Calibri" w:hAnsi="Calibri" w:cs="Calibri"/>
                                  <w:b/>
                                  <w:color w:val="FEFFFF"/>
                                  <w:sz w:val="9"/>
                                </w:rPr>
                                <w:t>API External consumers</w:t>
                              </w:r>
                            </w:p>
                          </w:txbxContent>
                        </wps:txbx>
                        <wps:bodyPr horzOverflow="overflow" vert="horz" lIns="0" tIns="0" rIns="0" bIns="0" rtlCol="0">
                          <a:noAutofit/>
                        </wps:bodyPr>
                      </wps:wsp>
                      <wps:wsp>
                        <wps:cNvPr id="6862" name="Shape 6862"/>
                        <wps:cNvSpPr/>
                        <wps:spPr>
                          <a:xfrm>
                            <a:off x="3687487" y="1562135"/>
                            <a:ext cx="1172968" cy="0"/>
                          </a:xfrm>
                          <a:custGeom>
                            <a:avLst/>
                            <a:gdLst/>
                            <a:ahLst/>
                            <a:cxnLst/>
                            <a:rect l="0" t="0" r="0" b="0"/>
                            <a:pathLst>
                              <a:path w="1172968">
                                <a:moveTo>
                                  <a:pt x="1172968" y="0"/>
                                </a:moveTo>
                                <a:lnTo>
                                  <a:pt x="0" y="0"/>
                                </a:lnTo>
                              </a:path>
                            </a:pathLst>
                          </a:custGeom>
                          <a:ln w="6962" cap="rnd">
                            <a:round/>
                          </a:ln>
                        </wps:spPr>
                        <wps:style>
                          <a:lnRef idx="1">
                            <a:srgbClr val="156082"/>
                          </a:lnRef>
                          <a:fillRef idx="0">
                            <a:srgbClr val="000000">
                              <a:alpha val="0"/>
                            </a:srgbClr>
                          </a:fillRef>
                          <a:effectRef idx="0">
                            <a:scrgbClr r="0" g="0" b="0"/>
                          </a:effectRef>
                          <a:fontRef idx="none"/>
                        </wps:style>
                        <wps:bodyPr/>
                      </wps:wsp>
                      <wps:wsp>
                        <wps:cNvPr id="6863" name="Shape 6863"/>
                        <wps:cNvSpPr/>
                        <wps:spPr>
                          <a:xfrm>
                            <a:off x="3654624" y="1543477"/>
                            <a:ext cx="37585" cy="37317"/>
                          </a:xfrm>
                          <a:custGeom>
                            <a:avLst/>
                            <a:gdLst/>
                            <a:ahLst/>
                            <a:cxnLst/>
                            <a:rect l="0" t="0" r="0" b="0"/>
                            <a:pathLst>
                              <a:path w="37585" h="37317">
                                <a:moveTo>
                                  <a:pt x="37585" y="0"/>
                                </a:moveTo>
                                <a:lnTo>
                                  <a:pt x="37585" y="37317"/>
                                </a:lnTo>
                                <a:lnTo>
                                  <a:pt x="0" y="18659"/>
                                </a:lnTo>
                                <a:lnTo>
                                  <a:pt x="37585" y="0"/>
                                </a:lnTo>
                                <a:close/>
                              </a:path>
                            </a:pathLst>
                          </a:custGeom>
                          <a:ln w="0" cap="rnd">
                            <a:round/>
                          </a:ln>
                        </wps:spPr>
                        <wps:style>
                          <a:lnRef idx="0">
                            <a:srgbClr val="000000">
                              <a:alpha val="0"/>
                            </a:srgbClr>
                          </a:lnRef>
                          <a:fillRef idx="1">
                            <a:srgbClr val="156082"/>
                          </a:fillRef>
                          <a:effectRef idx="0">
                            <a:scrgbClr r="0" g="0" b="0"/>
                          </a:effectRef>
                          <a:fontRef idx="none"/>
                        </wps:style>
                        <wps:bodyPr/>
                      </wps:wsp>
                      <wps:wsp>
                        <wps:cNvPr id="6864" name="Shape 6864"/>
                        <wps:cNvSpPr/>
                        <wps:spPr>
                          <a:xfrm>
                            <a:off x="2146670" y="1035898"/>
                            <a:ext cx="1878982" cy="947254"/>
                          </a:xfrm>
                          <a:custGeom>
                            <a:avLst/>
                            <a:gdLst/>
                            <a:ahLst/>
                            <a:cxnLst/>
                            <a:rect l="0" t="0" r="0" b="0"/>
                            <a:pathLst>
                              <a:path w="1878982" h="947254">
                                <a:moveTo>
                                  <a:pt x="0" y="947253"/>
                                </a:moveTo>
                                <a:lnTo>
                                  <a:pt x="1878982" y="947254"/>
                                </a:lnTo>
                                <a:lnTo>
                                  <a:pt x="1878982" y="0"/>
                                </a:lnTo>
                                <a:lnTo>
                                  <a:pt x="0" y="0"/>
                                </a:lnTo>
                                <a:close/>
                              </a:path>
                            </a:pathLst>
                          </a:custGeom>
                          <a:ln w="1160" cap="flat">
                            <a:custDash>
                              <a:ds d="73092" sp="36546"/>
                            </a:custDash>
                            <a:miter lim="100000"/>
                          </a:ln>
                        </wps:spPr>
                        <wps:style>
                          <a:lnRef idx="1">
                            <a:srgbClr val="11B0EE"/>
                          </a:lnRef>
                          <a:fillRef idx="0">
                            <a:srgbClr val="000000">
                              <a:alpha val="0"/>
                            </a:srgbClr>
                          </a:fillRef>
                          <a:effectRef idx="0">
                            <a:scrgbClr r="0" g="0" b="0"/>
                          </a:effectRef>
                          <a:fontRef idx="none"/>
                        </wps:style>
                        <wps:bodyPr/>
                      </wps:wsp>
                      <wps:wsp>
                        <wps:cNvPr id="6865" name="Rectangle 6865"/>
                        <wps:cNvSpPr/>
                        <wps:spPr>
                          <a:xfrm>
                            <a:off x="2486472" y="1099119"/>
                            <a:ext cx="788279" cy="113333"/>
                          </a:xfrm>
                          <a:prstGeom prst="rect">
                            <a:avLst/>
                          </a:prstGeom>
                          <a:ln>
                            <a:noFill/>
                          </a:ln>
                        </wps:spPr>
                        <wps:txbx>
                          <w:txbxContent>
                            <w:p w14:paraId="66E06612" w14:textId="77777777" w:rsidR="003F0DB8" w:rsidRDefault="00000000">
                              <w:pPr>
                                <w:spacing w:after="160" w:line="259" w:lineRule="auto"/>
                                <w:ind w:left="0" w:firstLine="0"/>
                              </w:pPr>
                              <w:r>
                                <w:rPr>
                                  <w:rFonts w:ascii="Calibri" w:eastAsia="Calibri" w:hAnsi="Calibri" w:cs="Calibri"/>
                                  <w:color w:val="0E4A65"/>
                                  <w:sz w:val="13"/>
                                </w:rPr>
                                <w:t>API Management</w:t>
                              </w:r>
                            </w:p>
                          </w:txbxContent>
                        </wps:txbx>
                        <wps:bodyPr horzOverflow="overflow" vert="horz" lIns="0" tIns="0" rIns="0" bIns="0" rtlCol="0">
                          <a:noAutofit/>
                        </wps:bodyPr>
                      </wps:wsp>
                      <wps:wsp>
                        <wps:cNvPr id="6866" name="Rectangle 6866"/>
                        <wps:cNvSpPr/>
                        <wps:spPr>
                          <a:xfrm>
                            <a:off x="2642231" y="1199465"/>
                            <a:ext cx="372510" cy="113333"/>
                          </a:xfrm>
                          <a:prstGeom prst="rect">
                            <a:avLst/>
                          </a:prstGeom>
                          <a:ln>
                            <a:noFill/>
                          </a:ln>
                        </wps:spPr>
                        <wps:txbx>
                          <w:txbxContent>
                            <w:p w14:paraId="4E685A79" w14:textId="77777777" w:rsidR="003F0DB8" w:rsidRDefault="00000000">
                              <w:pPr>
                                <w:spacing w:after="160" w:line="259" w:lineRule="auto"/>
                                <w:ind w:left="0" w:firstLine="0"/>
                              </w:pPr>
                              <w:r>
                                <w:rPr>
                                  <w:rFonts w:ascii="Calibri" w:eastAsia="Calibri" w:hAnsi="Calibri" w:cs="Calibri"/>
                                  <w:color w:val="0E4A65"/>
                                  <w:sz w:val="13"/>
                                </w:rPr>
                                <w:t>External</w:t>
                              </w:r>
                            </w:p>
                          </w:txbxContent>
                        </wps:txbx>
                        <wps:bodyPr horzOverflow="overflow" vert="horz" lIns="0" tIns="0" rIns="0" bIns="0" rtlCol="0">
                          <a:noAutofit/>
                        </wps:bodyPr>
                      </wps:wsp>
                      <wps:wsp>
                        <wps:cNvPr id="6867" name="Shape 6867"/>
                        <wps:cNvSpPr/>
                        <wps:spPr>
                          <a:xfrm>
                            <a:off x="3257090" y="1792160"/>
                            <a:ext cx="1603364" cy="322560"/>
                          </a:xfrm>
                          <a:custGeom>
                            <a:avLst/>
                            <a:gdLst/>
                            <a:ahLst/>
                            <a:cxnLst/>
                            <a:rect l="0" t="0" r="0" b="0"/>
                            <a:pathLst>
                              <a:path w="1603364" h="322560">
                                <a:moveTo>
                                  <a:pt x="1603364" y="322560"/>
                                </a:moveTo>
                                <a:lnTo>
                                  <a:pt x="39734" y="322560"/>
                                </a:lnTo>
                                <a:cubicBezTo>
                                  <a:pt x="17811" y="322560"/>
                                  <a:pt x="0" y="304890"/>
                                  <a:pt x="0" y="283090"/>
                                </a:cubicBezTo>
                                <a:lnTo>
                                  <a:pt x="0" y="0"/>
                                </a:lnTo>
                              </a:path>
                            </a:pathLst>
                          </a:custGeom>
                          <a:ln w="6962" cap="rnd">
                            <a:round/>
                          </a:ln>
                        </wps:spPr>
                        <wps:style>
                          <a:lnRef idx="1">
                            <a:srgbClr val="156082"/>
                          </a:lnRef>
                          <a:fillRef idx="0">
                            <a:srgbClr val="000000">
                              <a:alpha val="0"/>
                            </a:srgbClr>
                          </a:fillRef>
                          <a:effectRef idx="0">
                            <a:scrgbClr r="0" g="0" b="0"/>
                          </a:effectRef>
                          <a:fontRef idx="none"/>
                        </wps:style>
                        <wps:bodyPr/>
                      </wps:wsp>
                      <wps:wsp>
                        <wps:cNvPr id="6868" name="Shape 6868"/>
                        <wps:cNvSpPr/>
                        <wps:spPr>
                          <a:xfrm>
                            <a:off x="3238298" y="1759485"/>
                            <a:ext cx="37585" cy="37316"/>
                          </a:xfrm>
                          <a:custGeom>
                            <a:avLst/>
                            <a:gdLst/>
                            <a:ahLst/>
                            <a:cxnLst/>
                            <a:rect l="0" t="0" r="0" b="0"/>
                            <a:pathLst>
                              <a:path w="37585" h="37316">
                                <a:moveTo>
                                  <a:pt x="18792" y="0"/>
                                </a:moveTo>
                                <a:lnTo>
                                  <a:pt x="37585" y="37316"/>
                                </a:lnTo>
                                <a:lnTo>
                                  <a:pt x="0" y="37316"/>
                                </a:lnTo>
                                <a:lnTo>
                                  <a:pt x="18792" y="0"/>
                                </a:lnTo>
                                <a:close/>
                              </a:path>
                            </a:pathLst>
                          </a:custGeom>
                          <a:ln w="0" cap="rnd">
                            <a:round/>
                          </a:ln>
                        </wps:spPr>
                        <wps:style>
                          <a:lnRef idx="0">
                            <a:srgbClr val="000000">
                              <a:alpha val="0"/>
                            </a:srgbClr>
                          </a:lnRef>
                          <a:fillRef idx="1">
                            <a:srgbClr val="156082"/>
                          </a:fillRef>
                          <a:effectRef idx="0">
                            <a:scrgbClr r="0" g="0" b="0"/>
                          </a:effectRef>
                          <a:fontRef idx="none"/>
                        </wps:style>
                        <wps:bodyPr/>
                      </wps:wsp>
                      <wps:wsp>
                        <wps:cNvPr id="6869" name="Shape 6869"/>
                        <wps:cNvSpPr/>
                        <wps:spPr>
                          <a:xfrm>
                            <a:off x="3257090" y="1009582"/>
                            <a:ext cx="1603364" cy="322574"/>
                          </a:xfrm>
                          <a:custGeom>
                            <a:avLst/>
                            <a:gdLst/>
                            <a:ahLst/>
                            <a:cxnLst/>
                            <a:rect l="0" t="0" r="0" b="0"/>
                            <a:pathLst>
                              <a:path w="1603364" h="322574">
                                <a:moveTo>
                                  <a:pt x="1603364" y="0"/>
                                </a:moveTo>
                                <a:lnTo>
                                  <a:pt x="39734" y="0"/>
                                </a:lnTo>
                                <a:cubicBezTo>
                                  <a:pt x="17811" y="0"/>
                                  <a:pt x="0" y="17637"/>
                                  <a:pt x="0" y="39451"/>
                                </a:cubicBezTo>
                                <a:lnTo>
                                  <a:pt x="0" y="322574"/>
                                </a:lnTo>
                              </a:path>
                            </a:pathLst>
                          </a:custGeom>
                          <a:ln w="6962" cap="rnd">
                            <a:round/>
                          </a:ln>
                        </wps:spPr>
                        <wps:style>
                          <a:lnRef idx="1">
                            <a:srgbClr val="156082"/>
                          </a:lnRef>
                          <a:fillRef idx="0">
                            <a:srgbClr val="000000">
                              <a:alpha val="0"/>
                            </a:srgbClr>
                          </a:fillRef>
                          <a:effectRef idx="0">
                            <a:scrgbClr r="0" g="0" b="0"/>
                          </a:effectRef>
                          <a:fontRef idx="none"/>
                        </wps:style>
                        <wps:bodyPr/>
                      </wps:wsp>
                      <wps:wsp>
                        <wps:cNvPr id="6870" name="Shape 6870"/>
                        <wps:cNvSpPr/>
                        <wps:spPr>
                          <a:xfrm>
                            <a:off x="3238298" y="1327468"/>
                            <a:ext cx="37585" cy="37316"/>
                          </a:xfrm>
                          <a:custGeom>
                            <a:avLst/>
                            <a:gdLst/>
                            <a:ahLst/>
                            <a:cxnLst/>
                            <a:rect l="0" t="0" r="0" b="0"/>
                            <a:pathLst>
                              <a:path w="37585" h="37316">
                                <a:moveTo>
                                  <a:pt x="0" y="0"/>
                                </a:moveTo>
                                <a:lnTo>
                                  <a:pt x="37585" y="0"/>
                                </a:lnTo>
                                <a:lnTo>
                                  <a:pt x="18792" y="37316"/>
                                </a:lnTo>
                                <a:lnTo>
                                  <a:pt x="0" y="0"/>
                                </a:lnTo>
                                <a:close/>
                              </a:path>
                            </a:pathLst>
                          </a:custGeom>
                          <a:ln w="0" cap="rnd">
                            <a:round/>
                          </a:ln>
                        </wps:spPr>
                        <wps:style>
                          <a:lnRef idx="0">
                            <a:srgbClr val="000000">
                              <a:alpha val="0"/>
                            </a:srgbClr>
                          </a:lnRef>
                          <a:fillRef idx="1">
                            <a:srgbClr val="156082"/>
                          </a:fillRef>
                          <a:effectRef idx="0">
                            <a:scrgbClr r="0" g="0" b="0"/>
                          </a:effectRef>
                          <a:fontRef idx="none"/>
                        </wps:style>
                        <wps:bodyPr/>
                      </wps:wsp>
                    </wpg:wgp>
                  </a:graphicData>
                </a:graphic>
              </wp:inline>
            </w:drawing>
          </mc:Choice>
          <mc:Fallback>
            <w:pict>
              <v:group w14:anchorId="49C67597" id="Group 86563" o:spid="_x0000_s1084" style="width:449.5pt;height:186.9pt;mso-position-horizontal-relative:char;mso-position-vertical-relative:line" coordsize="57089,237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">
                <v:rect id="Rectangle 6782" o:spid="_x0000_s1085" style="position:absolute;left:56672;top:22246;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" filled="f" stroked="f">
                  <v:textbox inset="0,0,0,0">
                    <w:txbxContent>
                      <w:p w14:paraId="2ADA1385" w14:textId="77777777" w:rsidR="003F0DB8" w:rsidRDefault="00000000">
                        <w:pPr>
                          <w:spacing w:after="160" w:line="259" w:lineRule="auto"/>
                          <w:ind w:left="0" w:firstLine="0"/>
                        </w:pPr>
                        <w:r>
                          <w:rPr>
                            <w:sz w:val="24"/>
                          </w:rPr>
                          <w:t xml:space="preserve"> </w:t>
                        </w:r>
                      </w:p>
                    </w:txbxContent>
                  </v:textbox>
                </v:rect>
                <v:shape id="Shape 99107" o:spid="_x0000_s1086" style="position:absolute;left:7810;width:7951;height:3946;visibility:visible;mso-wrap-style:square;v-text-anchor:top" coordsize="795067,39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" path="m,l795067,r,394696l,394696,,e" fillcolor="#83caeb" stroked="f" strokeweight="0">
                  <v:stroke miterlimit="83231f" joinstyle="miter"/>
                  <v:path arrowok="t" textboxrect="0,0,795067,394696"/>
                </v:shape>
                <v:rect id="Rectangle 6801" o:spid="_x0000_s1087" style="position:absolute;left:11324;top:1711;width:1207;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" filled="f" stroked="f">
                  <v:textbox inset="0,0,0,0">
                    <w:txbxContent>
                      <w:p w14:paraId="25EE5A14" w14:textId="77777777" w:rsidR="003F0DB8" w:rsidRDefault="00000000">
                        <w:pPr>
                          <w:spacing w:after="160" w:line="259" w:lineRule="auto"/>
                          <w:ind w:left="0" w:firstLine="0"/>
                        </w:pPr>
                        <w:r>
                          <w:rPr>
                            <w:rFonts w:ascii="Calibri" w:eastAsia="Calibri" w:hAnsi="Calibri" w:cs="Calibri"/>
                            <w:color w:val="FEFFFF"/>
                            <w:sz w:val="9"/>
                          </w:rPr>
                          <w:t>EDP</w:t>
                        </w:r>
                      </w:p>
                    </w:txbxContent>
                  </v:textbox>
                </v:rect>
                <v:shape id="Shape 6802" o:spid="_x0000_s1088" style="position:absolute;top:13430;width:7950;height:3947;visibility:visible;mso-wrap-style:square;v-text-anchor:top" coordsize="795067,39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" path="m,l795067,r,394696l,394696,,xe" fillcolor="#bf4f14" stroked="f" strokeweight="0">
                  <v:stroke miterlimit="83231f" joinstyle="miter"/>
                  <v:path arrowok="t" textboxrect="0,0,795067,394696"/>
                </v:shape>
                <v:rect id="Rectangle 6803" o:spid="_x0000_s1089" style="position:absolute;left:2935;top:15159;width:2748;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" filled="f" stroked="f">
                  <v:textbox inset="0,0,0,0">
                    <w:txbxContent>
                      <w:p w14:paraId="2E943405" w14:textId="77777777" w:rsidR="003F0DB8" w:rsidRDefault="00000000">
                        <w:pPr>
                          <w:spacing w:after="160" w:line="259" w:lineRule="auto"/>
                          <w:ind w:left="0" w:firstLine="0"/>
                        </w:pPr>
                        <w:r>
                          <w:rPr>
                            <w:rFonts w:ascii="Calibri" w:eastAsia="Calibri" w:hAnsi="Calibri" w:cs="Calibri"/>
                            <w:color w:val="FEFFFF"/>
                            <w:sz w:val="9"/>
                          </w:rPr>
                          <w:t>Mulesoft</w:t>
                        </w:r>
                      </w:p>
                    </w:txbxContent>
                  </v:textbox>
                </v:rect>
                <v:shape id="Shape 99108" o:spid="_x0000_s1090" style="position:absolute;left:28595;top:13647;width:7951;height:3947;visibility:visible;mso-wrap-style:square;v-text-anchor:top" coordsize="795067,39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" path="m,l795067,r,394696l,394696,,e" fillcolor="#83caeb" stroked="f" strokeweight="0">
                  <v:stroke miterlimit="83231f" joinstyle="miter"/>
                  <v:path arrowok="t" textboxrect="0,0,795067,394696"/>
                </v:shape>
                <v:rect id="Rectangle 6805" o:spid="_x0000_s1091" style="position:absolute;left:30810;top:14708;width:4697;height: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" filled="f" stroked="f">
                  <v:textbox inset="0,0,0,0">
                    <w:txbxContent>
                      <w:p w14:paraId="39E7063A" w14:textId="77777777" w:rsidR="003F0DB8" w:rsidRDefault="00000000">
                        <w:pPr>
                          <w:spacing w:after="160" w:line="259" w:lineRule="auto"/>
                          <w:ind w:left="0" w:firstLine="0"/>
                        </w:pPr>
                        <w:r>
                          <w:rPr>
                            <w:rFonts w:ascii="Calibri" w:eastAsia="Calibri" w:hAnsi="Calibri" w:cs="Calibri"/>
                            <w:color w:val="FEFFFF"/>
                            <w:sz w:val="9"/>
                          </w:rPr>
                          <w:t>Syndication API</w:t>
                        </w:r>
                      </w:p>
                    </w:txbxContent>
                  </v:textbox>
                </v:rect>
                <v:rect id="Rectangle 6806" o:spid="_x0000_s1092" style="position:absolute;left:31895;top:15375;width:1788;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" filled="f" stroked="f">
                  <v:textbox inset="0,0,0,0">
                    <w:txbxContent>
                      <w:p w14:paraId="20850008" w14:textId="77777777" w:rsidR="003F0DB8" w:rsidRDefault="00000000">
                        <w:pPr>
                          <w:spacing w:after="160" w:line="259" w:lineRule="auto"/>
                          <w:ind w:left="0" w:firstLine="0"/>
                        </w:pPr>
                        <w:r>
                          <w:rPr>
                            <w:rFonts w:ascii="Calibri" w:eastAsia="Calibri" w:hAnsi="Calibri" w:cs="Calibri"/>
                            <w:color w:val="FEFFFF"/>
                            <w:sz w:val="9"/>
                          </w:rPr>
                          <w:t>Inside</w:t>
                        </w:r>
                      </w:p>
                    </w:txbxContent>
                  </v:textbox>
                </v:rect>
                <v:rect id="Rectangle 6807" o:spid="_x0000_s1093" style="position:absolute;left:29970;top:16045;width:6921;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" filled="f" stroked="f">
                  <v:textbox inset="0,0,0,0">
                    <w:txbxContent>
                      <w:p w14:paraId="3A6DFB9E" w14:textId="77777777" w:rsidR="003F0DB8" w:rsidRDefault="00000000">
                        <w:pPr>
                          <w:spacing w:after="160" w:line="259" w:lineRule="auto"/>
                          <w:ind w:left="0" w:firstLine="0"/>
                        </w:pPr>
                        <w:r>
                          <w:rPr>
                            <w:rFonts w:ascii="Calibri" w:eastAsia="Calibri" w:hAnsi="Calibri" w:cs="Calibri"/>
                            <w:color w:val="FEFFFF"/>
                            <w:sz w:val="9"/>
                          </w:rPr>
                          <w:t>APIM Developer Portal</w:t>
                        </w:r>
                      </w:p>
                    </w:txbxContent>
                  </v:textbox>
                </v:rect>
                <v:shape id="Shape 6809" o:spid="_x0000_s1094" style="position:absolute;left:13847;top:15196;width:848;height:865;visibility:visible;mso-wrap-style:square;v-text-anchor:top" coordsize="84845,86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" path="m12014,l83256,70549v1589,1531,1589,4084,,5616l83209,76211r-8788,8772c72831,86561,70307,86561,68718,84983l3179,20097c47,16987,,11928,3132,8819l12014,xe" fillcolor="#50e6ff" stroked="f" strokeweight="0">
                  <v:stroke miterlimit="83231f" joinstyle="miter"/>
                  <v:path arrowok="t" textboxrect="0,0,84845,86561"/>
                </v:shape>
                <v:shape id="Shape 6811" o:spid="_x0000_s1095" style="position:absolute;left:13846;top:14627;width:835;height:856;visibility:visible;mso-wrap-style:square;v-text-anchor:top" coordsize="83583,85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" path="m67455,1532c69045,,71569,,73112,1532r8882,8818c83583,11882,83583,14434,81994,15966l12014,85679,3132,76860c,73751,,68738,3132,65582l67455,1532xe" fillcolor="#1490df" stroked="f" strokeweight="0">
                  <v:stroke miterlimit="83231f" joinstyle="miter"/>
                  <v:path arrowok="t" textboxrect="0,0,83583,85679"/>
                </v:shape>
                <v:shape id="Shape 6813" o:spid="_x0000_s1096" style="position:absolute;left:15705;top:15196;width:848;height:866;visibility:visible;mso-wrap-style:square;v-text-anchor:top" coordsize="84752,86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" path="m72785,r8835,8818c84752,11928,84752,16987,81620,20097l16034,84983v-1542,1578,-4113,1578,-5656,l1543,76211c,74679,,72127,1543,70595l72785,47r,-47xe" fillcolor="#50e6ff" stroked="f" strokeweight="0">
                  <v:stroke miterlimit="83231f" joinstyle="miter"/>
                  <v:path arrowok="t" textboxrect="0,0,84752,86561"/>
                </v:shape>
                <v:shape id="Shape 6815" o:spid="_x0000_s1097" style="position:absolute;left:15718;top:14626;width:836;height:857;visibility:visible;mso-wrap-style:square;v-text-anchor:top" coordsize="83583,85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" path="m10425,1532c12014,,14538,,16128,1532l80451,65629v3132,3109,3132,8168,,11278l80404,76861r-8882,8818l1543,15966c,14435,,11882,1543,10350l10425,1532xe" fillcolor="#1490df" stroked="f" strokeweight="0">
                  <v:stroke miterlimit="83231f" joinstyle="miter"/>
                  <v:path arrowok="t" textboxrect="0,0,83583,85679"/>
                </v:shape>
                <v:shape id="Picture 94646" o:spid="_x0000_s1098" type="#_x0000_t75" style="position:absolute;left:14506;top:14120;width:1402;height:2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">
                  <v:imagedata r:id="rId35" o:title=""/>
                </v:shape>
                <v:shape id="Shape 6818" o:spid="_x0000_s1099" style="position:absolute;left:10432;top:10591;width:849;height:866;visibility:visible;mso-wrap-style:square;v-text-anchor:top" coordsize="84845,86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" path="m12014,l83256,70549v1589,1531,1589,4084,,5616l83209,76211r-8788,8772c72831,86561,70307,86561,68718,84983l3179,20097c47,16987,,11928,3132,8819l12014,xe" fillcolor="#50e6ff" stroked="f" strokeweight="0">
                  <v:stroke miterlimit="83231f" joinstyle="miter"/>
                  <v:path arrowok="t" textboxrect="0,0,84845,86561"/>
                </v:shape>
                <v:shape id="Shape 6820" o:spid="_x0000_s1100" style="position:absolute;left:10431;top:10022;width:836;height:857;visibility:visible;mso-wrap-style:square;v-text-anchor:top" coordsize="83583,85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" path="m67455,1531c69045,,71569,,73112,1531r8882,8819c83583,11882,83583,14434,82041,15966l12014,85679,3132,76861c,73751,,68692,3132,65582l67455,1531xe" fillcolor="#1490df" stroked="f" strokeweight="0">
                  <v:stroke miterlimit="83231f" joinstyle="miter"/>
                  <v:path arrowok="t" textboxrect="0,0,83583,85679"/>
                </v:shape>
                <v:shape id="Shape 6822" o:spid="_x0000_s1101" style="position:absolute;left:12291;top:10591;width:847;height:866;visibility:visible;mso-wrap-style:square;v-text-anchor:top" coordsize="84752,86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" path="m72785,r8835,8818c84752,11928,84752,16987,81620,20097l16081,84983v-1589,1578,-4161,1578,-5703,l1543,76211c,74633,,72127,1590,70549l72785,47r,-47xe" fillcolor="#50e6ff" stroked="f" strokeweight="0">
                  <v:stroke miterlimit="83231f" joinstyle="miter"/>
                  <v:path arrowok="t" textboxrect="0,0,84752,86561"/>
                </v:shape>
                <v:shape id="Shape 6824" o:spid="_x0000_s1102" style="position:absolute;left:12303;top:10021;width:836;height:857;visibility:visible;mso-wrap-style:square;v-text-anchor:top" coordsize="83583,85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" path="m10425,1578c12014,,14538,47,16128,1578l80451,65675v3132,3110,3132,8122,,11232l80404,76907r-8882,8819l1543,16013c,14435,,11928,1543,10350l10425,1578xe" fillcolor="#1490df" stroked="f" strokeweight="0">
                  <v:stroke miterlimit="83231f" joinstyle="miter"/>
                  <v:path arrowok="t" textboxrect="0,0,83583,85726"/>
                </v:shape>
                <v:shape id="Picture 94647" o:spid="_x0000_s1103" type="#_x0000_t75" style="position:absolute;left:11082;top:9518;width:1433;height:2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">
                  <v:imagedata r:id="rId36" o:title=""/>
                </v:shape>
                <v:rect id="Rectangle 6826" o:spid="_x0000_s1104" style="position:absolute;left:10973;top:12194;width:2327;height: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" filled="f" stroked="f">
                  <v:textbox inset="0,0,0,0">
                    <w:txbxContent>
                      <w:p w14:paraId="3919EA56" w14:textId="77777777" w:rsidR="003F0DB8" w:rsidRDefault="00000000">
                        <w:pPr>
                          <w:spacing w:after="160" w:line="259" w:lineRule="auto"/>
                          <w:ind w:left="0" w:firstLine="0"/>
                        </w:pPr>
                        <w:r>
                          <w:rPr>
                            <w:rFonts w:ascii="Calibri" w:eastAsia="Calibri" w:hAnsi="Calibri" w:cs="Calibri"/>
                            <w:sz w:val="10"/>
                          </w:rPr>
                          <w:t xml:space="preserve">Cache </w:t>
                        </w:r>
                      </w:p>
                    </w:txbxContent>
                  </v:textbox>
                </v:rect>
                <v:rect id="Rectangle 6827" o:spid="_x0000_s1105" style="position:absolute;left:10882;top:12975;width:2367;height: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" filled="f" stroked="f">
                  <v:textbox inset="0,0,0,0">
                    <w:txbxContent>
                      <w:p w14:paraId="50BAEF82" w14:textId="77777777" w:rsidR="003F0DB8" w:rsidRDefault="00000000">
                        <w:pPr>
                          <w:spacing w:after="160" w:line="259" w:lineRule="auto"/>
                          <w:ind w:left="0" w:firstLine="0"/>
                        </w:pPr>
                        <w:r>
                          <w:rPr>
                            <w:rFonts w:ascii="Calibri" w:eastAsia="Calibri" w:hAnsi="Calibri" w:cs="Calibri"/>
                            <w:sz w:val="10"/>
                          </w:rPr>
                          <w:t>Engine</w:t>
                        </w:r>
                      </w:p>
                    </w:txbxContent>
                  </v:textbox>
                </v:rect>
                <v:shape id="Shape 6828" o:spid="_x0000_s1106" style="position:absolute;left:8279;top:15344;width:5574;height:0;visibility:visible;mso-wrap-style:square;v-text-anchor:top" coordsize="557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" path="m557407,l,e" filled="f" strokecolor="#156082" strokeweight=".19339mm">
                  <v:stroke endcap="round"/>
                  <v:path arrowok="t" textboxrect="0,0,557407,0"/>
                </v:shape>
                <v:shape id="Shape 6829" o:spid="_x0000_s1107" style="position:absolute;left:7950;top:15158;width:376;height:373;visibility:visible;mso-wrap-style:square;v-text-anchor:top" coordsize="37585,37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" path="m37585,r,37317l,18659,37585,xe" fillcolor="#156082" stroked="f" strokeweight="0">
                  <v:stroke endcap="round"/>
                  <v:path arrowok="t" textboxrect="0,0,37585,37317"/>
                </v:shape>
                <v:shape id="Shape 6830" o:spid="_x0000_s1108" style="position:absolute;left:11785;top:4273;width:0;height:5274;visibility:visible;mso-wrap-style:square;v-text-anchor:top" coordsize="0,52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" path="m,527350l,e" filled="f" strokecolor="#156082" strokeweight=".19339mm">
                  <v:stroke endcap="round"/>
                  <v:path arrowok="t" textboxrect="0,0,0,527350"/>
                </v:shape>
                <v:shape id="Shape 6831" o:spid="_x0000_s1109" style="position:absolute;left:11598;top:3946;width:375;height:374;visibility:visible;mso-wrap-style:square;v-text-anchor:top" coordsize="37585,37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" path="m18792,l37585,37316,,37316,18792,xe" fillcolor="#156082" stroked="f" strokeweight="0">
                  <v:stroke endcap="round"/>
                  <v:path arrowok="t" textboxrect="0,0,37585,37316"/>
                </v:shape>
                <v:shape id="Picture 94648" o:spid="_x0000_s1110" type="#_x0000_t75" style="position:absolute;left:22411;top:13043;width:5303;height:4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">
                  <v:imagedata r:id="rId37" o:title=""/>
                </v:shape>
                <v:shape id="Picture 94649" o:spid="_x0000_s1111" type="#_x0000_t75" style="position:absolute;left:24351;top:16132;width:1006;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">
                  <v:imagedata r:id="rId38" o:title=""/>
                </v:shape>
                <v:shape id="Shape 6834" o:spid="_x0000_s1112" style="position:absolute;left:17079;top:15344;width:5376;height:3;visibility:visible;mso-wrap-style:square;v-text-anchor:top" coordsize="537587,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" path="m537587,278l,e" filled="f" strokecolor="#156082" strokeweight=".51569mm">
                  <v:stroke endcap="round"/>
                  <v:path arrowok="t" textboxrect="0,0,537587,278"/>
                </v:shape>
                <v:shape id="Shape 6835" o:spid="_x0000_s1113" style="position:absolute;left:16546;top:15042;width:610;height:605;visibility:visible;mso-wrap-style:square;v-text-anchor:top" coordsize="61004,60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" path="m61004,r-46,60523l,30262,61004,xe" fillcolor="#156082" stroked="f" strokeweight="0">
                  <v:stroke endcap="round"/>
                  <v:path arrowok="t" textboxrect="0,0,61004,60523"/>
                </v:shape>
                <v:shape id="Shape 6836" o:spid="_x0000_s1114" style="position:absolute;left:16198;top:20378;width:848;height:1932;visibility:visible;mso-wrap-style:square;v-text-anchor:top" coordsize="84798,193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" path="m,l84798,r,193141c38098,193141,,179634,,162526l,xe" fillcolor="#3999c6" stroked="f" strokeweight="0">
                  <v:stroke endcap="round"/>
                  <v:path arrowok="t" textboxrect="0,0,84798,193141"/>
                </v:shape>
                <v:shape id="Shape 6837" o:spid="_x0000_s1115" style="position:absolute;left:17037;top:20378;width:862;height:1932;visibility:visible;mso-wrap-style:square;v-text-anchor:top" coordsize="86154,193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" path="m,l86154,r,162526c86154,179634,48523,193141,1356,193141r-1356,l,xe" fillcolor="#59b4d9" stroked="f" strokeweight="0">
                  <v:stroke endcap="round"/>
                  <v:path arrowok="t" textboxrect="0,0,86154,193141"/>
                </v:shape>
                <v:shape id="Shape 6838" o:spid="_x0000_s1116" style="position:absolute;left:16198;top:20072;width:1700;height:612;visibility:visible;mso-wrap-style:square;v-text-anchor:top" coordsize="170064,61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" path="m84798,v46701,,85266,13957,85266,30614c170064,47272,131966,61229,85266,61229,38566,61229,,47272,,30614,,13957,38098,,84798,xe" stroked="f" strokeweight="0">
                  <v:stroke endcap="round"/>
                  <v:path arrowok="t" textboxrect="0,0,170064,61229"/>
                </v:shape>
                <v:shape id="Shape 6839" o:spid="_x0000_s1117" style="position:absolute;left:16370;top:20158;width:1356;height:405;visibility:visible;mso-wrap-style:square;v-text-anchor:top" coordsize="135565,40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" path="m67549,v37210,,68016,9004,68016,20260c135565,31515,105180,40519,68016,40519,30806,40519,,31515,,20260,,9004,30385,,67549,xe" fillcolor="#7fba00" stroked="f" strokeweight="0">
                  <v:stroke endcap="round"/>
                  <v:path arrowok="t" textboxrect="0,0,135565,40519"/>
                </v:shape>
                <v:shape id="Shape 6840" o:spid="_x0000_s1118" style="position:absolute;left:16370;top:20158;width:1351;height:324;visibility:visible;mso-wrap-style:square;v-text-anchor:top" coordsize="135098,3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" path="m67549,v37210,,67549,9004,67549,20260c135098,24762,130142,28813,121074,32415,108826,27913,89333,24762,67549,24762v-21737,,-41277,2701,-53478,7653c5423,29264,,24762,,20260,,9004,30385,,67549,xe" fillcolor="#b8d432" stroked="f" strokeweight="0">
                  <v:stroke endcap="round"/>
                  <v:path arrowok="t" textboxrect="0,0,135098,32415"/>
                </v:shape>
                <v:shape id="Shape 6841" o:spid="_x0000_s1119" style="position:absolute;left:17277;top:21022;width:567;height:1288;visibility:visible;mso-wrap-style:square;v-text-anchor:top" coordsize="56657,12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" path="m,l56657,r,128760c25384,128760,,119756,,108501l,xe" fillcolor="#0072c6" stroked="f" strokeweight="0">
                  <v:stroke endcap="round"/>
                  <v:path arrowok="t" textboxrect="0,0,56657,128760"/>
                </v:shape>
                <v:shape id="Shape 6842" o:spid="_x0000_s1120" style="position:absolute;left:17835;top:21022;width:576;height:1288;visibility:visible;mso-wrap-style:square;v-text-anchor:top" coordsize="57592,12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" path="m,l57592,r,108501c57592,119756,32209,128760,888,128760r-888,l,xe" fillcolor="#0072c6" stroked="f" strokeweight="0">
                  <v:stroke endcap="round"/>
                  <v:path arrowok="t" textboxrect="0,0,57592,128760"/>
                </v:shape>
                <v:shape id="Shape 6843" o:spid="_x0000_s1121" style="position:absolute;left:17835;top:21022;width:576;height:1288;visibility:visible;mso-wrap-style:square;v-text-anchor:top" coordsize="57592,12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" path="m,l57592,r,108501c57592,119756,32209,128760,888,128760r-888,l,xe" stroked="f" strokeweight="0">
                  <v:fill opacity="9766f"/>
                  <v:stroke endcap="round"/>
                  <v:path arrowok="t" textboxrect="0,0,57592,128760"/>
                </v:shape>
                <v:shape id="Shape 6844" o:spid="_x0000_s1122" style="position:absolute;left:17277;top:20819;width:1134;height:406;visibility:visible;mso-wrap-style:square;v-text-anchor:top" coordsize="113361,40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" path="m56657,v31320,,56704,9004,56704,20259c113361,31515,87977,40519,56657,40519,25384,40519,,31515,,20259,,9004,25384,,56657,xe" stroked="f" strokeweight="0">
                  <v:stroke endcap="round"/>
                  <v:path arrowok="t" textboxrect="0,0,113361,40519"/>
                </v:shape>
                <v:shape id="Shape 6845" o:spid="_x0000_s1123" style="position:absolute;left:17395;top:20873;width:898;height:271;visibility:visible;mso-wrap-style:square;v-text-anchor:top" coordsize="89800,27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" path="m44877,c69372,,89800,6303,89800,13506v,7204,-20428,13507,-44923,13507c20428,27013,,21160,,13506,,6303,20428,,44877,xe" fillcolor="#7fba00" stroked="f" strokeweight="0">
                  <v:stroke endcap="round"/>
                  <v:path arrowok="t" textboxrect="0,0,89800,27013"/>
                </v:shape>
                <v:shape id="Shape 6846" o:spid="_x0000_s1124" style="position:absolute;left:17395;top:20873;width:898;height:217;visibility:visible;mso-wrap-style:square;v-text-anchor:top" coordsize="89800,2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" path="m44877,c69372,,89800,6303,89800,13506v,3152,-3646,5853,-9536,8104c71663,18459,58948,16208,45344,16208v-14491,,-27674,2251,-35808,5402c3646,19359,,16658,,13506,,5853,19961,,44877,xe" fillcolor="#b8d432" stroked="f" strokeweight="0">
                  <v:stroke endcap="round"/>
                  <v:path arrowok="t" textboxrect="0,0,89800,21610"/>
                </v:shape>
                <v:shape id="Shape 6847" o:spid="_x0000_s1125" style="position:absolute;left:17522;top:21283;width:662;height:914;visibility:visible;mso-wrap-style:square;v-text-anchor:top" coordsize="66193,91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" path="m66193,l41698,39619r21316,l,91393,24449,51324r-21270,l66193,xe" stroked="f" strokeweight="0">
                  <v:stroke endcap="round"/>
                  <v:path arrowok="t" textboxrect="0,0,66193,91393"/>
                </v:shape>
                <v:rect id="Rectangle 6848" o:spid="_x0000_s1126" style="position:absolute;left:18484;top:20492;width:3613;height: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" filled="f" stroked="f">
                  <v:textbox inset="0,0,0,0">
                    <w:txbxContent>
                      <w:p w14:paraId="7C1FFDC1" w14:textId="77777777" w:rsidR="003F0DB8" w:rsidRDefault="00000000">
                        <w:pPr>
                          <w:spacing w:after="160" w:line="259" w:lineRule="auto"/>
                          <w:ind w:left="0" w:firstLine="0"/>
                        </w:pPr>
                        <w:r>
                          <w:rPr>
                            <w:rFonts w:ascii="Calibri" w:eastAsia="Calibri" w:hAnsi="Calibri" w:cs="Calibri"/>
                            <w:color w:val="0E4A65"/>
                            <w:sz w:val="9"/>
                          </w:rPr>
                          <w:t>Redis Cache</w:t>
                        </w:r>
                      </w:p>
                    </w:txbxContent>
                  </v:textbox>
                </v:rect>
                <v:shape id="Shape 6849" o:spid="_x0000_s1127" style="position:absolute;left:17218;top:17631;width:0;height:1260;visibility:visible;mso-wrap-style:square;v-text-anchor:top" coordsize="0,125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" path="m,l,125929e" filled="f" strokecolor="#156082" strokeweight="2.01pt">
                  <v:stroke endcap="round"/>
                  <v:path arrowok="t" textboxrect="0,0,0,125929"/>
                </v:shape>
                <v:shape id="Shape 6850" o:spid="_x0000_s1128" style="position:absolute;left:16843;top:16980;width:750;height:745;visibility:visible;mso-wrap-style:square;v-text-anchor:top" coordsize="74981,7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" path="m37491,l74981,74447,,74447,37491,xe" fillcolor="#156082" stroked="f" strokeweight="0">
                  <v:stroke endcap="round"/>
                  <v:path arrowok="t" textboxrect="0,0,74981,74447"/>
                </v:shape>
                <v:shape id="Shape 6851" o:spid="_x0000_s1129" style="position:absolute;left:16843;top:18798;width:750;height:744;visibility:visible;mso-wrap-style:square;v-text-anchor:top" coordsize="74981,7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" path="m,l74981,,37491,74447,,xe" fillcolor="#156082" stroked="f" strokeweight="0">
                  <v:stroke endcap="round"/>
                  <v:path arrowok="t" textboxrect="0,0,74981,74447"/>
                </v:shape>
                <v:shape id="Shape 6852" o:spid="_x0000_s1130" style="position:absolute;left:13460;top:10740;width:1739;height:3411;visibility:visible;mso-wrap-style:square;v-text-anchor:top" coordsize="173898,34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" path="m173898,341186r,-301734c173898,17637,156134,,134163,l,e" filled="f" strokecolor="#156082" strokeweight=".19339mm">
                  <v:stroke endcap="round"/>
                  <v:path arrowok="t" textboxrect="0,0,173898,341186"/>
                </v:shape>
                <v:shape id="Shape 6853" o:spid="_x0000_s1131" style="position:absolute;left:13132;top:10553;width:376;height:373;visibility:visible;mso-wrap-style:square;v-text-anchor:top" coordsize="37584,37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" path="m37584,r,37316l,18658,37584,xe" fillcolor="#156082" stroked="f" strokeweight="0">
                  <v:stroke endcap="round"/>
                  <v:path arrowok="t" textboxrect="0,0,37584,37316"/>
                </v:shape>
                <v:rect id="Rectangle 6854" o:spid="_x0000_s1132" style="position:absolute;left:12648;top:15922;width:4101;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" filled="f" stroked="f">
                  <v:textbox inset="0,0,0,0">
                    <w:txbxContent>
                      <w:p w14:paraId="06766ADE" w14:textId="77777777" w:rsidR="003F0DB8" w:rsidRDefault="00000000">
                        <w:pPr>
                          <w:spacing w:after="160" w:line="259" w:lineRule="auto"/>
                          <w:ind w:left="0" w:firstLine="0"/>
                        </w:pPr>
                        <w:r>
                          <w:rPr>
                            <w:rFonts w:ascii="Calibri" w:eastAsia="Calibri" w:hAnsi="Calibri" w:cs="Calibri"/>
                            <w:sz w:val="10"/>
                          </w:rPr>
                          <w:t>Syndication</w:t>
                        </w:r>
                      </w:p>
                    </w:txbxContent>
                  </v:textbox>
                </v:rect>
                <v:rect id="Rectangle 6855" o:spid="_x0000_s1133" style="position:absolute;left:13749;top:16700;width:1185;height: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" filled="f" stroked="f">
                  <v:textbox inset="0,0,0,0">
                    <w:txbxContent>
                      <w:p w14:paraId="64E0D780" w14:textId="77777777" w:rsidR="003F0DB8" w:rsidRDefault="00000000">
                        <w:pPr>
                          <w:spacing w:after="160" w:line="259" w:lineRule="auto"/>
                          <w:ind w:left="0" w:firstLine="0"/>
                        </w:pPr>
                        <w:r>
                          <w:rPr>
                            <w:rFonts w:ascii="Calibri" w:eastAsia="Calibri" w:hAnsi="Calibri" w:cs="Calibri"/>
                            <w:sz w:val="10"/>
                          </w:rPr>
                          <w:t>API</w:t>
                        </w:r>
                      </w:p>
                    </w:txbxContent>
                  </v:textbox>
                </v:rect>
                <v:shape id="Shape 6856" o:spid="_x0000_s1134" style="position:absolute;left:48604;top:8122;width:7951;height:3947;visibility:visible;mso-wrap-style:square;v-text-anchor:top" coordsize="795066,39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" path="m,l795066,r,394696l,394696,,xe" fillcolor="#d8d8d8" stroked="f" strokeweight="0">
                  <v:stroke endcap="round"/>
                  <v:path arrowok="t" textboxrect="0,0,795066,394696"/>
                </v:shape>
                <v:rect id="Rectangle 6857" o:spid="_x0000_s1135" style="position:absolute;left:49848;top:9843;width:7302;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EVI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ZPk9Q1ub8ITkIs/AAAA//8DAFBLAQItABQABgAIAAAAIQDb4fbL7gAAAIUBAAATAAAAAAAA&#10;AAAAAAAAAAAAAABbQ29udGVudF9UeXBlc10ueG1sUEsBAi0AFAAGAAgAAAAhAFr0LFu/AAAAFQEA&#10;AAsAAAAAAAAAAAAAAAAAHwEAAF9yZWxzLy5yZWxzUEsBAi0AFAAGAAgAAAAhABngRUjHAAAA3QAA&#10;AA8AAAAAAAAAAAAAAAAABwIAAGRycy9kb3ducmV2LnhtbFBLBQYAAAAAAwADALcAAAD7AgAAAAA=&#10;" filled="f" stroked="f">
                  <v:textbox inset="0,0,0,0">
                    <w:txbxContent>
                      <w:p w14:paraId="54784389" w14:textId="77777777" w:rsidR="003F0DB8" w:rsidRDefault="00000000">
                        <w:pPr>
                          <w:spacing w:after="160" w:line="259" w:lineRule="auto"/>
                          <w:ind w:left="0" w:firstLine="0"/>
                        </w:pPr>
                        <w:r>
                          <w:rPr>
                            <w:rFonts w:ascii="Calibri" w:eastAsia="Calibri" w:hAnsi="Calibri" w:cs="Calibri"/>
                            <w:b/>
                            <w:color w:val="FEFFFF"/>
                            <w:sz w:val="9"/>
                          </w:rPr>
                          <w:t>API External consumers</w:t>
                        </w:r>
                      </w:p>
                    </w:txbxContent>
                  </v:textbox>
                </v:rect>
                <v:shape id="Shape 99109" o:spid="_x0000_s1136" style="position:absolute;left:48604;top:13647;width:7951;height:3947;visibility:visible;mso-wrap-style:square;v-text-anchor:top" coordsize="795066,39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" path="m,l795066,r,394696l,394696,,e" fillcolor="#d8d8d8" stroked="f" strokeweight="0">
                  <v:stroke endcap="round"/>
                  <v:path arrowok="t" textboxrect="0,0,795066,394696"/>
                </v:shape>
                <v:rect id="Rectangle 6859" o:spid="_x0000_s1137" style="position:absolute;left:49848;top:15375;width:7302;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" filled="f" stroked="f">
                  <v:textbox inset="0,0,0,0">
                    <w:txbxContent>
                      <w:p w14:paraId="02129B6B" w14:textId="77777777" w:rsidR="003F0DB8" w:rsidRDefault="00000000">
                        <w:pPr>
                          <w:spacing w:after="160" w:line="259" w:lineRule="auto"/>
                          <w:ind w:left="0" w:firstLine="0"/>
                        </w:pPr>
                        <w:r>
                          <w:rPr>
                            <w:rFonts w:ascii="Calibri" w:eastAsia="Calibri" w:hAnsi="Calibri" w:cs="Calibri"/>
                            <w:b/>
                            <w:color w:val="FEFFFF"/>
                            <w:sz w:val="9"/>
                          </w:rPr>
                          <w:t>API External consumers</w:t>
                        </w:r>
                      </w:p>
                    </w:txbxContent>
                  </v:textbox>
                </v:rect>
                <v:shape id="Shape 99110" o:spid="_x0000_s1138" style="position:absolute;left:48604;top:19173;width:7951;height:3947;visibility:visible;mso-wrap-style:square;v-text-anchor:top" coordsize="795066,39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" path="m,l795066,r,394696l,394696,,e" fillcolor="#d8d8d8" stroked="f" strokeweight="0">
                  <v:stroke endcap="round"/>
                  <v:path arrowok="t" textboxrect="0,0,795066,394696"/>
                </v:shape>
                <v:rect id="Rectangle 6861" o:spid="_x0000_s1139" style="position:absolute;left:49848;top:20908;width:7302;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" filled="f" stroked="f">
                  <v:textbox inset="0,0,0,0">
                    <w:txbxContent>
                      <w:p w14:paraId="3B745BE3" w14:textId="77777777" w:rsidR="003F0DB8" w:rsidRDefault="00000000">
                        <w:pPr>
                          <w:spacing w:after="160" w:line="259" w:lineRule="auto"/>
                          <w:ind w:left="0" w:firstLine="0"/>
                        </w:pPr>
                        <w:r>
                          <w:rPr>
                            <w:rFonts w:ascii="Calibri" w:eastAsia="Calibri" w:hAnsi="Calibri" w:cs="Calibri"/>
                            <w:b/>
                            <w:color w:val="FEFFFF"/>
                            <w:sz w:val="9"/>
                          </w:rPr>
                          <w:t>API External consumers</w:t>
                        </w:r>
                      </w:p>
                    </w:txbxContent>
                  </v:textbox>
                </v:rect>
                <v:shape id="Shape 6862" o:spid="_x0000_s1140" style="position:absolute;left:36874;top:15621;width:11730;height:0;visibility:visible;mso-wrap-style:square;v-text-anchor:top" coordsize="11729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" path="m1172968,l,e" filled="f" strokecolor="#156082" strokeweight=".19339mm">
                  <v:stroke endcap="round"/>
                  <v:path arrowok="t" textboxrect="0,0,1172968,0"/>
                </v:shape>
                <v:shape id="Shape 6863" o:spid="_x0000_s1141" style="position:absolute;left:36546;top:15434;width:376;height:373;visibility:visible;mso-wrap-style:square;v-text-anchor:top" coordsize="37585,37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" path="m37585,r,37317l,18659,37585,xe" fillcolor="#156082" stroked="f" strokeweight="0">
                  <v:stroke endcap="round"/>
                  <v:path arrowok="t" textboxrect="0,0,37585,37317"/>
                </v:shape>
                <v:shape id="Shape 6864" o:spid="_x0000_s1142" style="position:absolute;left:21466;top:10358;width:18790;height:9473;visibility:visible;mso-wrap-style:square;v-text-anchor:top" coordsize="1878982,94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" path="m,947253r1878982,1l1878982,,,,,947253xe" filled="f" strokecolor="#11b0ee" strokeweight=".03222mm">
                  <v:stroke miterlimit="1" joinstyle="miter"/>
                  <v:path arrowok="t" textboxrect="0,0,1878982,947254"/>
                </v:shape>
                <v:rect id="Rectangle 6865" o:spid="_x0000_s1143" style="position:absolute;left:24864;top:10991;width:7883;height:1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" filled="f" stroked="f">
                  <v:textbox inset="0,0,0,0">
                    <w:txbxContent>
                      <w:p w14:paraId="66E06612" w14:textId="77777777" w:rsidR="003F0DB8" w:rsidRDefault="00000000">
                        <w:pPr>
                          <w:spacing w:after="160" w:line="259" w:lineRule="auto"/>
                          <w:ind w:left="0" w:firstLine="0"/>
                        </w:pPr>
                        <w:r>
                          <w:rPr>
                            <w:rFonts w:ascii="Calibri" w:eastAsia="Calibri" w:hAnsi="Calibri" w:cs="Calibri"/>
                            <w:color w:val="0E4A65"/>
                            <w:sz w:val="13"/>
                          </w:rPr>
                          <w:t>API Management</w:t>
                        </w:r>
                      </w:p>
                    </w:txbxContent>
                  </v:textbox>
                </v:rect>
                <v:rect id="Rectangle 6866" o:spid="_x0000_s1144" style="position:absolute;left:26422;top:11994;width:3725;height:1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" filled="f" stroked="f">
                  <v:textbox inset="0,0,0,0">
                    <w:txbxContent>
                      <w:p w14:paraId="4E685A79" w14:textId="77777777" w:rsidR="003F0DB8" w:rsidRDefault="00000000">
                        <w:pPr>
                          <w:spacing w:after="160" w:line="259" w:lineRule="auto"/>
                          <w:ind w:left="0" w:firstLine="0"/>
                        </w:pPr>
                        <w:r>
                          <w:rPr>
                            <w:rFonts w:ascii="Calibri" w:eastAsia="Calibri" w:hAnsi="Calibri" w:cs="Calibri"/>
                            <w:color w:val="0E4A65"/>
                            <w:sz w:val="13"/>
                          </w:rPr>
                          <w:t>External</w:t>
                        </w:r>
                      </w:p>
                    </w:txbxContent>
                  </v:textbox>
                </v:rect>
                <v:shape id="Shape 6867" o:spid="_x0000_s1145" style="position:absolute;left:32570;top:17921;width:16034;height:3226;visibility:visible;mso-wrap-style:square;v-text-anchor:top" coordsize="1603364,32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" path="m1603364,322560r-1563630,c17811,322560,,304890,,283090l,e" filled="f" strokecolor="#156082" strokeweight=".19339mm">
                  <v:stroke endcap="round"/>
                  <v:path arrowok="t" textboxrect="0,0,1603364,322560"/>
                </v:shape>
                <v:shape id="Shape 6868" o:spid="_x0000_s1146" style="position:absolute;left:32382;top:17594;width:376;height:374;visibility:visible;mso-wrap-style:square;v-text-anchor:top" coordsize="37585,37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" path="m18792,l37585,37316,,37316,18792,xe" fillcolor="#156082" stroked="f" strokeweight="0">
                  <v:stroke endcap="round"/>
                  <v:path arrowok="t" textboxrect="0,0,37585,37316"/>
                </v:shape>
                <v:shape id="Shape 6869" o:spid="_x0000_s1147" style="position:absolute;left:32570;top:10095;width:16034;height:3226;visibility:visible;mso-wrap-style:square;v-text-anchor:top" coordsize="1603364,322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" path="m1603364,l39734,c17811,,,17637,,39451l,322574e" filled="f" strokecolor="#156082" strokeweight=".19339mm">
                  <v:stroke endcap="round"/>
                  <v:path arrowok="t" textboxrect="0,0,1603364,322574"/>
                </v:shape>
                <v:shape id="Shape 6870" o:spid="_x0000_s1148" style="position:absolute;left:32382;top:13274;width:376;height:373;visibility:visible;mso-wrap-style:square;v-text-anchor:top" coordsize="37585,37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" path="m,l37585,,18792,37316,,xe" fillcolor="#156082" stroked="f" strokeweight="0">
                  <v:stroke endcap="round"/>
                  <v:path arrowok="t" textboxrect="0,0,37585,37316"/>
                </v:shape>
                <w10:anchorlock/>
              </v:group>
            </w:pict>
          </mc:Fallback>
        </mc:AlternateContent>
      </w:r>
    </w:p>
    <w:p w14:paraId="19170494" w14:textId="77777777" w:rsidR="003F0DB8" w:rsidRDefault="00000000">
      <w:pPr>
        <w:pStyle w:val="Heading3"/>
        <w:spacing w:after="122"/>
        <w:ind w:left="-5"/>
      </w:pPr>
      <w:r>
        <w:rPr>
          <w:sz w:val="22"/>
        </w:rPr>
        <w:t xml:space="preserve">NHS ESR (Employees) </w:t>
      </w:r>
    </w:p>
    <w:p w14:paraId="23176C52" w14:textId="77777777" w:rsidR="003F0DB8" w:rsidRDefault="00000000">
      <w:pPr>
        <w:spacing w:after="110" w:line="269" w:lineRule="auto"/>
        <w:ind w:left="10" w:right="3" w:hanging="10"/>
      </w:pPr>
      <w:r>
        <w:rPr>
          <w:sz w:val="24"/>
        </w:rPr>
        <w:t xml:space="preserve">A scheduled, file-based pipeline ingesting employee data from NHS ESR via SFTP over VPN on a daily incremental and weekly fullrefresh cadence. Inbound files land in a secured Blob Storage account before a Service Bus message triggers downstream processing. </w:t>
      </w:r>
    </w:p>
    <w:p w14:paraId="54A3555D" w14:textId="77777777" w:rsidR="003F0DB8" w:rsidRDefault="00000000">
      <w:pPr>
        <w:spacing w:after="110" w:line="269" w:lineRule="auto"/>
        <w:ind w:left="10" w:right="3" w:hanging="10"/>
      </w:pPr>
      <w:r>
        <w:rPr>
          <w:sz w:val="24"/>
        </w:rPr>
        <w:t xml:space="preserve">Records are debatched into individual employee change events and fanned out to four downstream systems: Cygnum and Cornerstone receive upserts and deletions via HTTP sync APIs; EntraID and Dynamics FinOps are fed via staged CSV files picked up from Blob Storage. </w:t>
      </w:r>
    </w:p>
    <w:p w14:paraId="190EA6E1" w14:textId="77777777" w:rsidR="003F0DB8" w:rsidRDefault="00000000">
      <w:pPr>
        <w:spacing w:after="9" w:line="269" w:lineRule="auto"/>
        <w:ind w:left="10" w:right="3" w:hanging="10"/>
      </w:pPr>
      <w:r>
        <w:rPr>
          <w:sz w:val="24"/>
        </w:rPr>
        <w:lastRenderedPageBreak/>
        <w:t xml:space="preserve">All data in transit and at rest is GDPR-sensitive. An interim Storage Account currently retains a full copy of all employee data with no retention policy defined. </w:t>
      </w:r>
    </w:p>
    <w:p w14:paraId="6224D443" w14:textId="77777777" w:rsidR="003F0DB8" w:rsidRDefault="00000000">
      <w:pPr>
        <w:spacing w:after="234" w:line="259" w:lineRule="auto"/>
        <w:ind w:left="273" w:firstLine="0"/>
      </w:pPr>
      <w:r>
        <w:rPr>
          <w:noProof/>
        </w:rPr>
        <w:drawing>
          <wp:inline distT="0" distB="0" distL="0" distR="0" wp14:anchorId="78062593" wp14:editId="1EDC6713">
            <wp:extent cx="5687569" cy="3831336"/>
            <wp:effectExtent l="0" t="0" r="0" b="0"/>
            <wp:docPr id="94650" name="Picture 94650"/>
            <wp:cNvGraphicFramePr/>
            <a:graphic xmlns:a="http://schemas.openxmlformats.org/drawingml/2006/main">
              <a:graphicData uri="http://schemas.openxmlformats.org/drawingml/2006/picture">
                <pic:pic xmlns:pic="http://schemas.openxmlformats.org/drawingml/2006/picture">
                  <pic:nvPicPr>
                    <pic:cNvPr id="94650" name="Picture 94650"/>
                    <pic:cNvPicPr/>
                  </pic:nvPicPr>
                  <pic:blipFill>
                    <a:blip r:embed="rId39"/>
                    <a:stretch>
                      <a:fillRect/>
                    </a:stretch>
                  </pic:blipFill>
                  <pic:spPr>
                    <a:xfrm>
                      <a:off x="0" y="0"/>
                      <a:ext cx="5687569" cy="3831336"/>
                    </a:xfrm>
                    <a:prstGeom prst="rect">
                      <a:avLst/>
                    </a:prstGeom>
                  </pic:spPr>
                </pic:pic>
              </a:graphicData>
            </a:graphic>
          </wp:inline>
        </w:drawing>
      </w:r>
    </w:p>
    <w:p w14:paraId="39EFF5F7" w14:textId="77777777" w:rsidR="003F0DB8" w:rsidRDefault="00000000">
      <w:pPr>
        <w:spacing w:after="0" w:line="259" w:lineRule="auto"/>
        <w:ind w:left="0" w:firstLine="0"/>
      </w:pPr>
      <w:r>
        <w:rPr>
          <w:sz w:val="24"/>
        </w:rPr>
        <w:t xml:space="preserve"> </w:t>
      </w:r>
      <w:r>
        <w:rPr>
          <w:sz w:val="24"/>
        </w:rPr>
        <w:tab/>
        <w:t xml:space="preserve"> </w:t>
      </w:r>
    </w:p>
    <w:p w14:paraId="45BBE696" w14:textId="77777777" w:rsidR="003F0DB8" w:rsidRDefault="00000000">
      <w:pPr>
        <w:pStyle w:val="Heading3"/>
        <w:spacing w:after="122"/>
        <w:ind w:left="-5"/>
      </w:pPr>
      <w:r>
        <w:rPr>
          <w:sz w:val="22"/>
        </w:rPr>
        <w:t xml:space="preserve">SOAD </w:t>
      </w:r>
    </w:p>
    <w:p w14:paraId="5489EADF" w14:textId="77777777" w:rsidR="003F0DB8" w:rsidRDefault="00000000">
      <w:pPr>
        <w:spacing w:after="183" w:line="269" w:lineRule="auto"/>
        <w:ind w:left="10" w:right="3" w:hanging="10"/>
      </w:pPr>
      <w:r>
        <w:rPr>
          <w:sz w:val="24"/>
        </w:rPr>
        <w:t>A bidirectional, user-triggered integration between the SOAD .NET web application and Dynamics 365 CRM, pulling case data from CRM, applying SOAD-specific workflows, and pushing processed results back. The integration handles GDPR-sensitive mental health patient data throughout. Whether this workflow should be migrated entirely into Dynamics CRM - removing the AIS dependency and taking it out of scope - remains an open decision.</w:t>
      </w:r>
    </w:p>
    <w:p w14:paraId="4A0459CF" w14:textId="77777777" w:rsidR="003F0DB8" w:rsidRDefault="00000000">
      <w:pPr>
        <w:spacing w:after="107" w:line="259" w:lineRule="auto"/>
        <w:ind w:left="34" w:firstLine="0"/>
      </w:pPr>
      <w:r>
        <w:rPr>
          <w:rFonts w:ascii="Calibri" w:eastAsia="Calibri" w:hAnsi="Calibri" w:cs="Calibri"/>
          <w:noProof/>
          <w:sz w:val="22"/>
        </w:rPr>
        <w:lastRenderedPageBreak/>
        <mc:AlternateContent>
          <mc:Choice Requires="wpg">
            <w:drawing>
              <wp:inline distT="0" distB="0" distL="0" distR="0" wp14:anchorId="086B0252" wp14:editId="0C44C308">
                <wp:extent cx="6050018" cy="1461675"/>
                <wp:effectExtent l="0" t="0" r="0" b="0"/>
                <wp:docPr id="86946" name="Group 86946"/>
                <wp:cNvGraphicFramePr/>
                <a:graphic xmlns:a="http://schemas.openxmlformats.org/drawingml/2006/main">
                  <a:graphicData uri="http://schemas.microsoft.com/office/word/2010/wordprocessingGroup">
                    <wpg:wgp>
                      <wpg:cNvGrpSpPr/>
                      <wpg:grpSpPr>
                        <a:xfrm>
                          <a:off x="0" y="0"/>
                          <a:ext cx="6050018" cy="1461675"/>
                          <a:chOff x="0" y="0"/>
                          <a:chExt cx="6050018" cy="1461675"/>
                        </a:xfrm>
                      </wpg:grpSpPr>
                      <wps:wsp>
                        <wps:cNvPr id="7127" name="Shape 7127"/>
                        <wps:cNvSpPr/>
                        <wps:spPr>
                          <a:xfrm>
                            <a:off x="4520548" y="76342"/>
                            <a:ext cx="1529470" cy="704069"/>
                          </a:xfrm>
                          <a:custGeom>
                            <a:avLst/>
                            <a:gdLst/>
                            <a:ahLst/>
                            <a:cxnLst/>
                            <a:rect l="0" t="0" r="0" b="0"/>
                            <a:pathLst>
                              <a:path w="1529470" h="704069">
                                <a:moveTo>
                                  <a:pt x="0" y="0"/>
                                </a:moveTo>
                                <a:lnTo>
                                  <a:pt x="1529470" y="0"/>
                                </a:lnTo>
                                <a:lnTo>
                                  <a:pt x="1529470" y="704069"/>
                                </a:lnTo>
                                <a:lnTo>
                                  <a:pt x="0" y="704069"/>
                                </a:lnTo>
                                <a:lnTo>
                                  <a:pt x="0" y="0"/>
                                </a:lnTo>
                                <a:close/>
                              </a:path>
                            </a:pathLst>
                          </a:custGeom>
                          <a:ln w="0" cap="flat">
                            <a:miter lim="127000"/>
                          </a:ln>
                        </wps:spPr>
                        <wps:style>
                          <a:lnRef idx="0">
                            <a:srgbClr val="000000">
                              <a:alpha val="0"/>
                            </a:srgbClr>
                          </a:lnRef>
                          <a:fillRef idx="1">
                            <a:srgbClr val="83CAEB"/>
                          </a:fillRef>
                          <a:effectRef idx="0">
                            <a:scrgbClr r="0" g="0" b="0"/>
                          </a:effectRef>
                          <a:fontRef idx="none"/>
                        </wps:style>
                        <wps:bodyPr/>
                      </wps:wsp>
                      <wps:wsp>
                        <wps:cNvPr id="7129" name="Rectangle 7129"/>
                        <wps:cNvSpPr/>
                        <wps:spPr>
                          <a:xfrm>
                            <a:off x="5102642" y="314767"/>
                            <a:ext cx="491295" cy="146205"/>
                          </a:xfrm>
                          <a:prstGeom prst="rect">
                            <a:avLst/>
                          </a:prstGeom>
                          <a:ln>
                            <a:noFill/>
                          </a:ln>
                        </wps:spPr>
                        <wps:txbx>
                          <w:txbxContent>
                            <w:p w14:paraId="4F993693" w14:textId="77777777" w:rsidR="003F0DB8" w:rsidRDefault="00000000">
                              <w:pPr>
                                <w:spacing w:after="160" w:line="259" w:lineRule="auto"/>
                                <w:ind w:left="0" w:firstLine="0"/>
                              </w:pPr>
                              <w:r>
                                <w:rPr>
                                  <w:rFonts w:ascii="Calibri" w:eastAsia="Calibri" w:hAnsi="Calibri" w:cs="Calibri"/>
                                  <w:color w:val="FEFFFF"/>
                                  <w:sz w:val="17"/>
                                </w:rPr>
                                <w:t>D365 RP</w:t>
                              </w:r>
                            </w:p>
                          </w:txbxContent>
                        </wps:txbx>
                        <wps:bodyPr horzOverflow="overflow" vert="horz" lIns="0" tIns="0" rIns="0" bIns="0" rtlCol="0">
                          <a:noAutofit/>
                        </wps:bodyPr>
                      </wps:wsp>
                      <wps:wsp>
                        <wps:cNvPr id="7131" name="Rectangle 7131"/>
                        <wps:cNvSpPr/>
                        <wps:spPr>
                          <a:xfrm>
                            <a:off x="5183127" y="444457"/>
                            <a:ext cx="281172" cy="146205"/>
                          </a:xfrm>
                          <a:prstGeom prst="rect">
                            <a:avLst/>
                          </a:prstGeom>
                          <a:ln>
                            <a:noFill/>
                          </a:ln>
                        </wps:spPr>
                        <wps:txbx>
                          <w:txbxContent>
                            <w:p w14:paraId="095A0A52" w14:textId="77777777" w:rsidR="003F0DB8" w:rsidRDefault="00000000">
                              <w:pPr>
                                <w:spacing w:after="160" w:line="259" w:lineRule="auto"/>
                                <w:ind w:left="0" w:firstLine="0"/>
                              </w:pPr>
                              <w:r>
                                <w:rPr>
                                  <w:rFonts w:ascii="Calibri" w:eastAsia="Calibri" w:hAnsi="Calibri" w:cs="Calibri"/>
                                  <w:color w:val="FEFFFF"/>
                                  <w:sz w:val="17"/>
                                </w:rPr>
                                <w:t>CRM</w:t>
                              </w:r>
                            </w:p>
                          </w:txbxContent>
                        </wps:txbx>
                        <wps:bodyPr horzOverflow="overflow" vert="horz" lIns="0" tIns="0" rIns="0" bIns="0" rtlCol="0">
                          <a:noAutofit/>
                        </wps:bodyPr>
                      </wps:wsp>
                      <wps:wsp>
                        <wps:cNvPr id="7132" name="Shape 7132"/>
                        <wps:cNvSpPr/>
                        <wps:spPr>
                          <a:xfrm>
                            <a:off x="0" y="60259"/>
                            <a:ext cx="1529470" cy="701852"/>
                          </a:xfrm>
                          <a:custGeom>
                            <a:avLst/>
                            <a:gdLst/>
                            <a:ahLst/>
                            <a:cxnLst/>
                            <a:rect l="0" t="0" r="0" b="0"/>
                            <a:pathLst>
                              <a:path w="1529470" h="701852">
                                <a:moveTo>
                                  <a:pt x="0" y="0"/>
                                </a:moveTo>
                                <a:lnTo>
                                  <a:pt x="1529470" y="0"/>
                                </a:lnTo>
                                <a:lnTo>
                                  <a:pt x="1529470" y="701852"/>
                                </a:lnTo>
                                <a:lnTo>
                                  <a:pt x="0" y="701852"/>
                                </a:lnTo>
                                <a:lnTo>
                                  <a:pt x="0" y="0"/>
                                </a:lnTo>
                                <a:close/>
                              </a:path>
                            </a:pathLst>
                          </a:custGeom>
                          <a:ln w="0" cap="flat">
                            <a:miter lim="127000"/>
                          </a:ln>
                        </wps:spPr>
                        <wps:style>
                          <a:lnRef idx="0">
                            <a:srgbClr val="000000">
                              <a:alpha val="0"/>
                            </a:srgbClr>
                          </a:lnRef>
                          <a:fillRef idx="1">
                            <a:srgbClr val="8ED873"/>
                          </a:fillRef>
                          <a:effectRef idx="0">
                            <a:scrgbClr r="0" g="0" b="0"/>
                          </a:effectRef>
                          <a:fontRef idx="none"/>
                        </wps:style>
                        <wps:bodyPr/>
                      </wps:wsp>
                      <wps:wsp>
                        <wps:cNvPr id="7134" name="Rectangle 7134"/>
                        <wps:cNvSpPr/>
                        <wps:spPr>
                          <a:xfrm>
                            <a:off x="634194" y="362335"/>
                            <a:ext cx="341720" cy="146204"/>
                          </a:xfrm>
                          <a:prstGeom prst="rect">
                            <a:avLst/>
                          </a:prstGeom>
                          <a:ln>
                            <a:noFill/>
                          </a:ln>
                        </wps:spPr>
                        <wps:txbx>
                          <w:txbxContent>
                            <w:p w14:paraId="711A365F" w14:textId="77777777" w:rsidR="003F0DB8" w:rsidRDefault="00000000">
                              <w:pPr>
                                <w:spacing w:after="160" w:line="259" w:lineRule="auto"/>
                                <w:ind w:left="0" w:firstLine="0"/>
                              </w:pPr>
                              <w:r>
                                <w:rPr>
                                  <w:rFonts w:ascii="Calibri" w:eastAsia="Calibri" w:hAnsi="Calibri" w:cs="Calibri"/>
                                  <w:b/>
                                  <w:color w:val="FEFFFF"/>
                                  <w:sz w:val="17"/>
                                </w:rPr>
                                <w:t>SOAD</w:t>
                              </w:r>
                            </w:p>
                          </w:txbxContent>
                        </wps:txbx>
                        <wps:bodyPr horzOverflow="overflow" vert="horz" lIns="0" tIns="0" rIns="0" bIns="0" rtlCol="0">
                          <a:noAutofit/>
                        </wps:bodyPr>
                      </wps:wsp>
                      <wps:wsp>
                        <wps:cNvPr id="7135" name="Shape 7135"/>
                        <wps:cNvSpPr/>
                        <wps:spPr>
                          <a:xfrm>
                            <a:off x="1584897" y="411149"/>
                            <a:ext cx="847648" cy="0"/>
                          </a:xfrm>
                          <a:custGeom>
                            <a:avLst/>
                            <a:gdLst/>
                            <a:ahLst/>
                            <a:cxnLst/>
                            <a:rect l="0" t="0" r="0" b="0"/>
                            <a:pathLst>
                              <a:path w="847648">
                                <a:moveTo>
                                  <a:pt x="847648" y="0"/>
                                </a:moveTo>
                                <a:lnTo>
                                  <a:pt x="0" y="0"/>
                                </a:lnTo>
                              </a:path>
                            </a:pathLst>
                          </a:custGeom>
                          <a:ln w="8975" cap="rnd">
                            <a:round/>
                          </a:ln>
                        </wps:spPr>
                        <wps:style>
                          <a:lnRef idx="1">
                            <a:srgbClr val="156082"/>
                          </a:lnRef>
                          <a:fillRef idx="0">
                            <a:srgbClr val="000000">
                              <a:alpha val="0"/>
                            </a:srgbClr>
                          </a:fillRef>
                          <a:effectRef idx="0">
                            <a:scrgbClr r="0" g="0" b="0"/>
                          </a:effectRef>
                          <a:fontRef idx="none"/>
                        </wps:style>
                        <wps:bodyPr/>
                      </wps:wsp>
                      <wps:wsp>
                        <wps:cNvPr id="7136" name="Shape 7136"/>
                        <wps:cNvSpPr/>
                        <wps:spPr>
                          <a:xfrm>
                            <a:off x="2424631" y="379557"/>
                            <a:ext cx="63308" cy="63185"/>
                          </a:xfrm>
                          <a:custGeom>
                            <a:avLst/>
                            <a:gdLst/>
                            <a:ahLst/>
                            <a:cxnLst/>
                            <a:rect l="0" t="0" r="0" b="0"/>
                            <a:pathLst>
                              <a:path w="63308" h="63185">
                                <a:moveTo>
                                  <a:pt x="0" y="0"/>
                                </a:moveTo>
                                <a:lnTo>
                                  <a:pt x="63308" y="31592"/>
                                </a:lnTo>
                                <a:lnTo>
                                  <a:pt x="0" y="63185"/>
                                </a:lnTo>
                                <a:lnTo>
                                  <a:pt x="0" y="0"/>
                                </a:lnTo>
                                <a:close/>
                              </a:path>
                            </a:pathLst>
                          </a:custGeom>
                          <a:ln w="0" cap="rnd">
                            <a:round/>
                          </a:ln>
                        </wps:spPr>
                        <wps:style>
                          <a:lnRef idx="0">
                            <a:srgbClr val="000000">
                              <a:alpha val="0"/>
                            </a:srgbClr>
                          </a:lnRef>
                          <a:fillRef idx="1">
                            <a:srgbClr val="156082"/>
                          </a:fillRef>
                          <a:effectRef idx="0">
                            <a:scrgbClr r="0" g="0" b="0"/>
                          </a:effectRef>
                          <a:fontRef idx="none"/>
                        </wps:style>
                        <wps:bodyPr/>
                      </wps:wsp>
                      <wps:wsp>
                        <wps:cNvPr id="7137" name="Shape 7137"/>
                        <wps:cNvSpPr/>
                        <wps:spPr>
                          <a:xfrm>
                            <a:off x="1529502" y="379557"/>
                            <a:ext cx="63308" cy="63185"/>
                          </a:xfrm>
                          <a:custGeom>
                            <a:avLst/>
                            <a:gdLst/>
                            <a:ahLst/>
                            <a:cxnLst/>
                            <a:rect l="0" t="0" r="0" b="0"/>
                            <a:pathLst>
                              <a:path w="63308" h="63185">
                                <a:moveTo>
                                  <a:pt x="63308" y="0"/>
                                </a:moveTo>
                                <a:lnTo>
                                  <a:pt x="63308" y="63185"/>
                                </a:lnTo>
                                <a:lnTo>
                                  <a:pt x="0" y="31592"/>
                                </a:lnTo>
                                <a:lnTo>
                                  <a:pt x="63308" y="0"/>
                                </a:lnTo>
                                <a:close/>
                              </a:path>
                            </a:pathLst>
                          </a:custGeom>
                          <a:ln w="0" cap="rnd">
                            <a:round/>
                          </a:ln>
                        </wps:spPr>
                        <wps:style>
                          <a:lnRef idx="0">
                            <a:srgbClr val="000000">
                              <a:alpha val="0"/>
                            </a:srgbClr>
                          </a:lnRef>
                          <a:fillRef idx="1">
                            <a:srgbClr val="156082"/>
                          </a:fillRef>
                          <a:effectRef idx="0">
                            <a:scrgbClr r="0" g="0" b="0"/>
                          </a:effectRef>
                          <a:fontRef idx="none"/>
                        </wps:style>
                        <wps:bodyPr/>
                      </wps:wsp>
                      <wps:wsp>
                        <wps:cNvPr id="7138" name="Shape 7138"/>
                        <wps:cNvSpPr/>
                        <wps:spPr>
                          <a:xfrm>
                            <a:off x="1786872" y="928942"/>
                            <a:ext cx="989" cy="97"/>
                          </a:xfrm>
                          <a:custGeom>
                            <a:avLst/>
                            <a:gdLst/>
                            <a:ahLst/>
                            <a:cxnLst/>
                            <a:rect l="0" t="0" r="0" b="0"/>
                            <a:pathLst>
                              <a:path w="989" h="97">
                                <a:moveTo>
                                  <a:pt x="0" y="0"/>
                                </a:moveTo>
                                <a:lnTo>
                                  <a:pt x="989" y="97"/>
                                </a:lnTo>
                                <a:lnTo>
                                  <a:pt x="0" y="97"/>
                                </a:lnTo>
                                <a:lnTo>
                                  <a:pt x="0" y="0"/>
                                </a:lnTo>
                                <a:close/>
                              </a:path>
                            </a:pathLst>
                          </a:custGeom>
                          <a:ln w="0" cap="rnd">
                            <a:round/>
                          </a:ln>
                        </wps:spPr>
                        <wps:style>
                          <a:lnRef idx="0">
                            <a:srgbClr val="000000">
                              <a:alpha val="0"/>
                            </a:srgbClr>
                          </a:lnRef>
                          <a:fillRef idx="1">
                            <a:srgbClr val="949494"/>
                          </a:fillRef>
                          <a:effectRef idx="0">
                            <a:scrgbClr r="0" g="0" b="0"/>
                          </a:effectRef>
                          <a:fontRef idx="none"/>
                        </wps:style>
                        <wps:bodyPr/>
                      </wps:wsp>
                      <wps:wsp>
                        <wps:cNvPr id="7139" name="Shape 7139"/>
                        <wps:cNvSpPr/>
                        <wps:spPr>
                          <a:xfrm>
                            <a:off x="2078054" y="536621"/>
                            <a:ext cx="67265" cy="393917"/>
                          </a:xfrm>
                          <a:custGeom>
                            <a:avLst/>
                            <a:gdLst/>
                            <a:ahLst/>
                            <a:cxnLst/>
                            <a:rect l="0" t="0" r="0" b="0"/>
                            <a:pathLst>
                              <a:path w="67265" h="393917">
                                <a:moveTo>
                                  <a:pt x="0" y="1257"/>
                                </a:moveTo>
                                <a:cubicBezTo>
                                  <a:pt x="13489" y="0"/>
                                  <a:pt x="26888" y="3949"/>
                                  <a:pt x="38219" y="12475"/>
                                </a:cubicBezTo>
                                <a:cubicBezTo>
                                  <a:pt x="46852" y="23335"/>
                                  <a:pt x="50898" y="38054"/>
                                  <a:pt x="49460" y="52774"/>
                                </a:cubicBezTo>
                                <a:lnTo>
                                  <a:pt x="49460" y="157423"/>
                                </a:lnTo>
                                <a:cubicBezTo>
                                  <a:pt x="49460" y="174566"/>
                                  <a:pt x="55215" y="183810"/>
                                  <a:pt x="67265" y="183810"/>
                                </a:cubicBezTo>
                                <a:lnTo>
                                  <a:pt x="67265" y="209856"/>
                                </a:lnTo>
                                <a:cubicBezTo>
                                  <a:pt x="55215" y="209856"/>
                                  <a:pt x="49460" y="219046"/>
                                  <a:pt x="49460" y="237122"/>
                                </a:cubicBezTo>
                                <a:lnTo>
                                  <a:pt x="49460" y="338783"/>
                                </a:lnTo>
                                <a:cubicBezTo>
                                  <a:pt x="50898" y="353879"/>
                                  <a:pt x="46762" y="368966"/>
                                  <a:pt x="38219" y="380275"/>
                                </a:cubicBezTo>
                                <a:cubicBezTo>
                                  <a:pt x="27158" y="389609"/>
                                  <a:pt x="13579" y="393917"/>
                                  <a:pt x="0" y="392418"/>
                                </a:cubicBezTo>
                                <a:lnTo>
                                  <a:pt x="0" y="366049"/>
                                </a:lnTo>
                                <a:cubicBezTo>
                                  <a:pt x="12770" y="366049"/>
                                  <a:pt x="19784" y="358043"/>
                                  <a:pt x="19784" y="340856"/>
                                </a:cubicBezTo>
                                <a:lnTo>
                                  <a:pt x="19784" y="240084"/>
                                </a:lnTo>
                                <a:cubicBezTo>
                                  <a:pt x="19784" y="216973"/>
                                  <a:pt x="25539" y="202747"/>
                                  <a:pt x="38219" y="196824"/>
                                </a:cubicBezTo>
                                <a:cubicBezTo>
                                  <a:pt x="25000" y="188477"/>
                                  <a:pt x="17626" y="171155"/>
                                  <a:pt x="19784" y="153564"/>
                                </a:cubicBezTo>
                                <a:lnTo>
                                  <a:pt x="19784" y="53671"/>
                                </a:lnTo>
                                <a:cubicBezTo>
                                  <a:pt x="19964" y="46581"/>
                                  <a:pt x="18525" y="39580"/>
                                  <a:pt x="15557" y="33477"/>
                                </a:cubicBezTo>
                                <a:cubicBezTo>
                                  <a:pt x="11601" y="29169"/>
                                  <a:pt x="6385" y="27015"/>
                                  <a:pt x="989" y="27553"/>
                                </a:cubicBezTo>
                                <a:lnTo>
                                  <a:pt x="0" y="1257"/>
                                </a:lnTo>
                                <a:close/>
                              </a:path>
                            </a:pathLst>
                          </a:custGeom>
                          <a:ln w="0" cap="rnd">
                            <a:round/>
                          </a:ln>
                        </wps:spPr>
                        <wps:style>
                          <a:lnRef idx="0">
                            <a:srgbClr val="000000">
                              <a:alpha val="0"/>
                            </a:srgbClr>
                          </a:lnRef>
                          <a:fillRef idx="1">
                            <a:srgbClr val="949494"/>
                          </a:fillRef>
                          <a:effectRef idx="0">
                            <a:scrgbClr r="0" g="0" b="0"/>
                          </a:effectRef>
                          <a:fontRef idx="none"/>
                        </wps:style>
                        <wps:bodyPr/>
                      </wps:wsp>
                      <wps:wsp>
                        <wps:cNvPr id="7140" name="Shape 7140"/>
                        <wps:cNvSpPr/>
                        <wps:spPr>
                          <a:xfrm>
                            <a:off x="1720596" y="536082"/>
                            <a:ext cx="67265" cy="392860"/>
                          </a:xfrm>
                          <a:custGeom>
                            <a:avLst/>
                            <a:gdLst/>
                            <a:ahLst/>
                            <a:cxnLst/>
                            <a:rect l="0" t="0" r="0" b="0"/>
                            <a:pathLst>
                              <a:path w="67265" h="392860">
                                <a:moveTo>
                                  <a:pt x="67265" y="1795"/>
                                </a:moveTo>
                                <a:lnTo>
                                  <a:pt x="67265" y="28092"/>
                                </a:lnTo>
                                <a:cubicBezTo>
                                  <a:pt x="54496" y="28092"/>
                                  <a:pt x="47481" y="36170"/>
                                  <a:pt x="47481" y="53312"/>
                                </a:cubicBezTo>
                                <a:lnTo>
                                  <a:pt x="47481" y="154103"/>
                                </a:lnTo>
                                <a:cubicBezTo>
                                  <a:pt x="47481" y="177169"/>
                                  <a:pt x="41726" y="191439"/>
                                  <a:pt x="29046" y="197362"/>
                                </a:cubicBezTo>
                                <a:cubicBezTo>
                                  <a:pt x="42266" y="205709"/>
                                  <a:pt x="49640" y="223013"/>
                                  <a:pt x="47481" y="240623"/>
                                </a:cubicBezTo>
                                <a:lnTo>
                                  <a:pt x="47481" y="340506"/>
                                </a:lnTo>
                                <a:cubicBezTo>
                                  <a:pt x="47302" y="347561"/>
                                  <a:pt x="48740" y="354552"/>
                                  <a:pt x="51708" y="360655"/>
                                </a:cubicBezTo>
                                <a:cubicBezTo>
                                  <a:pt x="55665" y="365026"/>
                                  <a:pt x="60880" y="367189"/>
                                  <a:pt x="66276" y="366588"/>
                                </a:cubicBezTo>
                                <a:lnTo>
                                  <a:pt x="66276" y="392860"/>
                                </a:lnTo>
                                <a:lnTo>
                                  <a:pt x="47347" y="391011"/>
                                </a:lnTo>
                                <a:cubicBezTo>
                                  <a:pt x="40894" y="389111"/>
                                  <a:pt x="34712" y="385983"/>
                                  <a:pt x="29046" y="381702"/>
                                </a:cubicBezTo>
                                <a:cubicBezTo>
                                  <a:pt x="20413" y="370887"/>
                                  <a:pt x="16367" y="356132"/>
                                  <a:pt x="17806" y="341395"/>
                                </a:cubicBezTo>
                                <a:lnTo>
                                  <a:pt x="17806" y="236772"/>
                                </a:lnTo>
                                <a:cubicBezTo>
                                  <a:pt x="17806" y="219585"/>
                                  <a:pt x="12050" y="210394"/>
                                  <a:pt x="0" y="210394"/>
                                </a:cubicBezTo>
                                <a:lnTo>
                                  <a:pt x="0" y="184348"/>
                                </a:lnTo>
                                <a:cubicBezTo>
                                  <a:pt x="12050" y="184348"/>
                                  <a:pt x="17806" y="175104"/>
                                  <a:pt x="17806" y="157064"/>
                                </a:cubicBezTo>
                                <a:lnTo>
                                  <a:pt x="17806" y="54210"/>
                                </a:lnTo>
                                <a:cubicBezTo>
                                  <a:pt x="16457" y="39221"/>
                                  <a:pt x="20503" y="24233"/>
                                  <a:pt x="29046" y="13014"/>
                                </a:cubicBezTo>
                                <a:cubicBezTo>
                                  <a:pt x="40197" y="4039"/>
                                  <a:pt x="53776" y="0"/>
                                  <a:pt x="67265" y="1795"/>
                                </a:cubicBezTo>
                                <a:close/>
                              </a:path>
                            </a:pathLst>
                          </a:custGeom>
                          <a:ln w="0" cap="rnd">
                            <a:round/>
                          </a:ln>
                        </wps:spPr>
                        <wps:style>
                          <a:lnRef idx="0">
                            <a:srgbClr val="000000">
                              <a:alpha val="0"/>
                            </a:srgbClr>
                          </a:lnRef>
                          <a:fillRef idx="1">
                            <a:srgbClr val="949494"/>
                          </a:fillRef>
                          <a:effectRef idx="0">
                            <a:scrgbClr r="0" g="0" b="0"/>
                          </a:effectRef>
                          <a:fontRef idx="none"/>
                        </wps:style>
                        <wps:bodyPr/>
                      </wps:wsp>
                      <wps:wsp>
                        <wps:cNvPr id="7141" name="Shape 7141"/>
                        <wps:cNvSpPr/>
                        <wps:spPr>
                          <a:xfrm>
                            <a:off x="1824012" y="676543"/>
                            <a:ext cx="216813" cy="103133"/>
                          </a:xfrm>
                          <a:custGeom>
                            <a:avLst/>
                            <a:gdLst/>
                            <a:ahLst/>
                            <a:cxnLst/>
                            <a:rect l="0" t="0" r="0" b="0"/>
                            <a:pathLst>
                              <a:path w="216813" h="103133">
                                <a:moveTo>
                                  <a:pt x="96671" y="0"/>
                                </a:moveTo>
                                <a:lnTo>
                                  <a:pt x="119153" y="0"/>
                                </a:lnTo>
                                <a:lnTo>
                                  <a:pt x="119153" y="37605"/>
                                </a:lnTo>
                                <a:cubicBezTo>
                                  <a:pt x="119153" y="40567"/>
                                  <a:pt x="121221" y="42991"/>
                                  <a:pt x="123649" y="42991"/>
                                </a:cubicBezTo>
                                <a:lnTo>
                                  <a:pt x="208090" y="42991"/>
                                </a:lnTo>
                                <a:cubicBezTo>
                                  <a:pt x="212946" y="43170"/>
                                  <a:pt x="216813" y="47837"/>
                                  <a:pt x="216813" y="53671"/>
                                </a:cubicBezTo>
                                <a:lnTo>
                                  <a:pt x="216813" y="103133"/>
                                </a:lnTo>
                                <a:lnTo>
                                  <a:pt x="194601" y="103133"/>
                                </a:lnTo>
                                <a:lnTo>
                                  <a:pt x="194601" y="75570"/>
                                </a:lnTo>
                                <a:cubicBezTo>
                                  <a:pt x="194601" y="72617"/>
                                  <a:pt x="192623" y="70230"/>
                                  <a:pt x="190104" y="70230"/>
                                </a:cubicBezTo>
                                <a:lnTo>
                                  <a:pt x="26798" y="70230"/>
                                </a:lnTo>
                                <a:cubicBezTo>
                                  <a:pt x="24370" y="70392"/>
                                  <a:pt x="22482" y="72734"/>
                                  <a:pt x="22482" y="75570"/>
                                </a:cubicBezTo>
                                <a:lnTo>
                                  <a:pt x="22482" y="102540"/>
                                </a:lnTo>
                                <a:lnTo>
                                  <a:pt x="0" y="102540"/>
                                </a:lnTo>
                                <a:lnTo>
                                  <a:pt x="0" y="53671"/>
                                </a:lnTo>
                                <a:cubicBezTo>
                                  <a:pt x="0" y="47747"/>
                                  <a:pt x="4047" y="42991"/>
                                  <a:pt x="8993" y="42991"/>
                                </a:cubicBezTo>
                                <a:lnTo>
                                  <a:pt x="92175" y="42991"/>
                                </a:lnTo>
                                <a:cubicBezTo>
                                  <a:pt x="94692" y="42991"/>
                                  <a:pt x="96671" y="40567"/>
                                  <a:pt x="96671" y="37605"/>
                                </a:cubicBezTo>
                                <a:lnTo>
                                  <a:pt x="96671" y="0"/>
                                </a:lnTo>
                                <a:close/>
                              </a:path>
                            </a:pathLst>
                          </a:custGeom>
                          <a:ln w="0" cap="rnd">
                            <a:round/>
                          </a:ln>
                        </wps:spPr>
                        <wps:style>
                          <a:lnRef idx="0">
                            <a:srgbClr val="000000">
                              <a:alpha val="0"/>
                            </a:srgbClr>
                          </a:lnRef>
                          <a:fillRef idx="1">
                            <a:srgbClr val="005BA1"/>
                          </a:fillRef>
                          <a:effectRef idx="0">
                            <a:scrgbClr r="0" g="0" b="0"/>
                          </a:effectRef>
                          <a:fontRef idx="none"/>
                        </wps:style>
                        <wps:bodyPr/>
                      </wps:wsp>
                      <wps:wsp>
                        <wps:cNvPr id="7142" name="Shape 7142"/>
                        <wps:cNvSpPr/>
                        <wps:spPr>
                          <a:xfrm>
                            <a:off x="1879766" y="561841"/>
                            <a:ext cx="51348" cy="121523"/>
                          </a:xfrm>
                          <a:custGeom>
                            <a:avLst/>
                            <a:gdLst/>
                            <a:ahLst/>
                            <a:cxnLst/>
                            <a:rect l="0" t="0" r="0" b="0"/>
                            <a:pathLst>
                              <a:path w="51348" h="121523">
                                <a:moveTo>
                                  <a:pt x="9442" y="0"/>
                                </a:moveTo>
                                <a:lnTo>
                                  <a:pt x="51348" y="0"/>
                                </a:lnTo>
                                <a:lnTo>
                                  <a:pt x="51348" y="20463"/>
                                </a:lnTo>
                                <a:lnTo>
                                  <a:pt x="23471" y="20463"/>
                                </a:lnTo>
                                <a:cubicBezTo>
                                  <a:pt x="20054" y="20463"/>
                                  <a:pt x="17266" y="23784"/>
                                  <a:pt x="17266" y="27823"/>
                                </a:cubicBezTo>
                                <a:lnTo>
                                  <a:pt x="17266" y="93969"/>
                                </a:lnTo>
                                <a:cubicBezTo>
                                  <a:pt x="17356" y="97918"/>
                                  <a:pt x="20143" y="101060"/>
                                  <a:pt x="23471" y="101060"/>
                                </a:cubicBezTo>
                                <a:lnTo>
                                  <a:pt x="51348" y="101060"/>
                                </a:lnTo>
                                <a:lnTo>
                                  <a:pt x="51348" y="121523"/>
                                </a:lnTo>
                                <a:lnTo>
                                  <a:pt x="9442" y="121523"/>
                                </a:lnTo>
                                <a:cubicBezTo>
                                  <a:pt x="9352" y="121523"/>
                                  <a:pt x="9352" y="121523"/>
                                  <a:pt x="9262" y="121523"/>
                                </a:cubicBezTo>
                                <a:cubicBezTo>
                                  <a:pt x="4137" y="121523"/>
                                  <a:pt x="0" y="116586"/>
                                  <a:pt x="0" y="110573"/>
                                </a:cubicBezTo>
                                <a:lnTo>
                                  <a:pt x="0" y="10950"/>
                                </a:lnTo>
                                <a:cubicBezTo>
                                  <a:pt x="90" y="4846"/>
                                  <a:pt x="4316" y="0"/>
                                  <a:pt x="9442" y="0"/>
                                </a:cubicBezTo>
                                <a:close/>
                              </a:path>
                            </a:pathLst>
                          </a:custGeom>
                          <a:ln w="0" cap="rnd">
                            <a:round/>
                          </a:ln>
                        </wps:spPr>
                        <wps:style>
                          <a:lnRef idx="0">
                            <a:srgbClr val="000000">
                              <a:alpha val="0"/>
                            </a:srgbClr>
                          </a:lnRef>
                          <a:fillRef idx="1">
                            <a:srgbClr val="0078D4"/>
                          </a:fillRef>
                          <a:effectRef idx="0">
                            <a:scrgbClr r="0" g="0" b="0"/>
                          </a:effectRef>
                          <a:fontRef idx="none"/>
                        </wps:style>
                        <wps:bodyPr/>
                      </wps:wsp>
                      <wps:wsp>
                        <wps:cNvPr id="7143" name="Shape 7143"/>
                        <wps:cNvSpPr/>
                        <wps:spPr>
                          <a:xfrm>
                            <a:off x="1931114" y="561661"/>
                            <a:ext cx="51797" cy="122062"/>
                          </a:xfrm>
                          <a:custGeom>
                            <a:avLst/>
                            <a:gdLst/>
                            <a:ahLst/>
                            <a:cxnLst/>
                            <a:rect l="0" t="0" r="0" b="0"/>
                            <a:pathLst>
                              <a:path w="51797" h="122062">
                                <a:moveTo>
                                  <a:pt x="0" y="180"/>
                                </a:moveTo>
                                <a:lnTo>
                                  <a:pt x="42086" y="180"/>
                                </a:lnTo>
                                <a:cubicBezTo>
                                  <a:pt x="47301" y="0"/>
                                  <a:pt x="51708" y="4937"/>
                                  <a:pt x="51797" y="11129"/>
                                </a:cubicBezTo>
                                <a:lnTo>
                                  <a:pt x="51797" y="110753"/>
                                </a:lnTo>
                                <a:cubicBezTo>
                                  <a:pt x="51797" y="110932"/>
                                  <a:pt x="51797" y="111112"/>
                                  <a:pt x="51797" y="111291"/>
                                </a:cubicBezTo>
                                <a:cubicBezTo>
                                  <a:pt x="51528" y="117394"/>
                                  <a:pt x="47121" y="122062"/>
                                  <a:pt x="42086" y="121702"/>
                                </a:cubicBezTo>
                                <a:lnTo>
                                  <a:pt x="0" y="121702"/>
                                </a:lnTo>
                                <a:lnTo>
                                  <a:pt x="0" y="101239"/>
                                </a:lnTo>
                                <a:lnTo>
                                  <a:pt x="27787" y="101239"/>
                                </a:lnTo>
                                <a:cubicBezTo>
                                  <a:pt x="31204" y="101239"/>
                                  <a:pt x="33902" y="98098"/>
                                  <a:pt x="34082" y="94149"/>
                                </a:cubicBezTo>
                                <a:lnTo>
                                  <a:pt x="33093" y="28002"/>
                                </a:lnTo>
                                <a:cubicBezTo>
                                  <a:pt x="33093" y="23964"/>
                                  <a:pt x="30305" y="20643"/>
                                  <a:pt x="26798" y="20643"/>
                                </a:cubicBezTo>
                                <a:lnTo>
                                  <a:pt x="0" y="20643"/>
                                </a:lnTo>
                                <a:lnTo>
                                  <a:pt x="0" y="180"/>
                                </a:lnTo>
                                <a:close/>
                              </a:path>
                            </a:pathLst>
                          </a:custGeom>
                          <a:ln w="0" cap="rnd">
                            <a:round/>
                          </a:ln>
                        </wps:spPr>
                        <wps:style>
                          <a:lnRef idx="0">
                            <a:srgbClr val="000000">
                              <a:alpha val="0"/>
                            </a:srgbClr>
                          </a:lnRef>
                          <a:fillRef idx="1">
                            <a:srgbClr val="0078D4"/>
                          </a:fillRef>
                          <a:effectRef idx="0">
                            <a:scrgbClr r="0" g="0" b="0"/>
                          </a:effectRef>
                          <a:fontRef idx="none"/>
                        </wps:style>
                        <wps:bodyPr/>
                      </wps:wsp>
                      <pic:pic xmlns:pic="http://schemas.openxmlformats.org/drawingml/2006/picture">
                        <pic:nvPicPr>
                          <pic:cNvPr id="94654" name="Picture 94654"/>
                          <pic:cNvPicPr/>
                        </pic:nvPicPr>
                        <pic:blipFill>
                          <a:blip r:embed="rId40"/>
                          <a:stretch>
                            <a:fillRect/>
                          </a:stretch>
                        </pic:blipFill>
                        <pic:spPr>
                          <a:xfrm>
                            <a:off x="1792757" y="775604"/>
                            <a:ext cx="79248" cy="91440"/>
                          </a:xfrm>
                          <a:prstGeom prst="rect">
                            <a:avLst/>
                          </a:prstGeom>
                        </pic:spPr>
                      </pic:pic>
                      <pic:pic xmlns:pic="http://schemas.openxmlformats.org/drawingml/2006/picture">
                        <pic:nvPicPr>
                          <pic:cNvPr id="94655" name="Picture 94655"/>
                          <pic:cNvPicPr/>
                        </pic:nvPicPr>
                        <pic:blipFill>
                          <a:blip r:embed="rId41"/>
                          <a:stretch>
                            <a:fillRect/>
                          </a:stretch>
                        </pic:blipFill>
                        <pic:spPr>
                          <a:xfrm>
                            <a:off x="1986813" y="775604"/>
                            <a:ext cx="79248" cy="91440"/>
                          </a:xfrm>
                          <a:prstGeom prst="rect">
                            <a:avLst/>
                          </a:prstGeom>
                        </pic:spPr>
                      </pic:pic>
                      <wps:wsp>
                        <wps:cNvPr id="7147" name="Rectangle 7147"/>
                        <wps:cNvSpPr/>
                        <wps:spPr>
                          <a:xfrm>
                            <a:off x="1757376" y="942333"/>
                            <a:ext cx="465010" cy="109729"/>
                          </a:xfrm>
                          <a:prstGeom prst="rect">
                            <a:avLst/>
                          </a:prstGeom>
                          <a:ln>
                            <a:noFill/>
                          </a:ln>
                        </wps:spPr>
                        <wps:txbx>
                          <w:txbxContent>
                            <w:p w14:paraId="6DAFCF86" w14:textId="77777777" w:rsidR="003F0DB8" w:rsidRDefault="00000000">
                              <w:pPr>
                                <w:spacing w:after="160" w:line="259" w:lineRule="auto"/>
                                <w:ind w:left="0" w:firstLine="0"/>
                              </w:pPr>
                              <w:r>
                                <w:rPr>
                                  <w:rFonts w:ascii="Calibri" w:eastAsia="Calibri" w:hAnsi="Calibri" w:cs="Calibri"/>
                                  <w:sz w:val="13"/>
                                </w:rPr>
                                <w:t>Logic Apps</w:t>
                              </w:r>
                            </w:p>
                          </w:txbxContent>
                        </wps:txbx>
                        <wps:bodyPr horzOverflow="overflow" vert="horz" lIns="0" tIns="0" rIns="0" bIns="0" rtlCol="0">
                          <a:noAutofit/>
                        </wps:bodyPr>
                      </wps:wsp>
                      <wps:wsp>
                        <wps:cNvPr id="7149" name="Shape 7149"/>
                        <wps:cNvSpPr/>
                        <wps:spPr>
                          <a:xfrm>
                            <a:off x="1763761" y="1293131"/>
                            <a:ext cx="106113" cy="108796"/>
                          </a:xfrm>
                          <a:custGeom>
                            <a:avLst/>
                            <a:gdLst/>
                            <a:ahLst/>
                            <a:cxnLst/>
                            <a:rect l="0" t="0" r="0" b="0"/>
                            <a:pathLst>
                              <a:path w="106113" h="108796">
                                <a:moveTo>
                                  <a:pt x="15018" y="0"/>
                                </a:moveTo>
                                <a:lnTo>
                                  <a:pt x="104135" y="88665"/>
                                </a:lnTo>
                                <a:cubicBezTo>
                                  <a:pt x="106113" y="90622"/>
                                  <a:pt x="106113" y="93799"/>
                                  <a:pt x="104135" y="95755"/>
                                </a:cubicBezTo>
                                <a:lnTo>
                                  <a:pt x="104045" y="95783"/>
                                </a:lnTo>
                                <a:lnTo>
                                  <a:pt x="93074" y="106831"/>
                                </a:lnTo>
                                <a:cubicBezTo>
                                  <a:pt x="91096" y="108787"/>
                                  <a:pt x="87858" y="108796"/>
                                  <a:pt x="85970" y="106840"/>
                                </a:cubicBezTo>
                                <a:lnTo>
                                  <a:pt x="3957" y="25265"/>
                                </a:lnTo>
                                <a:cubicBezTo>
                                  <a:pt x="0" y="21361"/>
                                  <a:pt x="0" y="15015"/>
                                  <a:pt x="3957" y="11102"/>
                                </a:cubicBezTo>
                                <a:lnTo>
                                  <a:pt x="15018" y="0"/>
                                </a:lnTo>
                                <a:close/>
                              </a:path>
                            </a:pathLst>
                          </a:custGeom>
                          <a:ln w="0" cap="rnd">
                            <a:round/>
                          </a:ln>
                        </wps:spPr>
                        <wps:style>
                          <a:lnRef idx="0">
                            <a:srgbClr val="000000">
                              <a:alpha val="0"/>
                            </a:srgbClr>
                          </a:lnRef>
                          <a:fillRef idx="1">
                            <a:srgbClr val="50E6FF"/>
                          </a:fillRef>
                          <a:effectRef idx="0">
                            <a:scrgbClr r="0" g="0" b="0"/>
                          </a:effectRef>
                          <a:fontRef idx="none"/>
                        </wps:style>
                        <wps:bodyPr/>
                      </wps:wsp>
                      <wps:wsp>
                        <wps:cNvPr id="7151" name="Shape 7151"/>
                        <wps:cNvSpPr/>
                        <wps:spPr>
                          <a:xfrm>
                            <a:off x="1763671" y="1221600"/>
                            <a:ext cx="104495" cy="107692"/>
                          </a:xfrm>
                          <a:custGeom>
                            <a:avLst/>
                            <a:gdLst/>
                            <a:ahLst/>
                            <a:cxnLst/>
                            <a:rect l="0" t="0" r="0" b="0"/>
                            <a:pathLst>
                              <a:path w="104495" h="107692">
                                <a:moveTo>
                                  <a:pt x="84351" y="1939"/>
                                </a:moveTo>
                                <a:cubicBezTo>
                                  <a:pt x="86329" y="0"/>
                                  <a:pt x="89477" y="9"/>
                                  <a:pt x="91455" y="1956"/>
                                </a:cubicBezTo>
                                <a:lnTo>
                                  <a:pt x="102516" y="13005"/>
                                </a:lnTo>
                                <a:cubicBezTo>
                                  <a:pt x="104495" y="14961"/>
                                  <a:pt x="104495" y="18138"/>
                                  <a:pt x="102516" y="20104"/>
                                </a:cubicBezTo>
                                <a:lnTo>
                                  <a:pt x="15018" y="107692"/>
                                </a:lnTo>
                                <a:lnTo>
                                  <a:pt x="3867" y="96626"/>
                                </a:lnTo>
                                <a:cubicBezTo>
                                  <a:pt x="0" y="92721"/>
                                  <a:pt x="0" y="86376"/>
                                  <a:pt x="3867" y="82463"/>
                                </a:cubicBezTo>
                                <a:lnTo>
                                  <a:pt x="84351" y="1939"/>
                                </a:lnTo>
                                <a:close/>
                              </a:path>
                            </a:pathLst>
                          </a:custGeom>
                          <a:ln w="0" cap="rnd">
                            <a:round/>
                          </a:ln>
                        </wps:spPr>
                        <wps:style>
                          <a:lnRef idx="0">
                            <a:srgbClr val="000000">
                              <a:alpha val="0"/>
                            </a:srgbClr>
                          </a:lnRef>
                          <a:fillRef idx="1">
                            <a:srgbClr val="1490DF"/>
                          </a:fillRef>
                          <a:effectRef idx="0">
                            <a:scrgbClr r="0" g="0" b="0"/>
                          </a:effectRef>
                          <a:fontRef idx="none"/>
                        </wps:style>
                        <wps:bodyPr/>
                      </wps:wsp>
                      <wps:wsp>
                        <wps:cNvPr id="7153" name="Shape 7153"/>
                        <wps:cNvSpPr/>
                        <wps:spPr>
                          <a:xfrm>
                            <a:off x="1996131" y="1293275"/>
                            <a:ext cx="106023" cy="108715"/>
                          </a:xfrm>
                          <a:custGeom>
                            <a:avLst/>
                            <a:gdLst/>
                            <a:ahLst/>
                            <a:cxnLst/>
                            <a:rect l="0" t="0" r="0" b="0"/>
                            <a:pathLst>
                              <a:path w="106023" h="108715">
                                <a:moveTo>
                                  <a:pt x="91068" y="0"/>
                                </a:moveTo>
                                <a:lnTo>
                                  <a:pt x="102067" y="11021"/>
                                </a:lnTo>
                                <a:cubicBezTo>
                                  <a:pt x="106023" y="14934"/>
                                  <a:pt x="106023" y="21280"/>
                                  <a:pt x="102067" y="25184"/>
                                </a:cubicBezTo>
                                <a:lnTo>
                                  <a:pt x="20144" y="106759"/>
                                </a:lnTo>
                                <a:cubicBezTo>
                                  <a:pt x="18165" y="108715"/>
                                  <a:pt x="14928" y="108706"/>
                                  <a:pt x="13039" y="106750"/>
                                </a:cubicBezTo>
                                <a:lnTo>
                                  <a:pt x="1978" y="95719"/>
                                </a:lnTo>
                                <a:cubicBezTo>
                                  <a:pt x="0" y="93754"/>
                                  <a:pt x="0" y="90577"/>
                                  <a:pt x="1978" y="88620"/>
                                </a:cubicBezTo>
                                <a:lnTo>
                                  <a:pt x="91068" y="0"/>
                                </a:lnTo>
                                <a:close/>
                              </a:path>
                            </a:pathLst>
                          </a:custGeom>
                          <a:ln w="0" cap="rnd">
                            <a:round/>
                          </a:ln>
                        </wps:spPr>
                        <wps:style>
                          <a:lnRef idx="0">
                            <a:srgbClr val="000000">
                              <a:alpha val="0"/>
                            </a:srgbClr>
                          </a:lnRef>
                          <a:fillRef idx="1">
                            <a:srgbClr val="50E6FF"/>
                          </a:fillRef>
                          <a:effectRef idx="0">
                            <a:scrgbClr r="0" g="0" b="0"/>
                          </a:effectRef>
                          <a:fontRef idx="none"/>
                        </wps:style>
                        <wps:bodyPr/>
                      </wps:wsp>
                      <wps:wsp>
                        <wps:cNvPr id="7154" name="Shape 7154"/>
                        <wps:cNvSpPr/>
                        <wps:spPr>
                          <a:xfrm>
                            <a:off x="2087137" y="1293212"/>
                            <a:ext cx="90" cy="63"/>
                          </a:xfrm>
                          <a:custGeom>
                            <a:avLst/>
                            <a:gdLst/>
                            <a:ahLst/>
                            <a:cxnLst/>
                            <a:rect l="0" t="0" r="0" b="0"/>
                            <a:pathLst>
                              <a:path w="90" h="63">
                                <a:moveTo>
                                  <a:pt x="0" y="0"/>
                                </a:moveTo>
                                <a:lnTo>
                                  <a:pt x="90" y="36"/>
                                </a:lnTo>
                                <a:lnTo>
                                  <a:pt x="63" y="63"/>
                                </a:lnTo>
                                <a:lnTo>
                                  <a:pt x="0" y="0"/>
                                </a:lnTo>
                                <a:close/>
                              </a:path>
                            </a:pathLst>
                          </a:custGeom>
                          <a:ln w="0" cap="rnd">
                            <a:round/>
                          </a:ln>
                        </wps:spPr>
                        <wps:style>
                          <a:lnRef idx="0">
                            <a:srgbClr val="000000">
                              <a:alpha val="0"/>
                            </a:srgbClr>
                          </a:lnRef>
                          <a:fillRef idx="1">
                            <a:srgbClr val="50E6FF"/>
                          </a:fillRef>
                          <a:effectRef idx="0">
                            <a:scrgbClr r="0" g="0" b="0"/>
                          </a:effectRef>
                          <a:fontRef idx="none"/>
                        </wps:style>
                        <wps:bodyPr/>
                      </wps:wsp>
                      <wps:wsp>
                        <wps:cNvPr id="7156" name="Shape 7156"/>
                        <wps:cNvSpPr/>
                        <wps:spPr>
                          <a:xfrm>
                            <a:off x="1997750" y="1221537"/>
                            <a:ext cx="104495" cy="107692"/>
                          </a:xfrm>
                          <a:custGeom>
                            <a:avLst/>
                            <a:gdLst/>
                            <a:ahLst/>
                            <a:cxnLst/>
                            <a:rect l="0" t="0" r="0" b="0"/>
                            <a:pathLst>
                              <a:path w="104495" h="107692">
                                <a:moveTo>
                                  <a:pt x="13039" y="1956"/>
                                </a:moveTo>
                                <a:cubicBezTo>
                                  <a:pt x="15018" y="0"/>
                                  <a:pt x="18165" y="0"/>
                                  <a:pt x="20144" y="1965"/>
                                </a:cubicBezTo>
                                <a:lnTo>
                                  <a:pt x="100628" y="82490"/>
                                </a:lnTo>
                                <a:cubicBezTo>
                                  <a:pt x="104495" y="86412"/>
                                  <a:pt x="104495" y="92749"/>
                                  <a:pt x="100628" y="96653"/>
                                </a:cubicBezTo>
                                <a:lnTo>
                                  <a:pt x="100538" y="96644"/>
                                </a:lnTo>
                                <a:lnTo>
                                  <a:pt x="89477" y="107692"/>
                                </a:lnTo>
                                <a:lnTo>
                                  <a:pt x="1978" y="20104"/>
                                </a:lnTo>
                                <a:cubicBezTo>
                                  <a:pt x="0" y="18138"/>
                                  <a:pt x="0" y="14961"/>
                                  <a:pt x="1978" y="13005"/>
                                </a:cubicBezTo>
                                <a:lnTo>
                                  <a:pt x="13039" y="1956"/>
                                </a:lnTo>
                                <a:close/>
                              </a:path>
                            </a:pathLst>
                          </a:custGeom>
                          <a:ln w="0" cap="rnd">
                            <a:round/>
                          </a:ln>
                        </wps:spPr>
                        <wps:style>
                          <a:lnRef idx="0">
                            <a:srgbClr val="000000">
                              <a:alpha val="0"/>
                            </a:srgbClr>
                          </a:lnRef>
                          <a:fillRef idx="1">
                            <a:srgbClr val="1490DF"/>
                          </a:fillRef>
                          <a:effectRef idx="0">
                            <a:scrgbClr r="0" g="0" b="0"/>
                          </a:effectRef>
                          <a:fontRef idx="none"/>
                        </wps:style>
                        <wps:bodyPr/>
                      </wps:wsp>
                      <pic:pic xmlns:pic="http://schemas.openxmlformats.org/drawingml/2006/picture">
                        <pic:nvPicPr>
                          <pic:cNvPr id="94656" name="Picture 94656"/>
                          <pic:cNvPicPr/>
                        </pic:nvPicPr>
                        <pic:blipFill>
                          <a:blip r:embed="rId42"/>
                          <a:stretch>
                            <a:fillRect/>
                          </a:stretch>
                        </pic:blipFill>
                        <pic:spPr>
                          <a:xfrm>
                            <a:off x="1846604" y="1156604"/>
                            <a:ext cx="176784" cy="301752"/>
                          </a:xfrm>
                          <a:prstGeom prst="rect">
                            <a:avLst/>
                          </a:prstGeom>
                        </pic:spPr>
                      </pic:pic>
                      <pic:pic xmlns:pic="http://schemas.openxmlformats.org/drawingml/2006/picture">
                        <pic:nvPicPr>
                          <pic:cNvPr id="94652" name="Picture 94652"/>
                          <pic:cNvPicPr/>
                        </pic:nvPicPr>
                        <pic:blipFill>
                          <a:blip r:embed="rId43"/>
                          <a:stretch>
                            <a:fillRect/>
                          </a:stretch>
                        </pic:blipFill>
                        <pic:spPr>
                          <a:xfrm>
                            <a:off x="2478557" y="396"/>
                            <a:ext cx="1011936" cy="929640"/>
                          </a:xfrm>
                          <a:prstGeom prst="rect">
                            <a:avLst/>
                          </a:prstGeom>
                        </pic:spPr>
                      </pic:pic>
                      <pic:pic xmlns:pic="http://schemas.openxmlformats.org/drawingml/2006/picture">
                        <pic:nvPicPr>
                          <pic:cNvPr id="94653" name="Picture 94653"/>
                          <pic:cNvPicPr/>
                        </pic:nvPicPr>
                        <pic:blipFill>
                          <a:blip r:embed="rId44"/>
                          <a:stretch>
                            <a:fillRect/>
                          </a:stretch>
                        </pic:blipFill>
                        <pic:spPr>
                          <a:xfrm>
                            <a:off x="2850413" y="600853"/>
                            <a:ext cx="192024" cy="188976"/>
                          </a:xfrm>
                          <a:prstGeom prst="rect">
                            <a:avLst/>
                          </a:prstGeom>
                        </pic:spPr>
                      </pic:pic>
                      <wps:wsp>
                        <wps:cNvPr id="7160" name="Shape 7160"/>
                        <wps:cNvSpPr/>
                        <wps:spPr>
                          <a:xfrm>
                            <a:off x="3530547" y="428381"/>
                            <a:ext cx="934606" cy="0"/>
                          </a:xfrm>
                          <a:custGeom>
                            <a:avLst/>
                            <a:gdLst/>
                            <a:ahLst/>
                            <a:cxnLst/>
                            <a:rect l="0" t="0" r="0" b="0"/>
                            <a:pathLst>
                              <a:path w="934606">
                                <a:moveTo>
                                  <a:pt x="934606" y="0"/>
                                </a:moveTo>
                                <a:lnTo>
                                  <a:pt x="0" y="0"/>
                                </a:lnTo>
                              </a:path>
                            </a:pathLst>
                          </a:custGeom>
                          <a:ln w="8975" cap="rnd">
                            <a:round/>
                          </a:ln>
                        </wps:spPr>
                        <wps:style>
                          <a:lnRef idx="1">
                            <a:srgbClr val="156082"/>
                          </a:lnRef>
                          <a:fillRef idx="0">
                            <a:srgbClr val="000000">
                              <a:alpha val="0"/>
                            </a:srgbClr>
                          </a:fillRef>
                          <a:effectRef idx="0">
                            <a:scrgbClr r="0" g="0" b="0"/>
                          </a:effectRef>
                          <a:fontRef idx="none"/>
                        </wps:style>
                        <wps:bodyPr/>
                      </wps:wsp>
                      <wps:wsp>
                        <wps:cNvPr id="7161" name="Shape 7161"/>
                        <wps:cNvSpPr/>
                        <wps:spPr>
                          <a:xfrm>
                            <a:off x="4457240" y="396789"/>
                            <a:ext cx="63308" cy="63185"/>
                          </a:xfrm>
                          <a:custGeom>
                            <a:avLst/>
                            <a:gdLst/>
                            <a:ahLst/>
                            <a:cxnLst/>
                            <a:rect l="0" t="0" r="0" b="0"/>
                            <a:pathLst>
                              <a:path w="63308" h="63185">
                                <a:moveTo>
                                  <a:pt x="0" y="0"/>
                                </a:moveTo>
                                <a:lnTo>
                                  <a:pt x="63308" y="31592"/>
                                </a:lnTo>
                                <a:lnTo>
                                  <a:pt x="0" y="63185"/>
                                </a:lnTo>
                                <a:lnTo>
                                  <a:pt x="0" y="0"/>
                                </a:lnTo>
                                <a:close/>
                              </a:path>
                            </a:pathLst>
                          </a:custGeom>
                          <a:ln w="0" cap="rnd">
                            <a:round/>
                          </a:ln>
                        </wps:spPr>
                        <wps:style>
                          <a:lnRef idx="0">
                            <a:srgbClr val="000000">
                              <a:alpha val="0"/>
                            </a:srgbClr>
                          </a:lnRef>
                          <a:fillRef idx="1">
                            <a:srgbClr val="156082"/>
                          </a:fillRef>
                          <a:effectRef idx="0">
                            <a:scrgbClr r="0" g="0" b="0"/>
                          </a:effectRef>
                          <a:fontRef idx="none"/>
                        </wps:style>
                        <wps:bodyPr/>
                      </wps:wsp>
                      <wps:wsp>
                        <wps:cNvPr id="7162" name="Shape 7162"/>
                        <wps:cNvSpPr/>
                        <wps:spPr>
                          <a:xfrm>
                            <a:off x="3475152" y="396789"/>
                            <a:ext cx="63308" cy="63185"/>
                          </a:xfrm>
                          <a:custGeom>
                            <a:avLst/>
                            <a:gdLst/>
                            <a:ahLst/>
                            <a:cxnLst/>
                            <a:rect l="0" t="0" r="0" b="0"/>
                            <a:pathLst>
                              <a:path w="63308" h="63185">
                                <a:moveTo>
                                  <a:pt x="63308" y="0"/>
                                </a:moveTo>
                                <a:lnTo>
                                  <a:pt x="63308" y="63185"/>
                                </a:lnTo>
                                <a:lnTo>
                                  <a:pt x="0" y="31592"/>
                                </a:lnTo>
                                <a:lnTo>
                                  <a:pt x="63308" y="0"/>
                                </a:lnTo>
                                <a:close/>
                              </a:path>
                            </a:pathLst>
                          </a:custGeom>
                          <a:ln w="0" cap="rnd">
                            <a:round/>
                          </a:ln>
                        </wps:spPr>
                        <wps:style>
                          <a:lnRef idx="0">
                            <a:srgbClr val="000000">
                              <a:alpha val="0"/>
                            </a:srgbClr>
                          </a:lnRef>
                          <a:fillRef idx="1">
                            <a:srgbClr val="156082"/>
                          </a:fillRef>
                          <a:effectRef idx="0">
                            <a:scrgbClr r="0" g="0" b="0"/>
                          </a:effectRef>
                          <a:fontRef idx="none"/>
                        </wps:style>
                        <wps:bodyPr/>
                      </wps:wsp>
                    </wpg:wgp>
                  </a:graphicData>
                </a:graphic>
              </wp:inline>
            </w:drawing>
          </mc:Choice>
          <mc:Fallback>
            <w:pict>
              <v:group w14:anchorId="086B0252" id="Group 86946" o:spid="_x0000_s1149" style="width:476.4pt;height:115.1pt;mso-position-horizontal-relative:char;mso-position-vertical-relative:line" coordsize="60500,14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">
                <v:shape id="Shape 7127" o:spid="_x0000_s1150" style="position:absolute;left:45205;top:763;width:15295;height:7041;visibility:visible;mso-wrap-style:square;v-text-anchor:top" coordsize="1529470,704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" path="m,l1529470,r,704069l,704069,,xe" fillcolor="#83caeb" stroked="f" strokeweight="0">
                  <v:stroke miterlimit="83231f" joinstyle="miter"/>
                  <v:path arrowok="t" textboxrect="0,0,1529470,704069"/>
                </v:shape>
                <v:rect id="Rectangle 7129" o:spid="_x0000_s1151" style="position:absolute;left:51026;top:3147;width:491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" filled="f" stroked="f">
                  <v:textbox inset="0,0,0,0">
                    <w:txbxContent>
                      <w:p w14:paraId="4F993693" w14:textId="77777777" w:rsidR="003F0DB8" w:rsidRDefault="00000000">
                        <w:pPr>
                          <w:spacing w:after="160" w:line="259" w:lineRule="auto"/>
                          <w:ind w:left="0" w:firstLine="0"/>
                        </w:pPr>
                        <w:r>
                          <w:rPr>
                            <w:rFonts w:ascii="Calibri" w:eastAsia="Calibri" w:hAnsi="Calibri" w:cs="Calibri"/>
                            <w:color w:val="FEFFFF"/>
                            <w:sz w:val="17"/>
                          </w:rPr>
                          <w:t>D365 RP</w:t>
                        </w:r>
                      </w:p>
                    </w:txbxContent>
                  </v:textbox>
                </v:rect>
                <v:rect id="Rectangle 7131" o:spid="_x0000_s1152" style="position:absolute;left:51831;top:4444;width:2811;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jAQ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B1/xfD3JjwBOXkCAAD//wMAUEsBAi0AFAAGAAgAAAAhANvh9svuAAAAhQEAABMAAAAAAAAA&#10;AAAAAAAAAAAAAFtDb250ZW50X1R5cGVzXS54bWxQSwECLQAUAAYACAAAACEAWvQsW78AAAAVAQAA&#10;CwAAAAAAAAAAAAAAAAAfAQAAX3JlbHMvLnJlbHNQSwECLQAUAAYACAAAACEAjL4wEMYAAADdAAAA&#10;DwAAAAAAAAAAAAAAAAAHAgAAZHJzL2Rvd25yZXYueG1sUEsFBgAAAAADAAMAtwAAAPoCAAAAAA==&#10;" filled="f" stroked="f">
                  <v:textbox inset="0,0,0,0">
                    <w:txbxContent>
                      <w:p w14:paraId="095A0A52" w14:textId="77777777" w:rsidR="003F0DB8" w:rsidRDefault="00000000">
                        <w:pPr>
                          <w:spacing w:after="160" w:line="259" w:lineRule="auto"/>
                          <w:ind w:left="0" w:firstLine="0"/>
                        </w:pPr>
                        <w:r>
                          <w:rPr>
                            <w:rFonts w:ascii="Calibri" w:eastAsia="Calibri" w:hAnsi="Calibri" w:cs="Calibri"/>
                            <w:color w:val="FEFFFF"/>
                            <w:sz w:val="17"/>
                          </w:rPr>
                          <w:t>CRM</w:t>
                        </w:r>
                      </w:p>
                    </w:txbxContent>
                  </v:textbox>
                </v:rect>
                <v:shape id="Shape 7132" o:spid="_x0000_s1153" style="position:absolute;top:602;width:15294;height:7019;visibility:visible;mso-wrap-style:square;v-text-anchor:top" coordsize="1529470,701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" path="m,l1529470,r,701852l,701852,,xe" fillcolor="#8ed873" stroked="f" strokeweight="0">
                  <v:stroke miterlimit="83231f" joinstyle="miter"/>
                  <v:path arrowok="t" textboxrect="0,0,1529470,701852"/>
                </v:shape>
                <v:rect id="Rectangle 7134" o:spid="_x0000_s1154" style="position:absolute;left:6341;top:3623;width:3418;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" filled="f" stroked="f">
                  <v:textbox inset="0,0,0,0">
                    <w:txbxContent>
                      <w:p w14:paraId="711A365F" w14:textId="77777777" w:rsidR="003F0DB8" w:rsidRDefault="00000000">
                        <w:pPr>
                          <w:spacing w:after="160" w:line="259" w:lineRule="auto"/>
                          <w:ind w:left="0" w:firstLine="0"/>
                        </w:pPr>
                        <w:r>
                          <w:rPr>
                            <w:rFonts w:ascii="Calibri" w:eastAsia="Calibri" w:hAnsi="Calibri" w:cs="Calibri"/>
                            <w:b/>
                            <w:color w:val="FEFFFF"/>
                            <w:sz w:val="17"/>
                          </w:rPr>
                          <w:t>SOAD</w:t>
                        </w:r>
                      </w:p>
                    </w:txbxContent>
                  </v:textbox>
                </v:rect>
                <v:shape id="Shape 7135" o:spid="_x0000_s1155" style="position:absolute;left:15848;top:4111;width:8477;height:0;visibility:visible;mso-wrap-style:square;v-text-anchor:top" coordsize="847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" path="m847648,l,e" filled="f" strokecolor="#156082" strokeweight=".24931mm">
                  <v:stroke endcap="round"/>
                  <v:path arrowok="t" textboxrect="0,0,847648,0"/>
                </v:shape>
                <v:shape id="Shape 7136" o:spid="_x0000_s1156" style="position:absolute;left:24246;top:3795;width:633;height:632;visibility:visible;mso-wrap-style:square;v-text-anchor:top" coordsize="63308,6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" path="m,l63308,31592,,63185,,xe" fillcolor="#156082" stroked="f" strokeweight="0">
                  <v:stroke endcap="round"/>
                  <v:path arrowok="t" textboxrect="0,0,63308,63185"/>
                </v:shape>
                <v:shape id="Shape 7137" o:spid="_x0000_s1157" style="position:absolute;left:15295;top:3795;width:633;height:632;visibility:visible;mso-wrap-style:square;v-text-anchor:top" coordsize="63308,6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" path="m63308,r,63185l,31592,63308,xe" fillcolor="#156082" stroked="f" strokeweight="0">
                  <v:stroke endcap="round"/>
                  <v:path arrowok="t" textboxrect="0,0,63308,63185"/>
                </v:shape>
                <v:shape id="Shape 7138" o:spid="_x0000_s1158" style="position:absolute;left:17868;top:9289;width:10;height:1;visibility:visible;mso-wrap-style:square;v-text-anchor:top" coordsize="9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" path="m,l989,97,,97,,xe" fillcolor="#949494" stroked="f" strokeweight="0">
                  <v:stroke endcap="round"/>
                  <v:path arrowok="t" textboxrect="0,0,989,97"/>
                </v:shape>
                <v:shape id="Shape 7139" o:spid="_x0000_s1159" style="position:absolute;left:20780;top:5366;width:673;height:3939;visibility:visible;mso-wrap-style:square;v-text-anchor:top" coordsize="67265,393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" path="m,1257c13489,,26888,3949,38219,12475v8633,10860,12679,25579,11241,40299l49460,157423v,17143,5755,26387,17805,26387l67265,209856v-12050,,-17805,9190,-17805,27266l49460,338783v1438,15096,-2698,30183,-11241,41492c27158,389609,13579,393917,,392418l,366049v12770,,19784,-8006,19784,-25193l19784,240084v,-23111,5755,-37337,18435,-43260c25000,188477,17626,171155,19784,153564r,-99893c19964,46581,18525,39580,15557,33477,11601,29169,6385,27015,989,27553l,1257xe" fillcolor="#949494" stroked="f" strokeweight="0">
                  <v:stroke endcap="round"/>
                  <v:path arrowok="t" textboxrect="0,0,67265,393917"/>
                </v:shape>
                <v:shape id="Shape 7140" o:spid="_x0000_s1160" style="position:absolute;left:17205;top:5360;width:673;height:3929;visibility:visible;mso-wrap-style:square;v-text-anchor:top" coordsize="67265,39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" path="m67265,1795r,26297c54496,28092,47481,36170,47481,53312r,100791c47481,177169,41726,191439,29046,197362v13220,8347,20594,25651,18435,43261l47481,340506v-179,7055,1259,14046,4227,20149c55665,365026,60880,367189,66276,366588r,26272l47347,391011v-6453,-1900,-12635,-5028,-18301,-9309c20413,370887,16367,356132,17806,341395r,-104623c17806,219585,12050,210394,,210394l,184348v12050,,17806,-9244,17806,-27284l17806,54210c16457,39221,20503,24233,29046,13014,40197,4039,53776,,67265,1795xe" fillcolor="#949494" stroked="f" strokeweight="0">
                  <v:stroke endcap="round"/>
                  <v:path arrowok="t" textboxrect="0,0,67265,392860"/>
                </v:shape>
                <v:shape id="Shape 7141" o:spid="_x0000_s1161" style="position:absolute;left:18240;top:6765;width:2168;height:1031;visibility:visible;mso-wrap-style:square;v-text-anchor:top" coordsize="216813,103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" path="m96671,r22482,l119153,37605v,2962,2068,5386,4496,5386l208090,42991v4856,179,8723,4846,8723,10680l216813,103133r-22212,l194601,75570v,-2953,-1978,-5340,-4497,-5340l26798,70230v-2428,162,-4316,2504,-4316,5340l22482,102540,,102540,,53671c,47747,4047,42991,8993,42991r83182,c94692,42991,96671,40567,96671,37605l96671,xe" fillcolor="#005ba1" stroked="f" strokeweight="0">
                  <v:stroke endcap="round"/>
                  <v:path arrowok="t" textboxrect="0,0,216813,103133"/>
                </v:shape>
                <v:shape id="Shape 7142" o:spid="_x0000_s1162" style="position:absolute;left:18797;top:5618;width:514;height:1215;visibility:visible;mso-wrap-style:square;v-text-anchor:top" coordsize="51348,12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" path="m9442,l51348,r,20463l23471,20463v-3417,,-6205,3321,-6205,7360l17266,93969v90,3949,2877,7091,6205,7091l51348,101060r,20463l9442,121523v-90,,-90,,-180,c4137,121523,,116586,,110573l,10950c90,4846,4316,,9442,xe" fillcolor="#0078d4" stroked="f" strokeweight="0">
                  <v:stroke endcap="round"/>
                  <v:path arrowok="t" textboxrect="0,0,51348,121523"/>
                </v:shape>
                <v:shape id="Shape 7143" o:spid="_x0000_s1163" style="position:absolute;left:19311;top:5616;width:518;height:1221;visibility:visible;mso-wrap-style:square;v-text-anchor:top" coordsize="51797,12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" path="m,180r42086,c47301,,51708,4937,51797,11129r,99624c51797,110932,51797,111112,51797,111291v-269,6103,-4676,10771,-9711,10411l,121702,,101239r27787,c31204,101239,33902,98098,34082,94149l33093,28002v,-4038,-2788,-7359,-6295,-7359l,20643,,180xe" fillcolor="#0078d4" stroked="f" strokeweight="0">
                  <v:stroke endcap="round"/>
                  <v:path arrowok="t" textboxrect="0,0,51797,122062"/>
                </v:shape>
                <v:shape id="Picture 94654" o:spid="_x0000_s1164" type="#_x0000_t75" style="position:absolute;left:17927;top:7756;width:793;height: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">
                  <v:imagedata r:id="rId45" o:title=""/>
                </v:shape>
                <v:shape id="Picture 94655" o:spid="_x0000_s1165" type="#_x0000_t75" style="position:absolute;left:19868;top:7756;width:792;height: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">
                  <v:imagedata r:id="rId46" o:title=""/>
                </v:shape>
                <v:rect id="Rectangle 7147" o:spid="_x0000_s1166" style="position:absolute;left:17573;top:9423;width:4650;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" filled="f" stroked="f">
                  <v:textbox inset="0,0,0,0">
                    <w:txbxContent>
                      <w:p w14:paraId="6DAFCF86" w14:textId="77777777" w:rsidR="003F0DB8" w:rsidRDefault="00000000">
                        <w:pPr>
                          <w:spacing w:after="160" w:line="259" w:lineRule="auto"/>
                          <w:ind w:left="0" w:firstLine="0"/>
                        </w:pPr>
                        <w:r>
                          <w:rPr>
                            <w:rFonts w:ascii="Calibri" w:eastAsia="Calibri" w:hAnsi="Calibri" w:cs="Calibri"/>
                            <w:sz w:val="13"/>
                          </w:rPr>
                          <w:t>Logic Apps</w:t>
                        </w:r>
                      </w:p>
                    </w:txbxContent>
                  </v:textbox>
                </v:rect>
                <v:shape id="Shape 7149" o:spid="_x0000_s1167" style="position:absolute;left:17637;top:12931;width:1061;height:1088;visibility:visible;mso-wrap-style:square;v-text-anchor:top" coordsize="106113,108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" path="m15018,r89117,88665c106113,90622,106113,93799,104135,95755r-90,28l93074,106831v-1978,1956,-5216,1965,-7104,9l3957,25265c,21361,,15015,3957,11102l15018,xe" fillcolor="#50e6ff" stroked="f" strokeweight="0">
                  <v:stroke endcap="round"/>
                  <v:path arrowok="t" textboxrect="0,0,106113,108796"/>
                </v:shape>
                <v:shape id="Shape 7151" o:spid="_x0000_s1168" style="position:absolute;left:17636;top:12216;width:1045;height:1076;visibility:visible;mso-wrap-style:square;v-text-anchor:top" coordsize="104495,107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" path="m84351,1939c86329,,89477,9,91455,1956r11061,11049c104495,14961,104495,18138,102516,20104l15018,107692,3867,96626c,92721,,86376,3867,82463l84351,1939xe" fillcolor="#1490df" stroked="f" strokeweight="0">
                  <v:stroke endcap="round"/>
                  <v:path arrowok="t" textboxrect="0,0,104495,107692"/>
                </v:shape>
                <v:shape id="Shape 7153" o:spid="_x0000_s1169" style="position:absolute;left:19961;top:12932;width:1060;height:1087;visibility:visible;mso-wrap-style:square;v-text-anchor:top" coordsize="106023,10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" path="m91068,r10999,11021c106023,14934,106023,21280,102067,25184l20144,106759v-1979,1956,-5216,1947,-7105,-9l1978,95719c,93754,,90577,1978,88620l91068,xe" fillcolor="#50e6ff" stroked="f" strokeweight="0">
                  <v:stroke endcap="round"/>
                  <v:path arrowok="t" textboxrect="0,0,106023,108715"/>
                </v:shape>
                <v:shape id="Shape 7154" o:spid="_x0000_s1170" style="position:absolute;left:20871;top:12932;width:1;height:0;visibility:visible;mso-wrap-style:square;v-text-anchor:top" coordsize="9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" path="m,l90,36,63,63,,xe" fillcolor="#50e6ff" stroked="f" strokeweight="0">
                  <v:stroke endcap="round"/>
                  <v:path arrowok="t" textboxrect="0,0,90,63"/>
                </v:shape>
                <v:shape id="Shape 7156" o:spid="_x0000_s1171" style="position:absolute;left:19977;top:12215;width:1045;height:1077;visibility:visible;mso-wrap-style:square;v-text-anchor:top" coordsize="104495,107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" path="m13039,1956c15018,,18165,,20144,1965r80484,80525c104495,86412,104495,92749,100628,96653r-90,-9l89477,107692,1978,20104c,18138,,14961,1978,13005l13039,1956xe" fillcolor="#1490df" stroked="f" strokeweight="0">
                  <v:stroke endcap="round"/>
                  <v:path arrowok="t" textboxrect="0,0,104495,107692"/>
                </v:shape>
                <v:shape id="Picture 94656" o:spid="_x0000_s1172" type="#_x0000_t75" style="position:absolute;left:18466;top:11566;width:1767;height:3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">
                  <v:imagedata r:id="rId47" o:title=""/>
                </v:shape>
                <v:shape id="Picture 94652" o:spid="_x0000_s1173" type="#_x0000_t75" style="position:absolute;left:24785;top:3;width:10119;height:9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">
                  <v:imagedata r:id="rId48" o:title=""/>
                </v:shape>
                <v:shape id="Picture 94653" o:spid="_x0000_s1174" type="#_x0000_t75" style="position:absolute;left:28504;top:6008;width:192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">
                  <v:imagedata r:id="rId49" o:title=""/>
                </v:shape>
                <v:shape id="Shape 7160" o:spid="_x0000_s1175" style="position:absolute;left:35305;top:4283;width:9346;height:0;visibility:visible;mso-wrap-style:square;v-text-anchor:top" coordsize="934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" path="m934606,l,e" filled="f" strokecolor="#156082" strokeweight=".24931mm">
                  <v:stroke endcap="round"/>
                  <v:path arrowok="t" textboxrect="0,0,934606,0"/>
                </v:shape>
                <v:shape id="Shape 7161" o:spid="_x0000_s1176" style="position:absolute;left:44572;top:3967;width:633;height:632;visibility:visible;mso-wrap-style:square;v-text-anchor:top" coordsize="63308,6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" path="m,l63308,31592,,63185,,xe" fillcolor="#156082" stroked="f" strokeweight="0">
                  <v:stroke endcap="round"/>
                  <v:path arrowok="t" textboxrect="0,0,63308,63185"/>
                </v:shape>
                <v:shape id="Shape 7162" o:spid="_x0000_s1177" style="position:absolute;left:34751;top:3967;width:633;height:632;visibility:visible;mso-wrap-style:square;v-text-anchor:top" coordsize="63308,6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" path="m63308,r,63185l,31592,63308,xe" fillcolor="#156082" stroked="f" strokeweight="0">
                  <v:stroke endcap="round"/>
                  <v:path arrowok="t" textboxrect="0,0,63308,63185"/>
                </v:shape>
                <w10:anchorlock/>
              </v:group>
            </w:pict>
          </mc:Fallback>
        </mc:AlternateContent>
      </w:r>
    </w:p>
    <w:p w14:paraId="23F62A26" w14:textId="77777777" w:rsidR="003F0DB8" w:rsidRDefault="00000000">
      <w:pPr>
        <w:spacing w:after="21" w:line="259" w:lineRule="auto"/>
        <w:ind w:left="5413" w:firstLine="0"/>
        <w:jc w:val="center"/>
      </w:pPr>
      <w:r>
        <w:rPr>
          <w:sz w:val="24"/>
        </w:rPr>
        <w:t xml:space="preserve"> </w:t>
      </w:r>
    </w:p>
    <w:p w14:paraId="35BBC660" w14:textId="77777777" w:rsidR="003F0DB8" w:rsidRDefault="00000000">
      <w:pPr>
        <w:pStyle w:val="Heading3"/>
        <w:spacing w:after="122"/>
        <w:ind w:left="-5"/>
      </w:pPr>
      <w:r>
        <w:rPr>
          <w:sz w:val="22"/>
        </w:rPr>
        <w:t xml:space="preserve">MuleSoft </w:t>
      </w:r>
    </w:p>
    <w:p w14:paraId="7FB63127" w14:textId="77777777" w:rsidR="003F0DB8" w:rsidRDefault="00000000">
      <w:pPr>
        <w:spacing w:after="110" w:line="269" w:lineRule="auto"/>
        <w:ind w:left="10" w:right="3" w:hanging="10"/>
      </w:pPr>
      <w:r>
        <w:rPr>
          <w:sz w:val="24"/>
        </w:rPr>
        <w:t xml:space="preserve">MuleSoft is the existing integration platform planned for decommissioning. Integrations tied to systems also being retired - including Oracle OAC and i365 - are expected to be descoped alongside it rather than migrated. </w:t>
      </w:r>
    </w:p>
    <w:p w14:paraId="0B88B509" w14:textId="77777777" w:rsidR="003F0DB8" w:rsidRDefault="00000000">
      <w:pPr>
        <w:spacing w:after="12" w:line="269" w:lineRule="auto"/>
        <w:ind w:left="10" w:right="3" w:hanging="10"/>
      </w:pPr>
      <w:r>
        <w:rPr>
          <w:sz w:val="24"/>
        </w:rPr>
        <w:t xml:space="preserve">Two flows are candidates for migration into AIS: the Cygnum Registration API, which feeds registration data from CQC into </w:t>
      </w:r>
    </w:p>
    <w:p w14:paraId="1695C428" w14:textId="77777777" w:rsidR="003F0DB8" w:rsidRDefault="00000000">
      <w:pPr>
        <w:spacing w:after="110" w:line="269" w:lineRule="auto"/>
        <w:ind w:left="10" w:right="3" w:hanging="10"/>
      </w:pPr>
      <w:r>
        <w:rPr>
          <w:sz w:val="24"/>
        </w:rPr>
        <w:t xml:space="preserve">Cygnum and is a natural extension of the existing NHS ESR pipeline; and the Address Lookup integration sourcing from Ordnance Survey, where the largely additive nature of address data presents an opportunity to introduce caching - potentially within EDP - to reduce upstream call volume and improve latency. </w:t>
      </w:r>
    </w:p>
    <w:p w14:paraId="0A92FA9E" w14:textId="77777777" w:rsidR="003F0DB8" w:rsidRDefault="00000000">
      <w:pPr>
        <w:spacing w:after="229" w:line="259" w:lineRule="auto"/>
        <w:ind w:left="0" w:firstLine="0"/>
      </w:pPr>
      <w:r>
        <w:rPr>
          <w:sz w:val="24"/>
        </w:rPr>
        <w:t xml:space="preserve"> </w:t>
      </w:r>
    </w:p>
    <w:p w14:paraId="43A528D5" w14:textId="77777777" w:rsidR="003F0DB8" w:rsidRDefault="00000000">
      <w:pPr>
        <w:pStyle w:val="Heading1"/>
        <w:ind w:left="-5"/>
      </w:pPr>
      <w:bookmarkStart w:id="78" w:name="_Toc96860"/>
      <w:r>
        <w:t xml:space="preserve">Observations - AIS </w:t>
      </w:r>
      <w:bookmarkEnd w:id="78"/>
    </w:p>
    <w:p w14:paraId="321C5E61" w14:textId="77777777" w:rsidR="003F0DB8" w:rsidRDefault="00000000">
      <w:pPr>
        <w:pStyle w:val="Heading3"/>
        <w:ind w:left="-5"/>
      </w:pPr>
      <w:r>
        <w:t xml:space="preserve">Current State Overview </w:t>
      </w:r>
    </w:p>
    <w:p w14:paraId="055D7167" w14:textId="77777777" w:rsidR="003F0DB8" w:rsidRDefault="00000000">
      <w:pPr>
        <w:spacing w:after="110" w:line="269" w:lineRule="auto"/>
        <w:ind w:left="10" w:right="3" w:hanging="10"/>
      </w:pPr>
      <w:r>
        <w:rPr>
          <w:sz w:val="24"/>
        </w:rPr>
        <w:t xml:space="preserve">AIS (Application Integration Services) is CQC's central integration platform, brokering traffic between the public-facing Registration Provider portal, the Syndication API, downstream regulatory systems and the Siebel CRM, as well as handling asynchronous processing of NHS ESR records. The estate inherits a uniform "premium-everywhere" sizing model, a divergent V1/V2 code line between Production and PreProd, hardcoded JWT tokens in APIM policies, and a "ClickOps" operating model on supposedly Terraformed infrastructure,  compounded by reactive security spend, lingering legacy partner access in Production, and no </w:t>
      </w:r>
      <w:r>
        <w:rPr>
          <w:sz w:val="24"/>
        </w:rPr>
        <w:lastRenderedPageBreak/>
        <w:t xml:space="preserve">reusable integration patterns. AIS is the single largest cost line in the tenant and the most operationally fragile workload, and it is the area most directly tied to DevSecOps maturity at CQC. </w:t>
      </w:r>
    </w:p>
    <w:p w14:paraId="6CD43ECD" w14:textId="77777777" w:rsidR="003F0DB8" w:rsidRDefault="00000000">
      <w:pPr>
        <w:spacing w:after="130" w:line="259" w:lineRule="auto"/>
        <w:ind w:left="-5" w:hanging="10"/>
      </w:pPr>
      <w:r>
        <w:rPr>
          <w:b/>
          <w:sz w:val="24"/>
        </w:rPr>
        <w:t xml:space="preserve">AIS Architecture </w:t>
      </w:r>
    </w:p>
    <w:p w14:paraId="257A3C21" w14:textId="77777777" w:rsidR="003F0DB8" w:rsidRDefault="00000000">
      <w:pPr>
        <w:pStyle w:val="Heading3"/>
        <w:ind w:left="-5"/>
      </w:pPr>
      <w:r>
        <w:t>Two Code Bases, One Application</w:t>
      </w:r>
      <w:r>
        <w:rPr>
          <w:b w:val="0"/>
        </w:rPr>
        <w:t xml:space="preserve"> </w:t>
      </w:r>
    </w:p>
    <w:p w14:paraId="5D6188FD" w14:textId="77777777" w:rsidR="003F0DB8" w:rsidRDefault="00000000">
      <w:pPr>
        <w:numPr>
          <w:ilvl w:val="0"/>
          <w:numId w:val="110"/>
        </w:numPr>
        <w:spacing w:after="41"/>
        <w:ind w:right="5"/>
      </w:pPr>
      <w:r>
        <w:t xml:space="preserve">Production runs the V1 code line while PreProd runs V2, so PreProd cannot act as a true staging gate,  it does not match Production and therefore cannot validate changes against what is actually live.  </w:t>
      </w:r>
    </w:p>
    <w:p w14:paraId="01D14B4C" w14:textId="77777777" w:rsidR="003F0DB8" w:rsidRDefault="00000000">
      <w:pPr>
        <w:numPr>
          <w:ilvl w:val="0"/>
          <w:numId w:val="110"/>
        </w:numPr>
        <w:ind w:right="5"/>
      </w:pPr>
      <w:r>
        <w:t xml:space="preserve">Every Production release is consequently all-or-nothing, with no equivalent environment in which to validate a change first.  </w:t>
      </w:r>
    </w:p>
    <w:p w14:paraId="55425FFA" w14:textId="77777777" w:rsidR="003F0DB8" w:rsidRDefault="00000000">
      <w:pPr>
        <w:numPr>
          <w:ilvl w:val="0"/>
          <w:numId w:val="110"/>
        </w:numPr>
        <w:spacing w:after="136"/>
        <w:ind w:right="5"/>
      </w:pPr>
      <w:r>
        <w:t xml:space="preserve">CAB is forced to act as the last line of defence on changes that should be routine, compensating manually for the absence of a representative preproduction gate. </w:t>
      </w:r>
    </w:p>
    <w:p w14:paraId="6E68CA98" w14:textId="77777777" w:rsidR="003F0DB8" w:rsidRDefault="00000000">
      <w:pPr>
        <w:pStyle w:val="Heading3"/>
        <w:ind w:left="-5"/>
      </w:pPr>
      <w:r>
        <w:t>Resource Group Structure</w:t>
      </w:r>
      <w:r>
        <w:rPr>
          <w:b w:val="0"/>
        </w:rPr>
        <w:t xml:space="preserve"> </w:t>
      </w:r>
    </w:p>
    <w:p w14:paraId="453112B8" w14:textId="77777777" w:rsidR="003F0DB8" w:rsidRDefault="00000000">
      <w:pPr>
        <w:numPr>
          <w:ilvl w:val="0"/>
          <w:numId w:val="111"/>
        </w:numPr>
        <w:ind w:right="5" w:hanging="284"/>
      </w:pPr>
      <w:r>
        <w:t xml:space="preserve">The estate is concentrated into a single resource group, with resource-group boundaries that do not align to operational responsibilities.  </w:t>
      </w:r>
    </w:p>
    <w:p w14:paraId="06A7ED19" w14:textId="77777777" w:rsidR="003F0DB8" w:rsidRDefault="00000000">
      <w:pPr>
        <w:numPr>
          <w:ilvl w:val="0"/>
          <w:numId w:val="111"/>
        </w:numPr>
        <w:spacing w:after="41"/>
        <w:ind w:right="5" w:hanging="284"/>
      </w:pPr>
      <w:r>
        <w:t xml:space="preserve">Infrastructure appears to be deployed through "ClickOps" rather than consistently through Infrastructure as Code, so environment state is not reliably reproducible and changes are not readily reviewable or auditable.  </w:t>
      </w:r>
    </w:p>
    <w:p w14:paraId="733F79CC" w14:textId="77777777" w:rsidR="003F0DB8" w:rsidRDefault="00000000">
      <w:pPr>
        <w:numPr>
          <w:ilvl w:val="0"/>
          <w:numId w:val="111"/>
        </w:numPr>
        <w:spacing w:after="78"/>
        <w:ind w:right="5" w:hanging="284"/>
      </w:pPr>
      <w:r>
        <w:t xml:space="preserve">Cost, RBAC and lifecycle decisions cannot be made cleanly at the resource-group level, and monitoring is difficult to attribute. </w:t>
      </w:r>
    </w:p>
    <w:p w14:paraId="65307D45" w14:textId="77777777" w:rsidR="003F0DB8" w:rsidRDefault="00000000">
      <w:pPr>
        <w:pStyle w:val="Heading3"/>
        <w:ind w:left="-5"/>
      </w:pPr>
      <w:r>
        <w:t>Click-Ops in Production</w:t>
      </w:r>
      <w:r>
        <w:rPr>
          <w:b w:val="0"/>
        </w:rPr>
        <w:t xml:space="preserve"> </w:t>
      </w:r>
    </w:p>
    <w:p w14:paraId="1042AB24" w14:textId="77777777" w:rsidR="003F0DB8" w:rsidRDefault="00000000">
      <w:pPr>
        <w:numPr>
          <w:ilvl w:val="0"/>
          <w:numId w:val="112"/>
        </w:numPr>
        <w:ind w:right="5" w:hanging="284"/>
      </w:pPr>
      <w:r>
        <w:t xml:space="preserve">AIS production subscriptions were singled out across multiple workshops as the worst case for standing privilege and "ClickOps".  </w:t>
      </w:r>
    </w:p>
    <w:p w14:paraId="68AC4D35" w14:textId="77777777" w:rsidR="003F0DB8" w:rsidRDefault="00000000">
      <w:pPr>
        <w:numPr>
          <w:ilvl w:val="0"/>
          <w:numId w:val="112"/>
        </w:numPr>
        <w:ind w:right="5" w:hanging="284"/>
      </w:pPr>
      <w:r>
        <w:t xml:space="preserve">Developers and third parties hold permanent Contributor on Production.  </w:t>
      </w:r>
    </w:p>
    <w:p w14:paraId="351ACEE2" w14:textId="77777777" w:rsidR="003F0DB8" w:rsidRDefault="00000000">
      <w:pPr>
        <w:numPr>
          <w:ilvl w:val="0"/>
          <w:numId w:val="112"/>
        </w:numPr>
        <w:ind w:right="5" w:hanging="284"/>
      </w:pPr>
      <w:r>
        <w:t xml:space="preserve">Manual changes routinely override Terraform, and the IaC baseline drifts within days of deployment.  </w:t>
      </w:r>
    </w:p>
    <w:p w14:paraId="607F8BC4" w14:textId="77777777" w:rsidR="003F0DB8" w:rsidRDefault="00000000">
      <w:pPr>
        <w:numPr>
          <w:ilvl w:val="0"/>
          <w:numId w:val="112"/>
        </w:numPr>
        <w:spacing w:after="137"/>
        <w:ind w:right="5" w:hanging="284"/>
      </w:pPr>
      <w:r>
        <w:t xml:space="preserve">The estate cannot reach a baseline of code-driven change while developers hold permanent Contributor on Production. The drift is structural rather than incidental. </w:t>
      </w:r>
    </w:p>
    <w:p w14:paraId="1821CBFA" w14:textId="77777777" w:rsidR="003F0DB8" w:rsidRDefault="00000000">
      <w:pPr>
        <w:pStyle w:val="Heading3"/>
        <w:ind w:left="-5"/>
      </w:pPr>
      <w:r>
        <w:t xml:space="preserve">AIS Cost and Sizing </w:t>
      </w:r>
    </w:p>
    <w:p w14:paraId="639AED44" w14:textId="77777777" w:rsidR="003F0DB8" w:rsidRDefault="00000000">
      <w:pPr>
        <w:spacing w:after="134" w:line="259" w:lineRule="auto"/>
        <w:ind w:left="0" w:firstLine="0"/>
      </w:pPr>
      <w:r>
        <w:rPr>
          <w:b/>
          <w:i/>
          <w:sz w:val="24"/>
        </w:rPr>
        <w:t>SKU Sizing Across Environments</w:t>
      </w:r>
      <w:r>
        <w:rPr>
          <w:b/>
          <w:sz w:val="24"/>
        </w:rPr>
        <w:t xml:space="preserve"> </w:t>
      </w:r>
    </w:p>
    <w:p w14:paraId="498D336D" w14:textId="77777777" w:rsidR="003F0DB8" w:rsidRDefault="00000000">
      <w:pPr>
        <w:numPr>
          <w:ilvl w:val="0"/>
          <w:numId w:val="113"/>
        </w:numPr>
        <w:spacing w:after="46"/>
        <w:ind w:right="5" w:hanging="284"/>
      </w:pPr>
      <w:r>
        <w:t xml:space="preserve">AIS runs Premium SKUs consistently across every environment, including development and test, so lower environments carry full production-grade cost on workloads that do not require it.  </w:t>
      </w:r>
    </w:p>
    <w:p w14:paraId="48FAC1C0" w14:textId="77777777" w:rsidR="003F0DB8" w:rsidRDefault="00000000">
      <w:pPr>
        <w:numPr>
          <w:ilvl w:val="0"/>
          <w:numId w:val="113"/>
        </w:numPr>
        <w:spacing w:after="46"/>
        <w:ind w:right="5" w:hanging="284"/>
      </w:pPr>
      <w:r>
        <w:t xml:space="preserve">App Service Plans and Logic Apps together form the dominant cost story in the tenant, with non-production environments such as PreProd carrying nearproduction cost despite being underused.  </w:t>
      </w:r>
    </w:p>
    <w:p w14:paraId="56E7C4D4" w14:textId="77777777" w:rsidR="003F0DB8" w:rsidRDefault="00000000">
      <w:pPr>
        <w:numPr>
          <w:ilvl w:val="0"/>
          <w:numId w:val="113"/>
        </w:numPr>
        <w:spacing w:after="45"/>
        <w:ind w:right="5" w:hanging="284"/>
      </w:pPr>
      <w:r>
        <w:lastRenderedPageBreak/>
        <w:t xml:space="preserve">Premium API Management runs in every environment, Premium Redis Cache runs in every AIS environment, and a SQL Managed Instance has a virtual machine attached purely for file storage,  none of which generally require production-grade tiers to support functional or integration testing.  </w:t>
      </w:r>
    </w:p>
    <w:p w14:paraId="1476F04E" w14:textId="77777777" w:rsidR="003F0DB8" w:rsidRDefault="00000000">
      <w:pPr>
        <w:numPr>
          <w:ilvl w:val="0"/>
          <w:numId w:val="113"/>
        </w:numPr>
        <w:spacing w:after="137"/>
        <w:ind w:right="5" w:hanging="284"/>
      </w:pPr>
      <w:r>
        <w:t xml:space="preserve">The "premium-everywhere" pattern reflects an earlier decision to apply a single, uniform sizing model across the estate, accepted at the time as a simple and consistent approach. While holding certain hosting tiers steady across Prod, PreProd and Test can be justified for realistic testing, applying Premium uniformly across the entire estate is not appropriate and leaves lower environments carrying cost without a corresponding benefit. </w:t>
      </w:r>
    </w:p>
    <w:p w14:paraId="31ED9A68" w14:textId="77777777" w:rsidR="003F0DB8" w:rsidRDefault="00000000">
      <w:pPr>
        <w:pStyle w:val="Heading3"/>
        <w:ind w:left="-5"/>
      </w:pPr>
      <w:r>
        <w:t>Defender as a Reactive Cost</w:t>
      </w:r>
      <w:r>
        <w:rPr>
          <w:b w:val="0"/>
        </w:rPr>
        <w:t xml:space="preserve"> </w:t>
      </w:r>
    </w:p>
    <w:p w14:paraId="034958DC" w14:textId="77777777" w:rsidR="003F0DB8" w:rsidRDefault="00000000">
      <w:pPr>
        <w:numPr>
          <w:ilvl w:val="0"/>
          <w:numId w:val="114"/>
        </w:numPr>
        <w:ind w:right="5" w:hanging="284"/>
      </w:pPr>
      <w:r>
        <w:t xml:space="preserve">Defender for Cloud is the largest single item inside the AIS subscription. </w:t>
      </w:r>
    </w:p>
    <w:p w14:paraId="2FE29191" w14:textId="77777777" w:rsidR="003F0DB8" w:rsidRDefault="00000000">
      <w:pPr>
        <w:numPr>
          <w:ilvl w:val="0"/>
          <w:numId w:val="114"/>
        </w:numPr>
        <w:spacing w:after="47"/>
        <w:ind w:right="5" w:hanging="284"/>
      </w:pPr>
      <w:r>
        <w:t xml:space="preserve">The driver was a Defender for API SKU upgrade taken in response to an APIM scraping incident, in which a high volume of API calls were scraped through unprotected endpoints. </w:t>
      </w:r>
    </w:p>
    <w:p w14:paraId="21F73083" w14:textId="77777777" w:rsidR="003F0DB8" w:rsidRDefault="00000000">
      <w:pPr>
        <w:numPr>
          <w:ilvl w:val="0"/>
          <w:numId w:val="114"/>
        </w:numPr>
        <w:spacing w:after="103" w:line="272" w:lineRule="auto"/>
        <w:ind w:right="5" w:hanging="284"/>
      </w:pPr>
      <w:r>
        <w:t xml:space="preserve">The reactive control upgrade has hardened into a fixed cost, while the upstream root cause, the absence of rate-limiting on the Application Gateway and API Management, remains unaddressed. </w:t>
      </w:r>
      <w:r>
        <w:rPr>
          <w:b/>
          <w:sz w:val="24"/>
        </w:rPr>
        <w:t xml:space="preserve">AIS Security </w:t>
      </w:r>
    </w:p>
    <w:p w14:paraId="230CCAFD" w14:textId="77777777" w:rsidR="003F0DB8" w:rsidRDefault="00000000">
      <w:pPr>
        <w:pStyle w:val="Heading3"/>
        <w:ind w:left="-5"/>
      </w:pPr>
      <w:r>
        <w:t>JWT Tokens in Plaintext</w:t>
      </w:r>
      <w:r>
        <w:rPr>
          <w:b w:val="0"/>
        </w:rPr>
        <w:t xml:space="preserve"> </w:t>
      </w:r>
    </w:p>
    <w:p w14:paraId="3CD404A2" w14:textId="77777777" w:rsidR="003F0DB8" w:rsidRDefault="00000000">
      <w:pPr>
        <w:numPr>
          <w:ilvl w:val="0"/>
          <w:numId w:val="115"/>
        </w:numPr>
        <w:ind w:right="5" w:hanging="284"/>
      </w:pPr>
      <w:r>
        <w:t xml:space="preserve">APIM policies contain hardcoded JWT tokens alongside embedded business logic. </w:t>
      </w:r>
    </w:p>
    <w:p w14:paraId="2CC28196" w14:textId="77777777" w:rsidR="003F0DB8" w:rsidRDefault="00000000">
      <w:pPr>
        <w:numPr>
          <w:ilvl w:val="0"/>
          <w:numId w:val="115"/>
        </w:numPr>
        <w:ind w:right="5" w:hanging="284"/>
      </w:pPr>
      <w:r>
        <w:t xml:space="preserve">Hardcoded JWTs in policy are an exfiltration and rotation risk. </w:t>
      </w:r>
    </w:p>
    <w:p w14:paraId="3CF21CF4" w14:textId="77777777" w:rsidR="003F0DB8" w:rsidRDefault="00000000">
      <w:pPr>
        <w:numPr>
          <w:ilvl w:val="0"/>
          <w:numId w:val="115"/>
        </w:numPr>
        <w:spacing w:after="78"/>
        <w:ind w:right="5" w:hanging="284"/>
      </w:pPr>
      <w:r>
        <w:t xml:space="preserve">Embedded business logic creates a fragile change surface that is difficult to test. APIM should be treated as a routing surface, not an application surface. </w:t>
      </w:r>
    </w:p>
    <w:p w14:paraId="2F4D7EBB" w14:textId="77777777" w:rsidR="003F0DB8" w:rsidRDefault="00000000">
      <w:pPr>
        <w:pStyle w:val="Heading3"/>
        <w:ind w:left="-5"/>
      </w:pPr>
      <w:r>
        <w:t>Legacy KPMG Access in Production</w:t>
      </w:r>
      <w:r>
        <w:rPr>
          <w:b w:val="0"/>
        </w:rPr>
        <w:t xml:space="preserve"> </w:t>
      </w:r>
    </w:p>
    <w:p w14:paraId="4B03875A" w14:textId="77777777" w:rsidR="003F0DB8" w:rsidRDefault="00000000">
      <w:pPr>
        <w:numPr>
          <w:ilvl w:val="0"/>
          <w:numId w:val="116"/>
        </w:numPr>
        <w:spacing w:after="46"/>
        <w:ind w:right="5" w:hanging="284"/>
      </w:pPr>
      <w:r>
        <w:t xml:space="preserve">Several Entra ID groups hold Contributor on AIS Production in addition to the deployment service principal, and one is believed to belong to KPMG and remains active. </w:t>
      </w:r>
    </w:p>
    <w:p w14:paraId="616C631B" w14:textId="77777777" w:rsidR="003F0DB8" w:rsidRDefault="00000000">
      <w:pPr>
        <w:numPr>
          <w:ilvl w:val="0"/>
          <w:numId w:val="116"/>
        </w:numPr>
        <w:ind w:right="5" w:hanging="284"/>
      </w:pPr>
      <w:r>
        <w:t xml:space="preserve">Networking-level exceptions for KPMG also persist on a core function-app NSG rule set supporting the caching layer for the Syndication API. </w:t>
      </w:r>
    </w:p>
    <w:p w14:paraId="1622F3BA" w14:textId="77777777" w:rsidR="003F0DB8" w:rsidRDefault="00000000">
      <w:pPr>
        <w:numPr>
          <w:ilvl w:val="0"/>
          <w:numId w:val="116"/>
        </w:numPr>
        <w:spacing w:after="138"/>
        <w:ind w:right="5" w:hanging="284"/>
      </w:pPr>
      <w:r>
        <w:t xml:space="preserve">This creates excess standing privilege, a cleanup risk if the legacy partner group is removed without dependency mapping, and a firewall exception that no current engineer can attribute. </w:t>
      </w:r>
    </w:p>
    <w:p w14:paraId="55ECF625" w14:textId="77777777" w:rsidR="003F0DB8" w:rsidRDefault="00000000">
      <w:pPr>
        <w:pStyle w:val="Heading3"/>
        <w:ind w:left="-5"/>
      </w:pPr>
      <w:r>
        <w:t xml:space="preserve">AIS Monitoring and Observability </w:t>
      </w:r>
    </w:p>
    <w:p w14:paraId="7EABBF88" w14:textId="77777777" w:rsidR="003F0DB8" w:rsidRDefault="00000000">
      <w:pPr>
        <w:numPr>
          <w:ilvl w:val="0"/>
          <w:numId w:val="117"/>
        </w:numPr>
        <w:spacing w:after="41"/>
        <w:ind w:right="5" w:hanging="284"/>
      </w:pPr>
      <w:r>
        <w:t xml:space="preserve">Monitoring is inconsistent across Prod and Non-Prod environments, reflecting the same "Click-Ops" approach and the absence of any deliberate infrastructure-monitoring plan. </w:t>
      </w:r>
    </w:p>
    <w:p w14:paraId="1DDFB94C" w14:textId="77777777" w:rsidR="003F0DB8" w:rsidRDefault="00000000">
      <w:pPr>
        <w:numPr>
          <w:ilvl w:val="0"/>
          <w:numId w:val="117"/>
        </w:numPr>
        <w:spacing w:after="137"/>
        <w:ind w:right="5" w:hanging="284"/>
      </w:pPr>
      <w:r>
        <w:t xml:space="preserve">The lack of business-data auditing creates risk around failed integrations, particularly where sensitive data is involved, because failures may pass undetected with no audit trail. </w:t>
      </w:r>
    </w:p>
    <w:p w14:paraId="2AD459E0" w14:textId="77777777" w:rsidR="003F0DB8" w:rsidRDefault="00000000">
      <w:pPr>
        <w:pStyle w:val="Heading3"/>
        <w:ind w:left="-5"/>
      </w:pPr>
      <w:r>
        <w:lastRenderedPageBreak/>
        <w:t>AIS Operational Maturity Lack of Reusable Integration Patterns</w:t>
      </w:r>
      <w:r>
        <w:rPr>
          <w:b w:val="0"/>
        </w:rPr>
        <w:t xml:space="preserve"> </w:t>
      </w:r>
    </w:p>
    <w:p w14:paraId="2F88A1DF" w14:textId="77777777" w:rsidR="003F0DB8" w:rsidRDefault="00000000">
      <w:pPr>
        <w:numPr>
          <w:ilvl w:val="0"/>
          <w:numId w:val="118"/>
        </w:numPr>
        <w:ind w:right="5" w:hanging="284"/>
      </w:pPr>
      <w:r>
        <w:t xml:space="preserve">No defined onboarding process exists for AIS integrations, so every new design starts from scratch. </w:t>
      </w:r>
    </w:p>
    <w:p w14:paraId="27B6A408" w14:textId="77777777" w:rsidR="003F0DB8" w:rsidRDefault="00000000">
      <w:pPr>
        <w:numPr>
          <w:ilvl w:val="0"/>
          <w:numId w:val="118"/>
        </w:numPr>
        <w:ind w:right="5" w:hanging="284"/>
      </w:pPr>
      <w:r>
        <w:t xml:space="preserve">CAB is overloaded with what should be standard integration changes, and design reviews are repeated for equivalent patterns. </w:t>
      </w:r>
    </w:p>
    <w:p w14:paraId="24BF8D57" w14:textId="77777777" w:rsidR="003F0DB8" w:rsidRDefault="00000000">
      <w:pPr>
        <w:numPr>
          <w:ilvl w:val="0"/>
          <w:numId w:val="118"/>
        </w:numPr>
        <w:spacing w:after="182"/>
        <w:ind w:right="5" w:hanging="284"/>
      </w:pPr>
      <w:r>
        <w:t xml:space="preserve">AIS pace is throttled by review overhead rather than engineering capacity. </w:t>
      </w:r>
    </w:p>
    <w:p w14:paraId="639E128D" w14:textId="77777777" w:rsidR="003F0DB8" w:rsidRDefault="00000000">
      <w:pPr>
        <w:pStyle w:val="Heading1"/>
        <w:ind w:left="-5"/>
      </w:pPr>
      <w:bookmarkStart w:id="79" w:name="_Toc96861"/>
      <w:r>
        <w:t xml:space="preserve">Recommendations </w:t>
      </w:r>
      <w:bookmarkEnd w:id="79"/>
    </w:p>
    <w:p w14:paraId="423AA428" w14:textId="77777777" w:rsidR="003F0DB8" w:rsidRDefault="00000000">
      <w:pPr>
        <w:pStyle w:val="Heading3"/>
        <w:ind w:left="-5"/>
      </w:pPr>
      <w:r>
        <w:t>Architecture and Operating Model</w:t>
      </w:r>
      <w:r>
        <w:rPr>
          <w:b w:val="0"/>
        </w:rPr>
        <w:t xml:space="preserve"> </w:t>
      </w:r>
    </w:p>
    <w:p w14:paraId="5EB872D0" w14:textId="77777777" w:rsidR="003F0DB8" w:rsidRDefault="00000000">
      <w:pPr>
        <w:numPr>
          <w:ilvl w:val="0"/>
          <w:numId w:val="119"/>
        </w:numPr>
        <w:spacing w:after="46"/>
        <w:ind w:right="5" w:hanging="284"/>
      </w:pPr>
      <w:r>
        <w:rPr>
          <w:b/>
        </w:rPr>
        <w:t>Engineer Environment Parity:</w:t>
      </w:r>
      <w:r>
        <w:t xml:space="preserve"> Close the V1/V2 code-base divergence as part of the AIS rebuild, so PreProd matches Production and can act as a true staging gate,  allowing routine changes to be validated against what is actually live, rather than relying on CAB as the last line of defence. </w:t>
      </w:r>
    </w:p>
    <w:p w14:paraId="65197F0F" w14:textId="77777777" w:rsidR="003F0DB8" w:rsidRDefault="00000000">
      <w:pPr>
        <w:numPr>
          <w:ilvl w:val="0"/>
          <w:numId w:val="119"/>
        </w:numPr>
        <w:spacing w:after="45"/>
        <w:ind w:right="5" w:hanging="284"/>
      </w:pPr>
      <w:r>
        <w:rPr>
          <w:b/>
        </w:rPr>
        <w:t>Split the Monolithic Resource Group:</w:t>
      </w:r>
      <w:r>
        <w:t xml:space="preserve"> Break the single consolidated resource group into function-aligned resource groups (connectivity, hosting, solutions, troubleshooting), so cost, RBAC, lifecycle and monitoring can be attributed and governed at boundaries that map to operational responsibilities. </w:t>
      </w:r>
    </w:p>
    <w:p w14:paraId="1E2C5910" w14:textId="77777777" w:rsidR="003F0DB8" w:rsidRDefault="00000000">
      <w:pPr>
        <w:numPr>
          <w:ilvl w:val="0"/>
          <w:numId w:val="119"/>
        </w:numPr>
        <w:ind w:right="5" w:hanging="284"/>
      </w:pPr>
      <w:r>
        <w:rPr>
          <w:b/>
        </w:rPr>
        <w:t>Publish the AIS Five Patterns Design Authority:</w:t>
      </w:r>
      <w:r>
        <w:t xml:space="preserve"> Publish the approved integration patterns and differentiate standard from non-standard changes, so </w:t>
      </w:r>
    </w:p>
    <w:p w14:paraId="266182E5" w14:textId="77777777" w:rsidR="003F0DB8" w:rsidRDefault="00000000">
      <w:pPr>
        <w:spacing w:after="58"/>
        <w:ind w:left="284" w:right="5" w:firstLine="0"/>
      </w:pPr>
      <w:r>
        <w:t xml:space="preserve">CAB handles only the genuine exceptions while routine, pattern-conformant changes flow without manual gatekeeping (see Appendix: Integration Patterns). </w:t>
      </w:r>
    </w:p>
    <w:p w14:paraId="05E75AFE" w14:textId="77777777" w:rsidR="003F0DB8" w:rsidRDefault="00000000">
      <w:pPr>
        <w:spacing w:after="0" w:line="259" w:lineRule="auto"/>
        <w:ind w:left="0" w:firstLine="0"/>
      </w:pPr>
      <w:r>
        <w:rPr>
          <w:b/>
          <w:sz w:val="24"/>
        </w:rPr>
        <w:t xml:space="preserve"> </w:t>
      </w:r>
      <w:r>
        <w:rPr>
          <w:b/>
          <w:sz w:val="24"/>
        </w:rPr>
        <w:tab/>
        <w:t xml:space="preserve"> </w:t>
      </w:r>
    </w:p>
    <w:p w14:paraId="179A86E9" w14:textId="77777777" w:rsidR="003F0DB8" w:rsidRDefault="00000000">
      <w:pPr>
        <w:pStyle w:val="Heading3"/>
        <w:ind w:left="-5"/>
      </w:pPr>
      <w:r>
        <w:t>Cost</w:t>
      </w:r>
      <w:r>
        <w:rPr>
          <w:b w:val="0"/>
        </w:rPr>
        <w:t xml:space="preserve"> </w:t>
      </w:r>
    </w:p>
    <w:p w14:paraId="1E365ACF" w14:textId="77777777" w:rsidR="003F0DB8" w:rsidRDefault="00000000">
      <w:pPr>
        <w:numPr>
          <w:ilvl w:val="0"/>
          <w:numId w:val="120"/>
        </w:numPr>
        <w:spacing w:after="43"/>
        <w:ind w:right="5" w:hanging="284"/>
      </w:pPr>
      <w:r>
        <w:rPr>
          <w:b/>
        </w:rPr>
        <w:t>Right-Size the AIS Estate:</w:t>
      </w:r>
      <w:r>
        <w:t xml:space="preserve"> Move away from the uniform "premium-everywhere" model toward sizing proportionate to each environment's actual need. Downgrade non-production APIM to Developer, drop Premium Redis Cache in non-production, and retire the SQL Managed Instance VM file-storage workaround. Retain production-aligned tiers only where they genuinely support representative testing. </w:t>
      </w:r>
    </w:p>
    <w:p w14:paraId="26467996" w14:textId="77777777" w:rsidR="003F0DB8" w:rsidRDefault="00000000">
      <w:pPr>
        <w:numPr>
          <w:ilvl w:val="0"/>
          <w:numId w:val="120"/>
        </w:numPr>
        <w:spacing w:after="138"/>
        <w:ind w:right="5" w:hanging="284"/>
      </w:pPr>
      <w:r>
        <w:rPr>
          <w:b/>
        </w:rPr>
        <w:t>Consolidate App Service Hosting onto a Unified ASEv3:</w:t>
      </w:r>
      <w:r>
        <w:t xml:space="preserve"> Consolidate App Service hosting onto a single App Service Environment v3 spanning Prod, PreProd and Test. This increases predictability,  lower environments run on the same isolated, dedicated infrastructure as Production, removing multitenant variability so testing is genuinely representative,  and strengthens security, since workloads run on single-tenant, network-isolated infrastructure deployed directly into the VNet. Co-locate plans on the shared ASEv3 and right-size worker pools per environment (smaller in Test, scaled up in Production) to keep non-production cost proportionate while preserving the predictability and security benefits. </w:t>
      </w:r>
    </w:p>
    <w:p w14:paraId="78B346C8" w14:textId="77777777" w:rsidR="003F0DB8" w:rsidRDefault="00000000">
      <w:pPr>
        <w:pStyle w:val="Heading3"/>
        <w:ind w:left="-5"/>
      </w:pPr>
      <w:r>
        <w:t>Security</w:t>
      </w:r>
      <w:r>
        <w:rPr>
          <w:b w:val="0"/>
        </w:rPr>
        <w:t xml:space="preserve"> </w:t>
      </w:r>
    </w:p>
    <w:p w14:paraId="10AF57F3" w14:textId="77777777" w:rsidR="003F0DB8" w:rsidRDefault="00000000">
      <w:pPr>
        <w:spacing w:after="137"/>
        <w:ind w:right="5"/>
      </w:pPr>
      <w:r>
        <w:rPr>
          <w:rFonts w:ascii="Segoe UI Symbol" w:eastAsia="Segoe UI Symbol" w:hAnsi="Segoe UI Symbol" w:cs="Segoe UI Symbol"/>
          <w:sz w:val="24"/>
        </w:rPr>
        <w:t>•</w:t>
      </w:r>
      <w:r>
        <w:rPr>
          <w:rFonts w:ascii="Arial" w:eastAsia="Arial" w:hAnsi="Arial" w:cs="Arial"/>
          <w:sz w:val="24"/>
        </w:rPr>
        <w:t xml:space="preserve"> </w:t>
      </w:r>
      <w:r>
        <w:rPr>
          <w:b/>
        </w:rPr>
        <w:t>Close Out Legacy Partner Access:</w:t>
      </w:r>
      <w:r>
        <w:t xml:space="preserve"> Map dependencies on the legacy partner group, remove the legacy firewall exception, and convert standing AIS Contributor access to PIM-eligible, eliminating the permanent privilege held by developers and third parties on Production. </w:t>
      </w:r>
    </w:p>
    <w:p w14:paraId="31CDD155" w14:textId="77777777" w:rsidR="003F0DB8" w:rsidRDefault="00000000">
      <w:pPr>
        <w:pStyle w:val="Heading3"/>
        <w:ind w:left="-5"/>
      </w:pPr>
      <w:r>
        <w:lastRenderedPageBreak/>
        <w:t>Operations</w:t>
      </w:r>
      <w:r>
        <w:rPr>
          <w:b w:val="0"/>
        </w:rPr>
        <w:t xml:space="preserve"> </w:t>
      </w:r>
    </w:p>
    <w:p w14:paraId="3FE46B5E" w14:textId="77777777" w:rsidR="003F0DB8" w:rsidRDefault="00000000">
      <w:pPr>
        <w:spacing w:after="95"/>
        <w:ind w:right="5"/>
      </w:pPr>
      <w:r>
        <w:rPr>
          <w:rFonts w:ascii="Segoe UI Symbol" w:eastAsia="Segoe UI Symbol" w:hAnsi="Segoe UI Symbol" w:cs="Segoe UI Symbol"/>
          <w:sz w:val="24"/>
        </w:rPr>
        <w:t>•</w:t>
      </w:r>
      <w:r>
        <w:rPr>
          <w:rFonts w:ascii="Arial" w:eastAsia="Arial" w:hAnsi="Arial" w:cs="Arial"/>
          <w:sz w:val="24"/>
        </w:rPr>
        <w:t xml:space="preserve"> </w:t>
      </w:r>
      <w:r>
        <w:rPr>
          <w:b/>
        </w:rPr>
        <w:t>Bring AIS Under Code Control:</w:t>
      </w:r>
      <w:r>
        <w:t xml:space="preserve"> The estate already uses Terraform, so the gap is one of enforcement rather than adoption,  manual portal changes routinely override the IaC baseline because the access and deployment model permits them. Remove standing Contributor access that enables direct portal changes (converting it to PIM-eligible, time-bound elevation), and route all changes through pipeline-driven Terraform deployments so that code becomes the only sanctioned path to changing AIS infrastructure. Reconcile the current drift by importing manually-created resources back into Terraform state, then hold the baseline by ensuring no one retains the standing privilege needed to bypass it. </w:t>
      </w:r>
    </w:p>
    <w:p w14:paraId="38F7C58C" w14:textId="77777777" w:rsidR="003F0DB8" w:rsidRDefault="00000000">
      <w:pPr>
        <w:spacing w:after="0" w:line="259" w:lineRule="auto"/>
        <w:ind w:left="0" w:firstLine="0"/>
      </w:pPr>
      <w:r>
        <w:rPr>
          <w:sz w:val="24"/>
        </w:rPr>
        <w:t xml:space="preserve"> </w:t>
      </w:r>
      <w:r>
        <w:rPr>
          <w:sz w:val="24"/>
        </w:rPr>
        <w:tab/>
      </w:r>
      <w:r>
        <w:rPr>
          <w:b/>
          <w:sz w:val="28"/>
        </w:rPr>
        <w:t xml:space="preserve"> </w:t>
      </w:r>
    </w:p>
    <w:p w14:paraId="146261E1" w14:textId="77777777" w:rsidR="003F0DB8" w:rsidRDefault="00000000">
      <w:pPr>
        <w:pStyle w:val="Heading1"/>
        <w:ind w:left="-5"/>
      </w:pPr>
      <w:bookmarkStart w:id="80" w:name="_Toc96862"/>
      <w:r>
        <w:t xml:space="preserve">Appendix: Integration Patterns Example </w:t>
      </w:r>
      <w:bookmarkEnd w:id="80"/>
    </w:p>
    <w:p w14:paraId="1D51BC4C" w14:textId="77777777" w:rsidR="003F0DB8" w:rsidRDefault="00000000">
      <w:pPr>
        <w:spacing w:after="0" w:line="269" w:lineRule="auto"/>
        <w:ind w:left="10" w:right="3" w:hanging="10"/>
      </w:pPr>
      <w:r>
        <w:rPr>
          <w:sz w:val="24"/>
        </w:rPr>
        <w:t xml:space="preserve">Analyse all business flows using core patterns before drafting technical solutions. </w:t>
      </w:r>
    </w:p>
    <w:p w14:paraId="63B174FE" w14:textId="77777777" w:rsidR="003F0DB8" w:rsidRDefault="00000000">
      <w:pPr>
        <w:spacing w:after="239" w:line="259" w:lineRule="auto"/>
        <w:ind w:left="17" w:firstLine="0"/>
      </w:pPr>
      <w:r>
        <w:rPr>
          <w:noProof/>
        </w:rPr>
        <w:lastRenderedPageBreak/>
        <w:drawing>
          <wp:inline distT="0" distB="0" distL="0" distR="0" wp14:anchorId="44FAC912" wp14:editId="64009619">
            <wp:extent cx="6071616" cy="4465320"/>
            <wp:effectExtent l="0" t="0" r="0" b="0"/>
            <wp:docPr id="94657" name="Picture 94657"/>
            <wp:cNvGraphicFramePr/>
            <a:graphic xmlns:a="http://schemas.openxmlformats.org/drawingml/2006/main">
              <a:graphicData uri="http://schemas.openxmlformats.org/drawingml/2006/picture">
                <pic:pic xmlns:pic="http://schemas.openxmlformats.org/drawingml/2006/picture">
                  <pic:nvPicPr>
                    <pic:cNvPr id="94657" name="Picture 94657"/>
                    <pic:cNvPicPr/>
                  </pic:nvPicPr>
                  <pic:blipFill>
                    <a:blip r:embed="rId50"/>
                    <a:stretch>
                      <a:fillRect/>
                    </a:stretch>
                  </pic:blipFill>
                  <pic:spPr>
                    <a:xfrm>
                      <a:off x="0" y="0"/>
                      <a:ext cx="6071616" cy="4465320"/>
                    </a:xfrm>
                    <a:prstGeom prst="rect">
                      <a:avLst/>
                    </a:prstGeom>
                  </pic:spPr>
                </pic:pic>
              </a:graphicData>
            </a:graphic>
          </wp:inline>
        </w:drawing>
      </w:r>
    </w:p>
    <w:p w14:paraId="29E215C2" w14:textId="77777777" w:rsidR="003F0DB8" w:rsidRDefault="00000000">
      <w:pPr>
        <w:spacing w:after="1" w:line="259" w:lineRule="auto"/>
        <w:ind w:left="0" w:firstLine="0"/>
      </w:pPr>
      <w:r>
        <w:rPr>
          <w:sz w:val="24"/>
        </w:rPr>
        <w:t xml:space="preserve"> </w:t>
      </w:r>
    </w:p>
    <w:p w14:paraId="61697304" w14:textId="77777777" w:rsidR="003F0DB8" w:rsidRDefault="00000000">
      <w:pPr>
        <w:pStyle w:val="Heading3"/>
        <w:spacing w:after="2"/>
        <w:ind w:left="-5"/>
      </w:pPr>
      <w:r>
        <w:t xml:space="preserve">Pattern 1  </w:t>
      </w:r>
    </w:p>
    <w:p w14:paraId="256E3B7E" w14:textId="77777777" w:rsidR="003F0DB8" w:rsidRDefault="00000000">
      <w:pPr>
        <w:spacing w:after="0" w:line="269" w:lineRule="auto"/>
        <w:ind w:left="10" w:right="3" w:hanging="10"/>
      </w:pPr>
      <w:r>
        <w:rPr>
          <w:sz w:val="24"/>
        </w:rPr>
        <w:t xml:space="preserve">All systems operate horizontally. Data produced by the system mastering a given entity is pushed AIS whenever an event or recurrence occurs. This provides full visibility of each data flow, with audit trails and notifications available for any infrastructure outages or performance issues </w:t>
      </w:r>
    </w:p>
    <w:p w14:paraId="10ED1EDA" w14:textId="77777777" w:rsidR="003F0DB8" w:rsidRDefault="00000000">
      <w:pPr>
        <w:spacing w:after="0" w:line="259" w:lineRule="auto"/>
        <w:ind w:left="0" w:firstLine="0"/>
      </w:pPr>
      <w:r>
        <w:rPr>
          <w:sz w:val="24"/>
        </w:rPr>
        <w:t xml:space="preserve"> </w:t>
      </w:r>
    </w:p>
    <w:p w14:paraId="73C54F02" w14:textId="77777777" w:rsidR="003F0DB8" w:rsidRDefault="00000000">
      <w:pPr>
        <w:pStyle w:val="Heading3"/>
        <w:spacing w:after="0"/>
        <w:ind w:left="-5"/>
      </w:pPr>
      <w:r>
        <w:lastRenderedPageBreak/>
        <w:t>Pattern 2</w:t>
      </w:r>
      <w:r>
        <w:rPr>
          <w:b w:val="0"/>
        </w:rPr>
        <w:t xml:space="preserve"> </w:t>
      </w:r>
    </w:p>
    <w:p w14:paraId="7374FA4E" w14:textId="77777777" w:rsidR="003F0DB8" w:rsidRDefault="00000000">
      <w:pPr>
        <w:spacing w:after="0" w:line="269" w:lineRule="auto"/>
        <w:ind w:left="10" w:right="3" w:hanging="10"/>
      </w:pPr>
      <w:r>
        <w:rPr>
          <w:sz w:val="24"/>
        </w:rPr>
        <w:t xml:space="preserve">This pattern introduces an external integration layer, such as MuleSoft, between systems. Data is pre-processed within that layer, which can result in hidden transformations and undocumented business logic. Monitoring multiple platforms also increases troubleshooting complexity and may reduce visibility into infrastructure issues affecting the external integration platform. </w:t>
      </w:r>
    </w:p>
    <w:p w14:paraId="69B388D4" w14:textId="77777777" w:rsidR="003F0DB8" w:rsidRDefault="00000000">
      <w:pPr>
        <w:pStyle w:val="Heading3"/>
        <w:spacing w:after="0"/>
        <w:ind w:left="-5"/>
      </w:pPr>
      <w:r>
        <w:t xml:space="preserve">Pattern 3 </w:t>
      </w:r>
    </w:p>
    <w:p w14:paraId="27952F05" w14:textId="77777777" w:rsidR="003F0DB8" w:rsidRDefault="00000000">
      <w:pPr>
        <w:spacing w:after="0" w:line="269" w:lineRule="auto"/>
        <w:ind w:left="10" w:right="3" w:hanging="10"/>
      </w:pPr>
      <w:r>
        <w:rPr>
          <w:sz w:val="24"/>
        </w:rPr>
        <w:t xml:space="preserve">This pattern involves systems acting as master data sources for given entities, processing data from other third-party systems. Data is considered second-hand, with potential traceability issues in integration flows between hidden publishers and systems publishing to AIS. If traceability is deemed non-critical, this pattern can be simplified to the Pattern 1. </w:t>
      </w:r>
    </w:p>
    <w:p w14:paraId="21398BEA" w14:textId="77777777" w:rsidR="003F0DB8" w:rsidRDefault="00000000">
      <w:pPr>
        <w:spacing w:after="1" w:line="259" w:lineRule="auto"/>
        <w:ind w:left="0" w:firstLine="0"/>
      </w:pPr>
      <w:r>
        <w:rPr>
          <w:sz w:val="24"/>
        </w:rPr>
        <w:t xml:space="preserve"> </w:t>
      </w:r>
    </w:p>
    <w:p w14:paraId="37B95338" w14:textId="77777777" w:rsidR="003F0DB8" w:rsidRDefault="00000000">
      <w:pPr>
        <w:spacing w:after="0" w:line="259" w:lineRule="auto"/>
        <w:ind w:left="0" w:firstLine="0"/>
      </w:pPr>
      <w:r>
        <w:rPr>
          <w:sz w:val="24"/>
        </w:rPr>
        <w:t xml:space="preserve"> </w:t>
      </w:r>
    </w:p>
    <w:p w14:paraId="5BBA628F" w14:textId="77777777" w:rsidR="003F0DB8" w:rsidRDefault="00000000">
      <w:pPr>
        <w:pStyle w:val="Heading3"/>
        <w:spacing w:after="0"/>
        <w:ind w:left="-5"/>
      </w:pPr>
      <w:r>
        <w:t>Pattern 4</w:t>
      </w:r>
      <w:r>
        <w:rPr>
          <w:b w:val="0"/>
        </w:rPr>
        <w:t xml:space="preserve"> </w:t>
      </w:r>
    </w:p>
    <w:p w14:paraId="1863F246" w14:textId="77777777" w:rsidR="003F0DB8" w:rsidRDefault="00000000">
      <w:pPr>
        <w:spacing w:after="3" w:line="269" w:lineRule="auto"/>
        <w:ind w:left="10" w:right="3" w:hanging="10"/>
      </w:pPr>
      <w:r>
        <w:rPr>
          <w:sz w:val="24"/>
        </w:rPr>
        <w:t xml:space="preserve">In this collaboration pattern, external systems exchange data with a vendor integration solution hosted within the AIS landing zone. Services are securely hosted in the AIS landing zone. Communication between vendor integration services and external systems occurs via APIM, while communication can utilize the AIS landing zone and monitoring. </w:t>
      </w:r>
    </w:p>
    <w:p w14:paraId="4D52379A" w14:textId="77777777" w:rsidR="003F0DB8" w:rsidRDefault="00000000">
      <w:pPr>
        <w:spacing w:after="1" w:line="259" w:lineRule="auto"/>
        <w:ind w:left="0" w:firstLine="0"/>
      </w:pPr>
      <w:r>
        <w:rPr>
          <w:sz w:val="24"/>
        </w:rPr>
        <w:t xml:space="preserve"> </w:t>
      </w:r>
    </w:p>
    <w:p w14:paraId="662BF66B" w14:textId="77777777" w:rsidR="003F0DB8" w:rsidRDefault="00000000">
      <w:pPr>
        <w:pStyle w:val="Heading3"/>
        <w:spacing w:after="74"/>
        <w:ind w:left="-5"/>
      </w:pPr>
      <w:r>
        <w:t xml:space="preserve">Pattern 5 </w:t>
      </w:r>
    </w:p>
    <w:p w14:paraId="3F996128" w14:textId="77777777" w:rsidR="003F0DB8" w:rsidRDefault="00000000">
      <w:pPr>
        <w:spacing w:after="219" w:line="269" w:lineRule="auto"/>
        <w:ind w:left="10" w:right="3" w:hanging="10"/>
      </w:pPr>
      <w:r>
        <w:rPr>
          <w:sz w:val="24"/>
        </w:rPr>
        <w:t xml:space="preserve">The Master Data pattern (EDP) uses a Master Data Solution (MDS) as the single source of truth for key entities when no specific system has been designated as the master. Source systems integrate with the MDS to provide key data, which is then distributed to downstream systems through event-driven or scheduled processes. This pattern provides end-to-end visibility of data flows through audit trails, notifications, and infrastructure monitoring. However, it also increases the number of integrations and overall solution complexity, which can lead to higher implementation and operating costs. In return, it improves business data visibility and strengthens integration resilience, helping ensure accurate data remains available even if some source systems are temporarily unavailable. </w:t>
      </w:r>
    </w:p>
    <w:p w14:paraId="7A30FFCA" w14:textId="77777777" w:rsidR="003F0DB8" w:rsidRDefault="00000000">
      <w:pPr>
        <w:spacing w:after="0" w:line="259" w:lineRule="auto"/>
        <w:ind w:left="0" w:firstLine="0"/>
      </w:pPr>
      <w:r>
        <w:rPr>
          <w:sz w:val="24"/>
        </w:rPr>
        <w:t xml:space="preserve"> </w:t>
      </w:r>
      <w:r>
        <w:rPr>
          <w:sz w:val="24"/>
        </w:rPr>
        <w:tab/>
      </w:r>
      <w:r>
        <w:rPr>
          <w:b/>
          <w:sz w:val="32"/>
        </w:rPr>
        <w:t xml:space="preserve"> </w:t>
      </w:r>
    </w:p>
    <w:p w14:paraId="44D1D46E" w14:textId="77777777" w:rsidR="003F0DB8" w:rsidRDefault="00000000">
      <w:pPr>
        <w:pStyle w:val="Heading1"/>
        <w:spacing w:after="86"/>
        <w:ind w:left="-5"/>
      </w:pPr>
      <w:bookmarkStart w:id="81" w:name="_Toc96863"/>
      <w:r>
        <w:rPr>
          <w:sz w:val="32"/>
        </w:rPr>
        <w:lastRenderedPageBreak/>
        <w:t xml:space="preserve">Focus Area: Data and AI Platforms </w:t>
      </w:r>
      <w:bookmarkEnd w:id="81"/>
    </w:p>
    <w:p w14:paraId="40CF571A" w14:textId="77777777" w:rsidR="003F0DB8" w:rsidRDefault="00000000">
      <w:pPr>
        <w:pStyle w:val="Heading1"/>
        <w:ind w:left="-5"/>
      </w:pPr>
      <w:bookmarkStart w:id="82" w:name="_Toc96864"/>
      <w:r>
        <w:t xml:space="preserve">Current State Overview </w:t>
      </w:r>
      <w:bookmarkEnd w:id="82"/>
    </w:p>
    <w:p w14:paraId="6D4D63CC" w14:textId="77777777" w:rsidR="003F0DB8" w:rsidRDefault="00000000">
      <w:pPr>
        <w:spacing w:after="110" w:line="269" w:lineRule="auto"/>
        <w:ind w:left="10" w:right="3" w:hanging="10"/>
      </w:pPr>
      <w:r>
        <w:rPr>
          <w:sz w:val="24"/>
        </w:rPr>
        <w:t xml:space="preserve">CQC’s Data and AI platform landscape is operating in a </w:t>
      </w:r>
      <w:r>
        <w:rPr>
          <w:b/>
          <w:sz w:val="24"/>
        </w:rPr>
        <w:t>transitional and fragmented state</w:t>
      </w:r>
      <w:r>
        <w:rPr>
          <w:sz w:val="24"/>
        </w:rPr>
        <w:t xml:space="preserve">, characterised by a large and diverse Azure estate with inconsistent configuration patterns and a significant volume of legacy resources that have not yet been decommissioned. While strategic direction is emerging across the Enterprise Data Platform (EDP), Data Science, and AI, these capabilities are not yet fully implemented or operationalised at scale. </w:t>
      </w:r>
    </w:p>
    <w:p w14:paraId="4CFA83C4" w14:textId="77777777" w:rsidR="003F0DB8" w:rsidRDefault="00000000">
      <w:pPr>
        <w:spacing w:after="110" w:line="269" w:lineRule="auto"/>
        <w:ind w:left="10" w:right="3" w:hanging="10"/>
      </w:pPr>
      <w:r>
        <w:rPr>
          <w:sz w:val="24"/>
        </w:rPr>
        <w:t xml:space="preserve">The estate reflects </w:t>
      </w:r>
      <w:r>
        <w:rPr>
          <w:b/>
          <w:sz w:val="24"/>
        </w:rPr>
        <w:t>parallel operating models</w:t>
      </w:r>
      <w:r>
        <w:rPr>
          <w:sz w:val="24"/>
        </w:rPr>
        <w:t xml:space="preserve">, with legacy and target-state platforms coexisting without clear convergence. This fragmentation is most evident across core services including EDP, data integration, governance tooling, and AI workloads, where differing architectural patterns, security postures, and operational approaches persist. The primary areas requiring focus are </w:t>
      </w:r>
      <w:r>
        <w:rPr>
          <w:b/>
          <w:sz w:val="24"/>
        </w:rPr>
        <w:t>governance, security, and operating model definition</w:t>
      </w:r>
      <w:r>
        <w:rPr>
          <w:sz w:val="24"/>
        </w:rPr>
        <w:t xml:space="preserve">, underpinned by the need to establish a cohesive, resilient platform foundation aligned to a clear architectural direction. </w:t>
      </w:r>
    </w:p>
    <w:p w14:paraId="419DDD61" w14:textId="77777777" w:rsidR="003F0DB8" w:rsidRDefault="00000000">
      <w:pPr>
        <w:spacing w:after="12" w:line="269" w:lineRule="auto"/>
        <w:ind w:left="10" w:right="3" w:hanging="10"/>
      </w:pPr>
      <w:r>
        <w:rPr>
          <w:sz w:val="24"/>
        </w:rPr>
        <w:t xml:space="preserve">EDP represents the organisation’s ambition to establish a </w:t>
      </w:r>
      <w:r>
        <w:rPr>
          <w:b/>
          <w:sz w:val="24"/>
        </w:rPr>
        <w:t>single source of truth</w:t>
      </w:r>
      <w:r>
        <w:rPr>
          <w:sz w:val="24"/>
        </w:rPr>
        <w:t xml:space="preserve"> and the backbone for data-driven regulation. </w:t>
      </w:r>
    </w:p>
    <w:p w14:paraId="6042B0A5" w14:textId="77777777" w:rsidR="003F0DB8" w:rsidRDefault="00000000">
      <w:pPr>
        <w:spacing w:after="110" w:line="269" w:lineRule="auto"/>
        <w:ind w:left="10" w:right="3" w:hanging="10"/>
      </w:pPr>
      <w:r>
        <w:rPr>
          <w:sz w:val="24"/>
        </w:rPr>
        <w:t xml:space="preserve">However, the current implementation remains split between a legacy Avanade-delivered “ARA” framework and an emerging Microsoft Fabric-led target architecture, resulting in duplication of capability and constrained modernisation. Supporting platform services are similarly fragmented: Microsoft Purview operates across multiple instances and portals; Azure Data Factory estates are large, costly, and inconsistently managed; and Azure Synapse workloads are siloed and difficult to support. </w:t>
      </w:r>
    </w:p>
    <w:p w14:paraId="797FA50C" w14:textId="77777777" w:rsidR="003F0DB8" w:rsidRDefault="00000000">
      <w:pPr>
        <w:spacing w:after="110" w:line="269" w:lineRule="auto"/>
        <w:ind w:left="10" w:right="3" w:hanging="10"/>
      </w:pPr>
      <w:r>
        <w:rPr>
          <w:sz w:val="24"/>
        </w:rPr>
        <w:t xml:space="preserve">The Data Science and AI landscape demonstrates the same pattern. Multiple historical implementations of Azure Machine Learning Studio and Foundry remain active, each with differing configurations and levels of governance. Delivery remains largely experimental, with limited productionisation. A new interim platform and strategy have been defined, providing a </w:t>
      </w:r>
      <w:r>
        <w:rPr>
          <w:b/>
          <w:sz w:val="24"/>
        </w:rPr>
        <w:t>solid foundational direction (developing maturity)</w:t>
      </w:r>
      <w:r>
        <w:rPr>
          <w:sz w:val="24"/>
        </w:rPr>
        <w:t xml:space="preserve">, but these have not yet been consistently embedded across the estate. </w:t>
      </w:r>
    </w:p>
    <w:p w14:paraId="30EBA7E9" w14:textId="77777777" w:rsidR="003F0DB8" w:rsidRDefault="00000000">
      <w:pPr>
        <w:spacing w:after="0" w:line="259" w:lineRule="auto"/>
        <w:ind w:left="0" w:firstLine="0"/>
      </w:pPr>
      <w:r>
        <w:rPr>
          <w:b/>
          <w:sz w:val="24"/>
        </w:rPr>
        <w:t xml:space="preserve"> </w:t>
      </w:r>
    </w:p>
    <w:p w14:paraId="5B955482" w14:textId="77777777" w:rsidR="003F0DB8" w:rsidRDefault="00000000">
      <w:pPr>
        <w:pStyle w:val="Heading1"/>
        <w:spacing w:after="140"/>
        <w:ind w:left="-5"/>
      </w:pPr>
      <w:bookmarkStart w:id="83" w:name="_Toc96865"/>
      <w:r>
        <w:lastRenderedPageBreak/>
        <w:t xml:space="preserve">Observations - Data Platform  </w:t>
      </w:r>
      <w:bookmarkEnd w:id="83"/>
    </w:p>
    <w:p w14:paraId="0AD7E848" w14:textId="77777777" w:rsidR="003F0DB8" w:rsidRDefault="00000000">
      <w:pPr>
        <w:pStyle w:val="Heading3"/>
        <w:ind w:left="-5"/>
      </w:pPr>
      <w:r>
        <w:t xml:space="preserve">EDP - The “ARA Lock-In” </w:t>
      </w:r>
    </w:p>
    <w:p w14:paraId="17F6B899" w14:textId="77777777" w:rsidR="003F0DB8" w:rsidRDefault="00000000">
      <w:pPr>
        <w:spacing w:after="191" w:line="269" w:lineRule="auto"/>
        <w:ind w:left="10" w:right="3" w:hanging="10"/>
      </w:pPr>
      <w:r>
        <w:rPr>
          <w:sz w:val="24"/>
        </w:rPr>
        <w:t xml:space="preserve">The Avanade ARA framework introduces structural lock-in, with YAML-driven ADF pipeline generation, duplicated pipeline patterns, and reliance on a Node 4 support contract. Core platform changes require third-party engagement, limiting CQC’s ability to control the pace of modernisation. Debugging is complex and operational ownership is diluted. </w:t>
      </w:r>
    </w:p>
    <w:p w14:paraId="6F148006" w14:textId="77777777" w:rsidR="003F0DB8" w:rsidRDefault="00000000">
      <w:pPr>
        <w:pStyle w:val="Heading3"/>
        <w:ind w:left="-5"/>
      </w:pPr>
      <w:r>
        <w:t xml:space="preserve"> Data Factory - Source Control, Parameterisation and Workload </w:t>
      </w:r>
    </w:p>
    <w:p w14:paraId="00805A19" w14:textId="77777777" w:rsidR="003F0DB8" w:rsidRDefault="00000000">
      <w:pPr>
        <w:spacing w:after="187" w:line="269" w:lineRule="auto"/>
        <w:ind w:left="10" w:right="3" w:hanging="10"/>
      </w:pPr>
      <w:r>
        <w:rPr>
          <w:sz w:val="24"/>
        </w:rPr>
        <w:t xml:space="preserve">The estate includes </w:t>
      </w:r>
      <w:r>
        <w:rPr>
          <w:b/>
          <w:sz w:val="24"/>
        </w:rPr>
        <w:t>21 ADF instances</w:t>
      </w:r>
      <w:r>
        <w:rPr>
          <w:sz w:val="24"/>
        </w:rPr>
        <w:t xml:space="preserve">, most without source control or CI/CD integration. Parameterisation is inconsistent, with duplicated linked services and datasets driven by hardcoded values. Naming conventions are inconsistent and some production instances are unused. Deployment is effectively uncontrolled, with recovery dependent on manual recreation, introducing </w:t>
      </w:r>
      <w:r>
        <w:rPr>
          <w:b/>
          <w:sz w:val="24"/>
        </w:rPr>
        <w:t>binary operational risk</w:t>
      </w:r>
      <w:r>
        <w:rPr>
          <w:sz w:val="24"/>
        </w:rPr>
        <w:t xml:space="preserve"> in failure scenarios.  </w:t>
      </w:r>
    </w:p>
    <w:p w14:paraId="570D248F" w14:textId="77777777" w:rsidR="003F0DB8" w:rsidRDefault="00000000">
      <w:pPr>
        <w:pStyle w:val="Heading3"/>
        <w:ind w:left="-5"/>
      </w:pPr>
      <w:r>
        <w:t xml:space="preserve">Synapse Analytics - Public Exposure and Legacy Workload </w:t>
      </w:r>
    </w:p>
    <w:p w14:paraId="2E4053A0" w14:textId="77777777" w:rsidR="003F0DB8" w:rsidRDefault="00000000">
      <w:pPr>
        <w:spacing w:after="191" w:line="269" w:lineRule="auto"/>
        <w:ind w:left="10" w:right="3" w:hanging="10"/>
      </w:pPr>
      <w:r>
        <w:rPr>
          <w:sz w:val="24"/>
        </w:rPr>
        <w:t xml:space="preserve">Synapse environments exhibit </w:t>
      </w:r>
      <w:r>
        <w:rPr>
          <w:b/>
          <w:sz w:val="24"/>
        </w:rPr>
        <w:t>incomplete security controls</w:t>
      </w:r>
      <w:r>
        <w:rPr>
          <w:sz w:val="24"/>
        </w:rPr>
        <w:t xml:space="preserve">, including enabled public network access, lack of data exfiltration protection, and no SQL auditing. Supportability is low, with limited knowledge retained within operational teams. Given current usage is limited (primarily Finance via Synapse Link), the workload represents a </w:t>
      </w:r>
      <w:r>
        <w:rPr>
          <w:b/>
          <w:sz w:val="24"/>
        </w:rPr>
        <w:t>candidate for rationalisation to Microsoft Fabric</w:t>
      </w:r>
      <w:r>
        <w:rPr>
          <w:sz w:val="24"/>
        </w:rPr>
        <w:t xml:space="preserve">.  </w:t>
      </w:r>
    </w:p>
    <w:p w14:paraId="74D4DF9D" w14:textId="77777777" w:rsidR="003F0DB8" w:rsidRDefault="00000000">
      <w:pPr>
        <w:pStyle w:val="Heading3"/>
        <w:ind w:left="-5"/>
      </w:pPr>
      <w:r>
        <w:t xml:space="preserve">Fabric - Monolithic Capacity and Non-Production Gaps </w:t>
      </w:r>
    </w:p>
    <w:p w14:paraId="2593769C" w14:textId="77777777" w:rsidR="003F0DB8" w:rsidRDefault="00000000">
      <w:pPr>
        <w:spacing w:after="110" w:line="269" w:lineRule="auto"/>
        <w:ind w:left="10" w:right="3" w:hanging="10"/>
      </w:pPr>
      <w:r>
        <w:rPr>
          <w:sz w:val="24"/>
        </w:rPr>
        <w:t xml:space="preserve">Fabric adoption is limited and capacity design is monolithic (F64, F128), with no pause/resume or scaling automation. This creates both </w:t>
      </w:r>
      <w:r>
        <w:rPr>
          <w:b/>
          <w:sz w:val="24"/>
        </w:rPr>
        <w:t>cost inefficiency and workload contention risk</w:t>
      </w:r>
      <w:r>
        <w:rPr>
          <w:sz w:val="24"/>
        </w:rPr>
        <w:t xml:space="preserve">, where competing workloads degrade performance and increase operational instability.  </w:t>
      </w:r>
    </w:p>
    <w:p w14:paraId="2539F9CB" w14:textId="77777777" w:rsidR="003F0DB8" w:rsidRDefault="00000000">
      <w:pPr>
        <w:pStyle w:val="Heading3"/>
        <w:ind w:left="-5"/>
      </w:pPr>
      <w:r>
        <w:t xml:space="preserve">Fabric/Power BI - Dataflow Gen1 Dependency </w:t>
      </w:r>
    </w:p>
    <w:p w14:paraId="3C30A049" w14:textId="77777777" w:rsidR="003F0DB8" w:rsidRDefault="00000000">
      <w:pPr>
        <w:spacing w:after="191" w:line="269" w:lineRule="auto"/>
        <w:ind w:left="10" w:right="3" w:hanging="10"/>
      </w:pPr>
      <w:r>
        <w:rPr>
          <w:sz w:val="24"/>
        </w:rPr>
        <w:t xml:space="preserve">Significant reliance exists on </w:t>
      </w:r>
      <w:r>
        <w:rPr>
          <w:b/>
          <w:sz w:val="24"/>
        </w:rPr>
        <w:t>Dataflow Gen1</w:t>
      </w:r>
      <w:r>
        <w:rPr>
          <w:sz w:val="24"/>
        </w:rPr>
        <w:t xml:space="preserve">, which is legacy and approaching deprecation. Transformation logic is duplicated across the data estate, increasing complexity and reducing maintainability. Business logic is distributed across multiple layers, complicating support and change management.  </w:t>
      </w:r>
    </w:p>
    <w:p w14:paraId="3081EB8F" w14:textId="77777777" w:rsidR="003F0DB8" w:rsidRDefault="00000000">
      <w:pPr>
        <w:pStyle w:val="Heading3"/>
        <w:ind w:left="-5"/>
      </w:pPr>
      <w:r>
        <w:lastRenderedPageBreak/>
        <w:t xml:space="preserve">Inconsistent Encryption Posture </w:t>
      </w:r>
    </w:p>
    <w:p w14:paraId="03369B07" w14:textId="77777777" w:rsidR="003F0DB8" w:rsidRDefault="00000000">
      <w:pPr>
        <w:spacing w:after="150" w:line="269" w:lineRule="auto"/>
        <w:ind w:left="10" w:right="3" w:hanging="10"/>
      </w:pPr>
      <w:r>
        <w:rPr>
          <w:sz w:val="24"/>
        </w:rPr>
        <w:t xml:space="preserve">Encryption approaches vary significantly across the estate. Synapse uses Customer Managed Keys, while Databricks, Azure OpenAI, and AI Foundry use Microsoft-managed keys. This results in </w:t>
      </w:r>
      <w:r>
        <w:rPr>
          <w:b/>
          <w:sz w:val="24"/>
        </w:rPr>
        <w:t>weaker security controls for AI workloads</w:t>
      </w:r>
      <w:r>
        <w:rPr>
          <w:sz w:val="24"/>
        </w:rPr>
        <w:t xml:space="preserve">, which often handle sensitive training and prompt data. </w:t>
      </w:r>
    </w:p>
    <w:p w14:paraId="60E6195B" w14:textId="77777777" w:rsidR="003F0DB8" w:rsidRDefault="00000000">
      <w:pPr>
        <w:spacing w:after="254" w:line="259" w:lineRule="auto"/>
        <w:ind w:left="0" w:firstLine="0"/>
      </w:pPr>
      <w:r>
        <w:rPr>
          <w:sz w:val="24"/>
        </w:rPr>
        <w:t xml:space="preserve"> </w:t>
      </w:r>
    </w:p>
    <w:p w14:paraId="7667B2A4" w14:textId="77777777" w:rsidR="003F0DB8" w:rsidRDefault="00000000">
      <w:pPr>
        <w:pStyle w:val="Heading1"/>
        <w:spacing w:after="140"/>
        <w:ind w:left="-5"/>
      </w:pPr>
      <w:bookmarkStart w:id="84" w:name="_Toc96866"/>
      <w:r>
        <w:t xml:space="preserve">Observations - Data Governance (Purview) </w:t>
      </w:r>
      <w:bookmarkEnd w:id="84"/>
    </w:p>
    <w:p w14:paraId="033D34B8" w14:textId="77777777" w:rsidR="003F0DB8" w:rsidRDefault="00000000">
      <w:pPr>
        <w:pStyle w:val="Heading3"/>
        <w:ind w:left="-5"/>
      </w:pPr>
      <w:r>
        <w:t xml:space="preserve">Two-Portal Purview Split </w:t>
      </w:r>
    </w:p>
    <w:p w14:paraId="5E1C2320" w14:textId="77777777" w:rsidR="003F0DB8" w:rsidRDefault="00000000">
      <w:pPr>
        <w:spacing w:after="187" w:line="269" w:lineRule="auto"/>
        <w:ind w:left="10" w:right="3" w:hanging="10"/>
      </w:pPr>
      <w:r>
        <w:rPr>
          <w:sz w:val="24"/>
        </w:rPr>
        <w:t xml:space="preserve">Purview operates across two instances, with production still on the legacy portal and no clear ownership or access to complete migration. This prevents </w:t>
      </w:r>
      <w:r>
        <w:rPr>
          <w:b/>
          <w:sz w:val="24"/>
        </w:rPr>
        <w:t>consistent catalogue management, classification, and governance enforcement</w:t>
      </w:r>
      <w:r>
        <w:rPr>
          <w:sz w:val="24"/>
        </w:rPr>
        <w:t xml:space="preserve"> across environments. </w:t>
      </w:r>
    </w:p>
    <w:p w14:paraId="787C69E0" w14:textId="77777777" w:rsidR="003F0DB8" w:rsidRDefault="00000000">
      <w:pPr>
        <w:pStyle w:val="Heading3"/>
        <w:ind w:left="-5"/>
      </w:pPr>
      <w:r>
        <w:t xml:space="preserve">GDPR Retention Vacuum </w:t>
      </w:r>
    </w:p>
    <w:p w14:paraId="57F6B2C1" w14:textId="77777777" w:rsidR="003F0DB8" w:rsidRDefault="00000000">
      <w:pPr>
        <w:spacing w:after="151" w:line="269" w:lineRule="auto"/>
        <w:ind w:left="10" w:right="3" w:hanging="10"/>
      </w:pPr>
      <w:r>
        <w:rPr>
          <w:sz w:val="24"/>
        </w:rPr>
        <w:t xml:space="preserve">Sensitivity labelling is not operationalised, and GDPR-sensitive NHS ESR data is stored without defined retention policies. Data is held indefinitely in interim storage accounts, creating a </w:t>
      </w:r>
      <w:r>
        <w:rPr>
          <w:b/>
          <w:sz w:val="24"/>
        </w:rPr>
        <w:t>live compliance risk</w:t>
      </w:r>
      <w:r>
        <w:rPr>
          <w:sz w:val="24"/>
        </w:rPr>
        <w:t xml:space="preserve">, compounded by the absence of enforceable classification-driven controls. </w:t>
      </w:r>
    </w:p>
    <w:p w14:paraId="2E348409" w14:textId="77777777" w:rsidR="003F0DB8" w:rsidRDefault="00000000">
      <w:pPr>
        <w:spacing w:after="0" w:line="259" w:lineRule="auto"/>
        <w:ind w:left="0" w:firstLine="0"/>
      </w:pPr>
      <w:r>
        <w:rPr>
          <w:sz w:val="24"/>
        </w:rPr>
        <w:t xml:space="preserve"> </w:t>
      </w:r>
    </w:p>
    <w:p w14:paraId="2FBA12A8" w14:textId="77777777" w:rsidR="003F0DB8" w:rsidRDefault="00000000">
      <w:pPr>
        <w:pStyle w:val="Heading1"/>
        <w:spacing w:after="140"/>
        <w:ind w:left="-5"/>
      </w:pPr>
      <w:bookmarkStart w:id="85" w:name="_Toc96867"/>
      <w:r>
        <w:t xml:space="preserve">Observations - AI and ML Operations </w:t>
      </w:r>
      <w:bookmarkEnd w:id="85"/>
    </w:p>
    <w:p w14:paraId="106A7227" w14:textId="77777777" w:rsidR="003F0DB8" w:rsidRDefault="00000000">
      <w:pPr>
        <w:pStyle w:val="Heading3"/>
        <w:ind w:left="-5"/>
      </w:pPr>
      <w:r>
        <w:t xml:space="preserve">Data Science and AI Journey  </w:t>
      </w:r>
    </w:p>
    <w:p w14:paraId="5EAA01B5" w14:textId="77777777" w:rsidR="003F0DB8" w:rsidRDefault="00000000">
      <w:pPr>
        <w:spacing w:after="150" w:line="285" w:lineRule="auto"/>
        <w:ind w:left="-5" w:right="387" w:hanging="10"/>
        <w:jc w:val="both"/>
      </w:pPr>
      <w:r>
        <w:rPr>
          <w:sz w:val="24"/>
        </w:rPr>
        <w:t xml:space="preserve">The estate contains multiple legacy implementations of ML Studio and Foundry, none fully decommissioned. A new platform pattern is emerging, supported by a strategy that provides a </w:t>
      </w:r>
      <w:r>
        <w:rPr>
          <w:b/>
          <w:sz w:val="24"/>
        </w:rPr>
        <w:t>solid but developing foundation (Level 2–3 maturity)</w:t>
      </w:r>
      <w:r>
        <w:rPr>
          <w:sz w:val="24"/>
        </w:rPr>
        <w:t xml:space="preserve">. However, this requires evolution towards automation, standardisation, and product-led delivery.   </w:t>
      </w:r>
    </w:p>
    <w:p w14:paraId="3B1057CB" w14:textId="77777777" w:rsidR="003F0DB8" w:rsidRDefault="00000000">
      <w:pPr>
        <w:pStyle w:val="Heading3"/>
        <w:ind w:left="-5"/>
      </w:pPr>
      <w:r>
        <w:lastRenderedPageBreak/>
        <w:t xml:space="preserve">Public Package, Private Risk </w:t>
      </w:r>
    </w:p>
    <w:p w14:paraId="7D04D4D1" w14:textId="77777777" w:rsidR="003F0DB8" w:rsidRDefault="00000000">
      <w:pPr>
        <w:spacing w:after="170" w:line="269" w:lineRule="auto"/>
        <w:ind w:left="10" w:right="3" w:hanging="10"/>
      </w:pPr>
      <w:r>
        <w:rPr>
          <w:sz w:val="24"/>
        </w:rPr>
        <w:t xml:space="preserve">Data-science workloads rely on pulling public packages and container images from external sources, with vulnerability scanning performed via Defender for Cloud post-build. There is no formalised process or pipeline control, introducing </w:t>
      </w:r>
      <w:r>
        <w:rPr>
          <w:b/>
          <w:sz w:val="24"/>
        </w:rPr>
        <w:t>supply-chain risk</w:t>
      </w:r>
      <w:r>
        <w:rPr>
          <w:sz w:val="24"/>
        </w:rPr>
        <w:t xml:space="preserve"> and placing responsibility at the individual practitioner level. </w:t>
      </w:r>
    </w:p>
    <w:p w14:paraId="3D656078" w14:textId="77777777" w:rsidR="003F0DB8" w:rsidRDefault="00000000">
      <w:pPr>
        <w:pStyle w:val="Heading3"/>
        <w:ind w:left="-5"/>
      </w:pPr>
      <w:r>
        <w:t xml:space="preserve">Lack of MLOps Maturity </w:t>
      </w:r>
    </w:p>
    <w:p w14:paraId="7532AFE3" w14:textId="77777777" w:rsidR="003F0DB8" w:rsidRDefault="00000000">
      <w:pPr>
        <w:spacing w:after="191" w:line="269" w:lineRule="auto"/>
        <w:ind w:left="10" w:right="3" w:hanging="10"/>
      </w:pPr>
      <w:r>
        <w:rPr>
          <w:sz w:val="24"/>
        </w:rPr>
        <w:t xml:space="preserve">There is currently </w:t>
      </w:r>
      <w:r>
        <w:rPr>
          <w:b/>
          <w:sz w:val="24"/>
        </w:rPr>
        <w:t>no formal MLOps capability</w:t>
      </w:r>
      <w:r>
        <w:rPr>
          <w:sz w:val="24"/>
        </w:rPr>
        <w:t xml:space="preserve">. Model deployment, monitoring, and retraining are largely manual, limiting supportability and auditability of production AI workloads. While strategy documents outline high-level concepts, they do not define a complete end-to-end MLOps framework.  </w:t>
      </w:r>
    </w:p>
    <w:p w14:paraId="34927E91" w14:textId="77777777" w:rsidR="003F0DB8" w:rsidRDefault="00000000">
      <w:pPr>
        <w:pStyle w:val="Heading3"/>
        <w:ind w:left="-5"/>
      </w:pPr>
      <w:r>
        <w:t xml:space="preserve">Embedding AI and ML  </w:t>
      </w:r>
    </w:p>
    <w:p w14:paraId="730E581D" w14:textId="77777777" w:rsidR="003F0DB8" w:rsidRDefault="00000000">
      <w:pPr>
        <w:spacing w:after="110" w:line="269" w:lineRule="auto"/>
        <w:ind w:left="10" w:right="3" w:hanging="10"/>
      </w:pPr>
      <w:r>
        <w:rPr>
          <w:sz w:val="24"/>
        </w:rPr>
        <w:t xml:space="preserve">The current approach is weighted towards </w:t>
      </w:r>
      <w:r>
        <w:rPr>
          <w:b/>
          <w:sz w:val="24"/>
        </w:rPr>
        <w:t>model development rather than operational consumption</w:t>
      </w:r>
      <w:r>
        <w:rPr>
          <w:sz w:val="24"/>
        </w:rPr>
        <w:t xml:space="preserve">. There is no clearly defined internal or external exposure strategy for AI services, increasing the risk of fragmented integration patterns, duplicated access logic, and inconsistent security controls. </w:t>
      </w:r>
    </w:p>
    <w:p w14:paraId="08574FC4" w14:textId="77777777" w:rsidR="003F0DB8" w:rsidRDefault="00000000">
      <w:pPr>
        <w:spacing w:after="110" w:line="269" w:lineRule="auto"/>
        <w:ind w:left="10" w:right="3" w:hanging="10"/>
      </w:pPr>
      <w:r>
        <w:rPr>
          <w:sz w:val="24"/>
        </w:rPr>
        <w:t xml:space="preserve">Model endpoints are directly exposed (e.g. via Azure ML or Functions) without a managed gateway, removing key controls such as throttling, versioning, authentication abstraction, and policy enforcement. This creates </w:t>
      </w:r>
      <w:r>
        <w:rPr>
          <w:b/>
          <w:sz w:val="24"/>
        </w:rPr>
        <w:t>security, performance, and observability risks</w:t>
      </w:r>
      <w:r>
        <w:rPr>
          <w:sz w:val="24"/>
        </w:rPr>
        <w:t xml:space="preserve">, and constrains the ability to industrialise AI services at scale. </w:t>
      </w:r>
    </w:p>
    <w:p w14:paraId="189BD62A" w14:textId="77777777" w:rsidR="003F0DB8" w:rsidRDefault="00000000">
      <w:pPr>
        <w:spacing w:after="215" w:line="269" w:lineRule="auto"/>
        <w:ind w:left="10" w:right="3" w:hanging="10"/>
      </w:pPr>
      <w:r>
        <w:rPr>
          <w:sz w:val="24"/>
        </w:rPr>
        <w:t xml:space="preserve">Additionally, there is no defined </w:t>
      </w:r>
      <w:r>
        <w:rPr>
          <w:b/>
          <w:sz w:val="24"/>
        </w:rPr>
        <w:t>Copilot or embedded AI experience layer</w:t>
      </w:r>
      <w:r>
        <w:rPr>
          <w:sz w:val="24"/>
        </w:rPr>
        <w:t xml:space="preserve">, creating a disconnect between platform capability and user adoption. Without integration into operational workflows and business processes, AI risks remaining a back-end capability with limited measurable impact. </w:t>
      </w:r>
    </w:p>
    <w:p w14:paraId="2D73D96F" w14:textId="77777777" w:rsidR="003F0DB8" w:rsidRDefault="00000000">
      <w:pPr>
        <w:pStyle w:val="Heading1"/>
        <w:ind w:left="-5"/>
      </w:pPr>
      <w:bookmarkStart w:id="86" w:name="_Toc96868"/>
      <w:r>
        <w:t xml:space="preserve">EDP, Data and AI: Key Risks </w:t>
      </w:r>
      <w:bookmarkEnd w:id="86"/>
    </w:p>
    <w:p w14:paraId="50693870" w14:textId="77777777" w:rsidR="003F0DB8" w:rsidRDefault="00000000">
      <w:pPr>
        <w:numPr>
          <w:ilvl w:val="0"/>
          <w:numId w:val="121"/>
        </w:numPr>
        <w:spacing w:after="46"/>
        <w:ind w:right="5" w:hanging="284"/>
      </w:pPr>
      <w:r>
        <w:rPr>
          <w:b/>
        </w:rPr>
        <w:t>Supplier lock-in on a critical platform component (ARA under Node 4)</w:t>
      </w:r>
      <w:r>
        <w:t xml:space="preserve"> limits CQC’s ability to control EDP evolution, introduces dependency on thirdparty contracts for routine change, and constrains the pace of modernisation. </w:t>
      </w:r>
    </w:p>
    <w:p w14:paraId="6FA6F49B" w14:textId="77777777" w:rsidR="003F0DB8" w:rsidRDefault="00000000">
      <w:pPr>
        <w:numPr>
          <w:ilvl w:val="0"/>
          <w:numId w:val="121"/>
        </w:numPr>
        <w:spacing w:after="47"/>
        <w:ind w:right="5" w:hanging="284"/>
      </w:pPr>
      <w:r>
        <w:rPr>
          <w:b/>
        </w:rPr>
        <w:t>Fragmented platform architecture and parallel operating models</w:t>
      </w:r>
      <w:r>
        <w:t xml:space="preserve"> (legacy EDP vs Fabric, multiple ML/AI environments) create duplication of capability, inconsistent standards, and increased operational complexity. </w:t>
      </w:r>
    </w:p>
    <w:p w14:paraId="7302C8EE" w14:textId="77777777" w:rsidR="003F0DB8" w:rsidRDefault="00000000">
      <w:pPr>
        <w:numPr>
          <w:ilvl w:val="0"/>
          <w:numId w:val="121"/>
        </w:numPr>
        <w:spacing w:after="45"/>
        <w:ind w:right="5" w:hanging="284"/>
      </w:pPr>
      <w:r>
        <w:rPr>
          <w:b/>
        </w:rPr>
        <w:lastRenderedPageBreak/>
        <w:t>Lack of controlled deployment and source management across Data Factory</w:t>
      </w:r>
      <w:r>
        <w:t xml:space="preserve"> introduces binary risk in production, with limited recoverability and high reliance on manual reconstruction in failure scenarios. </w:t>
      </w:r>
    </w:p>
    <w:p w14:paraId="4CE33E95" w14:textId="77777777" w:rsidR="003F0DB8" w:rsidRDefault="00000000">
      <w:pPr>
        <w:numPr>
          <w:ilvl w:val="0"/>
          <w:numId w:val="121"/>
        </w:numPr>
        <w:spacing w:after="46"/>
        <w:ind w:right="5" w:hanging="284"/>
      </w:pPr>
      <w:r>
        <w:rPr>
          <w:b/>
        </w:rPr>
        <w:t>Security gaps within Synapse and broader estate</w:t>
      </w:r>
      <w:r>
        <w:t xml:space="preserve"> (public network exposure, no auditing, lack of data exfiltration controls) create material insider and external data exfiltration risk. </w:t>
      </w:r>
    </w:p>
    <w:p w14:paraId="44E4B82A" w14:textId="77777777" w:rsidR="003F0DB8" w:rsidRDefault="00000000">
      <w:pPr>
        <w:numPr>
          <w:ilvl w:val="0"/>
          <w:numId w:val="121"/>
        </w:numPr>
        <w:spacing w:after="41"/>
        <w:ind w:right="5" w:hanging="284"/>
      </w:pPr>
      <w:r>
        <w:rPr>
          <w:b/>
        </w:rPr>
        <w:t>Encryption varies across data tiers</w:t>
      </w:r>
      <w:r>
        <w:t xml:space="preserve">. Synapse runs with Customer Managed Keys, Databricks runs without them, and Azure OpenAI and AI Foundry run on Microsoft-managed keys. </w:t>
      </w:r>
    </w:p>
    <w:p w14:paraId="1579FB87" w14:textId="77777777" w:rsidR="003F0DB8" w:rsidRDefault="00000000">
      <w:pPr>
        <w:numPr>
          <w:ilvl w:val="0"/>
          <w:numId w:val="121"/>
        </w:numPr>
        <w:spacing w:after="45"/>
        <w:ind w:right="5" w:hanging="284"/>
      </w:pPr>
      <w:r>
        <w:rPr>
          <w:b/>
        </w:rPr>
        <w:t>Monolithic Fabric capacity design without scaling or automation</w:t>
      </w:r>
      <w:r>
        <w:t xml:space="preserve"> drives cost inefficiency and introduces performance contention, increasing the risk of workload failure and business disruption. </w:t>
      </w:r>
    </w:p>
    <w:p w14:paraId="03B31C79" w14:textId="77777777" w:rsidR="003F0DB8" w:rsidRDefault="00000000">
      <w:pPr>
        <w:numPr>
          <w:ilvl w:val="0"/>
          <w:numId w:val="121"/>
        </w:numPr>
        <w:spacing w:after="46"/>
        <w:ind w:right="5" w:hanging="284"/>
      </w:pPr>
      <w:r>
        <w:rPr>
          <w:b/>
        </w:rPr>
        <w:t>Reliance on deprecated and legacy components</w:t>
      </w:r>
      <w:r>
        <w:t xml:space="preserve"> (e.g. Dataflow Gen1) increases support risk, limits vendor supportability, and embeds duplicated transformation logic across the data estate. </w:t>
      </w:r>
    </w:p>
    <w:p w14:paraId="09580ACD" w14:textId="77777777" w:rsidR="003F0DB8" w:rsidRDefault="00000000">
      <w:pPr>
        <w:numPr>
          <w:ilvl w:val="0"/>
          <w:numId w:val="121"/>
        </w:numPr>
        <w:spacing w:after="45"/>
        <w:ind w:right="5" w:hanging="284"/>
      </w:pPr>
      <w:r>
        <w:rPr>
          <w:b/>
        </w:rPr>
        <w:t>Inconsistent encryption posture across platforms</w:t>
      </w:r>
      <w:r>
        <w:t xml:space="preserve">, with AI workloads operating on weaker key models than core data services, creates a misalignment of controls where sensitive model and prompt data may be less protected. </w:t>
      </w:r>
    </w:p>
    <w:p w14:paraId="11A320D5" w14:textId="77777777" w:rsidR="003F0DB8" w:rsidRDefault="00000000">
      <w:pPr>
        <w:numPr>
          <w:ilvl w:val="0"/>
          <w:numId w:val="121"/>
        </w:numPr>
        <w:spacing w:after="46"/>
        <w:ind w:right="5" w:hanging="284"/>
      </w:pPr>
      <w:r>
        <w:rPr>
          <w:b/>
        </w:rPr>
        <w:t>Fragmented data governance capability</w:t>
      </w:r>
      <w:r>
        <w:t xml:space="preserve"> (Purview split across instances) prevents consistent catalogue management, classification, and enforcement of data controls across environments. </w:t>
      </w:r>
    </w:p>
    <w:p w14:paraId="3A2F545C" w14:textId="77777777" w:rsidR="003F0DB8" w:rsidRDefault="00000000">
      <w:pPr>
        <w:numPr>
          <w:ilvl w:val="0"/>
          <w:numId w:val="121"/>
        </w:numPr>
        <w:ind w:right="5" w:hanging="284"/>
      </w:pPr>
      <w:r>
        <w:rPr>
          <w:b/>
        </w:rPr>
        <w:t>Active GDPR compliance exposure</w:t>
      </w:r>
      <w:r>
        <w:t xml:space="preserve">, with ESR data retained indefinitely in interim storage and no enforceable retention or sensitivity labelling controls. </w:t>
      </w:r>
    </w:p>
    <w:p w14:paraId="44C4241D" w14:textId="77777777" w:rsidR="003F0DB8" w:rsidRDefault="00000000">
      <w:pPr>
        <w:numPr>
          <w:ilvl w:val="0"/>
          <w:numId w:val="121"/>
        </w:numPr>
        <w:spacing w:after="46"/>
        <w:ind w:right="5" w:hanging="284"/>
      </w:pPr>
      <w:r>
        <w:rPr>
          <w:b/>
        </w:rPr>
        <w:t>Public-package supply chain risk within data science workflows</w:t>
      </w:r>
      <w:r>
        <w:t xml:space="preserve">, with reliance on external dependencies only validated post-build, and no enforced pipeline gates or platform-level control. </w:t>
      </w:r>
    </w:p>
    <w:p w14:paraId="33AA4C72" w14:textId="77777777" w:rsidR="003F0DB8" w:rsidRDefault="00000000">
      <w:pPr>
        <w:numPr>
          <w:ilvl w:val="0"/>
          <w:numId w:val="121"/>
        </w:numPr>
        <w:spacing w:after="45"/>
        <w:ind w:right="5" w:hanging="284"/>
      </w:pPr>
      <w:r>
        <w:rPr>
          <w:b/>
        </w:rPr>
        <w:t>Absence of formal MLOps capability</w:t>
      </w:r>
      <w:r>
        <w:t xml:space="preserve">, resulting in manual model deployment, monitoring, and retraining processes, limiting auditability, reproducibility, and operational support for production AI workloads. </w:t>
      </w:r>
    </w:p>
    <w:p w14:paraId="27437813" w14:textId="77777777" w:rsidR="003F0DB8" w:rsidRDefault="00000000">
      <w:pPr>
        <w:numPr>
          <w:ilvl w:val="0"/>
          <w:numId w:val="121"/>
        </w:numPr>
        <w:spacing w:after="46"/>
        <w:ind w:right="5" w:hanging="284"/>
      </w:pPr>
      <w:r>
        <w:rPr>
          <w:b/>
        </w:rPr>
        <w:t>No defined API-led exposure or productisation strategy for AI services</w:t>
      </w:r>
      <w:r>
        <w:t xml:space="preserve">, increasing the likelihood of fragmented integration patterns, inconsistent access controls, and limited scalability of AI capabilities. </w:t>
      </w:r>
    </w:p>
    <w:p w14:paraId="62622F64" w14:textId="77777777" w:rsidR="003F0DB8" w:rsidRDefault="00000000">
      <w:pPr>
        <w:numPr>
          <w:ilvl w:val="0"/>
          <w:numId w:val="121"/>
        </w:numPr>
        <w:ind w:right="5" w:hanging="284"/>
      </w:pPr>
      <w:r>
        <w:rPr>
          <w:b/>
        </w:rPr>
        <w:t>Direct exposure of model endpoints without a managed API layer</w:t>
      </w:r>
      <w:r>
        <w:t xml:space="preserve">, removing critical enterprise controls (throttling, versioning, policy enforcement), increasing risks around security, performance, and observability. </w:t>
      </w:r>
    </w:p>
    <w:p w14:paraId="6BC0FBE6" w14:textId="77777777" w:rsidR="003F0DB8" w:rsidRDefault="00000000">
      <w:pPr>
        <w:numPr>
          <w:ilvl w:val="0"/>
          <w:numId w:val="121"/>
        </w:numPr>
        <w:ind w:right="5" w:hanging="284"/>
      </w:pPr>
      <w:r>
        <w:rPr>
          <w:b/>
        </w:rPr>
        <w:t>Lack of an embedded AI consumption strategy</w:t>
      </w:r>
      <w:r>
        <w:t xml:space="preserve">, including absence of Copilot-style integration, creating a disconnect between technical capability and user adoption, with risk of underutilisation and delayed value realisation. </w:t>
      </w:r>
    </w:p>
    <w:p w14:paraId="658C87F6" w14:textId="77777777" w:rsidR="003F0DB8" w:rsidRDefault="00000000">
      <w:pPr>
        <w:spacing w:after="227" w:line="259" w:lineRule="auto"/>
        <w:ind w:left="1132" w:firstLine="0"/>
      </w:pPr>
      <w:r>
        <w:t xml:space="preserve"> </w:t>
      </w:r>
    </w:p>
    <w:p w14:paraId="5B48C74D" w14:textId="77777777" w:rsidR="003F0DB8" w:rsidRDefault="00000000">
      <w:pPr>
        <w:pStyle w:val="Heading1"/>
        <w:ind w:left="-5"/>
      </w:pPr>
      <w:bookmarkStart w:id="87" w:name="_Toc96869"/>
      <w:r>
        <w:lastRenderedPageBreak/>
        <w:t xml:space="preserve">Recommendations </w:t>
      </w:r>
      <w:bookmarkEnd w:id="87"/>
    </w:p>
    <w:p w14:paraId="1212B422" w14:textId="77777777" w:rsidR="003F0DB8" w:rsidRDefault="00000000">
      <w:pPr>
        <w:pStyle w:val="Heading3"/>
        <w:ind w:left="-5"/>
      </w:pPr>
      <w:r>
        <w:t>Platform Architecture and Modernisation</w:t>
      </w:r>
      <w:r>
        <w:rPr>
          <w:b w:val="0"/>
        </w:rPr>
        <w:t xml:space="preserve"> </w:t>
      </w:r>
    </w:p>
    <w:p w14:paraId="72954A0D" w14:textId="77777777" w:rsidR="003F0DB8" w:rsidRDefault="00000000">
      <w:pPr>
        <w:numPr>
          <w:ilvl w:val="0"/>
          <w:numId w:val="122"/>
        </w:numPr>
        <w:spacing w:after="46"/>
        <w:ind w:right="5" w:hanging="284"/>
      </w:pPr>
      <w:r>
        <w:rPr>
          <w:b/>
        </w:rPr>
        <w:t>Define and Enforce a Target-State Architecture:</w:t>
      </w:r>
      <w:r>
        <w:t xml:space="preserve"> converge on a simplified Fabric-led data platform and rationalise legacy technologies such as Synapse, duplicated ML environments, and Databricks where not required. </w:t>
      </w:r>
    </w:p>
    <w:p w14:paraId="6446BC6C" w14:textId="77777777" w:rsidR="003F0DB8" w:rsidRDefault="00000000">
      <w:pPr>
        <w:numPr>
          <w:ilvl w:val="0"/>
          <w:numId w:val="122"/>
        </w:numPr>
        <w:ind w:right="5" w:hanging="284"/>
      </w:pPr>
      <w:r>
        <w:rPr>
          <w:b/>
        </w:rPr>
        <w:t>Reduce ARA Dependency:</w:t>
      </w:r>
      <w:r>
        <w:t xml:space="preserve"> pilot a Fabric-native orchestration and pipeline framework to return platform control and ownership to CQC. </w:t>
      </w:r>
    </w:p>
    <w:p w14:paraId="08B76410" w14:textId="77777777" w:rsidR="003F0DB8" w:rsidRDefault="00000000">
      <w:pPr>
        <w:numPr>
          <w:ilvl w:val="0"/>
          <w:numId w:val="122"/>
        </w:numPr>
        <w:spacing w:after="46"/>
        <w:ind w:right="5" w:hanging="284"/>
      </w:pPr>
      <w:r>
        <w:rPr>
          <w:b/>
        </w:rPr>
        <w:t>Establish Environment Parity:</w:t>
      </w:r>
      <w:r>
        <w:t xml:space="preserve"> create environment parity and lifecycle consistency across data and AI platforms to support safe testing, validation and deployment. </w:t>
      </w:r>
    </w:p>
    <w:p w14:paraId="7E8671B5" w14:textId="77777777" w:rsidR="003F0DB8" w:rsidRDefault="00000000">
      <w:pPr>
        <w:numPr>
          <w:ilvl w:val="0"/>
          <w:numId w:val="122"/>
        </w:numPr>
        <w:ind w:right="5" w:hanging="284"/>
      </w:pPr>
      <w:r>
        <w:rPr>
          <w:b/>
        </w:rPr>
        <w:t>Decommission Legacy Resources:</w:t>
      </w:r>
      <w:r>
        <w:t xml:space="preserve"> decommission legacy resources and workloads across all services as part of platform convergence. </w:t>
      </w:r>
    </w:p>
    <w:p w14:paraId="06C519EE" w14:textId="77777777" w:rsidR="003F0DB8" w:rsidRDefault="00000000">
      <w:pPr>
        <w:numPr>
          <w:ilvl w:val="0"/>
          <w:numId w:val="122"/>
        </w:numPr>
        <w:spacing w:after="78"/>
        <w:ind w:right="5" w:hanging="284"/>
      </w:pPr>
      <w:r>
        <w:rPr>
          <w:b/>
        </w:rPr>
        <w:t>Encryption Baseline</w:t>
      </w:r>
      <w:r>
        <w:t xml:space="preserve">: move Databricks and OpenAI to Customer Managed Keys. </w:t>
      </w:r>
    </w:p>
    <w:p w14:paraId="52806599" w14:textId="77777777" w:rsidR="003F0DB8" w:rsidRDefault="00000000">
      <w:pPr>
        <w:pStyle w:val="Heading3"/>
        <w:ind w:left="-5"/>
      </w:pPr>
      <w:r>
        <w:t>Data Engineering and Pipelines</w:t>
      </w:r>
      <w:r>
        <w:rPr>
          <w:b w:val="0"/>
        </w:rPr>
        <w:t xml:space="preserve"> </w:t>
      </w:r>
    </w:p>
    <w:p w14:paraId="22C689E2" w14:textId="77777777" w:rsidR="003F0DB8" w:rsidRDefault="00000000">
      <w:pPr>
        <w:numPr>
          <w:ilvl w:val="0"/>
          <w:numId w:val="123"/>
        </w:numPr>
        <w:spacing w:after="45"/>
        <w:ind w:right="5" w:hanging="284"/>
      </w:pPr>
      <w:r>
        <w:rPr>
          <w:b/>
        </w:rPr>
        <w:t>Adopt Source Control and CI/CD:</w:t>
      </w:r>
      <w:r>
        <w:t xml:space="preserve"> connect all Azure Data Factory instances to Git-based source control and implement standard enterprise-aligned CI/CD pipelines. </w:t>
      </w:r>
    </w:p>
    <w:p w14:paraId="35A45AC6" w14:textId="77777777" w:rsidR="003F0DB8" w:rsidRDefault="00000000">
      <w:pPr>
        <w:numPr>
          <w:ilvl w:val="0"/>
          <w:numId w:val="123"/>
        </w:numPr>
        <w:ind w:right="5" w:hanging="284"/>
      </w:pPr>
      <w:r>
        <w:rPr>
          <w:b/>
        </w:rPr>
        <w:t>Standardise Pipeline Patterns:</w:t>
      </w:r>
      <w:r>
        <w:t xml:space="preserve"> introduce standardised design and deployment patterns to eliminate ad hoc implementations. </w:t>
      </w:r>
    </w:p>
    <w:p w14:paraId="7D3B3631" w14:textId="77777777" w:rsidR="003F0DB8" w:rsidRDefault="00000000">
      <w:pPr>
        <w:numPr>
          <w:ilvl w:val="0"/>
          <w:numId w:val="123"/>
        </w:numPr>
        <w:ind w:right="5" w:hanging="284"/>
      </w:pPr>
      <w:r>
        <w:rPr>
          <w:b/>
        </w:rPr>
        <w:t>Rationalise Duplication:</w:t>
      </w:r>
      <w:r>
        <w:t xml:space="preserve"> rationalise duplicated datasets, linked services and logging configurations to reduce complexity and operational overhead. </w:t>
      </w:r>
    </w:p>
    <w:p w14:paraId="639AF4F4" w14:textId="77777777" w:rsidR="003F0DB8" w:rsidRDefault="00000000">
      <w:pPr>
        <w:numPr>
          <w:ilvl w:val="0"/>
          <w:numId w:val="123"/>
        </w:numPr>
        <w:ind w:right="5" w:hanging="284"/>
      </w:pPr>
      <w:r>
        <w:rPr>
          <w:b/>
        </w:rPr>
        <w:t>Optimise Integration Runtimes:</w:t>
      </w:r>
      <w:r>
        <w:t xml:space="preserve"> audit Integration Runtime usage, pausing unused SSIS-IR and using auto-resolve where appropriate. </w:t>
      </w:r>
    </w:p>
    <w:p w14:paraId="4AB417EC" w14:textId="77777777" w:rsidR="003F0DB8" w:rsidRDefault="00000000">
      <w:pPr>
        <w:numPr>
          <w:ilvl w:val="0"/>
          <w:numId w:val="123"/>
        </w:numPr>
        <w:spacing w:after="45"/>
        <w:ind w:right="5" w:hanging="284"/>
      </w:pPr>
      <w:r>
        <w:rPr>
          <w:b/>
        </w:rPr>
        <w:t>Consolidate Data Factory Instances:</w:t>
      </w:r>
      <w:r>
        <w:t xml:space="preserve"> consolidate instances where multiple environments support the same logical workload, and align pipeline workloads to Fabric-native patterns where appropriate. </w:t>
      </w:r>
    </w:p>
    <w:p w14:paraId="7A06860F" w14:textId="77777777" w:rsidR="003F0DB8" w:rsidRDefault="00000000">
      <w:pPr>
        <w:numPr>
          <w:ilvl w:val="0"/>
          <w:numId w:val="123"/>
        </w:numPr>
        <w:spacing w:after="78"/>
        <w:ind w:right="5" w:hanging="284"/>
      </w:pPr>
      <w:r>
        <w:rPr>
          <w:b/>
        </w:rPr>
        <w:t>Retire Dataflow Gen1:</w:t>
      </w:r>
      <w:r>
        <w:t xml:space="preserve"> migrate off Dataflow Gen1 ahead of its deprecation and consolidate the duplicated transformation logic it carries. </w:t>
      </w:r>
    </w:p>
    <w:p w14:paraId="6751D8AB" w14:textId="77777777" w:rsidR="003F0DB8" w:rsidRDefault="00000000">
      <w:pPr>
        <w:pStyle w:val="Heading3"/>
        <w:ind w:left="-5"/>
      </w:pPr>
      <w:r>
        <w:t>Security and Encryption</w:t>
      </w:r>
      <w:r>
        <w:rPr>
          <w:b w:val="0"/>
        </w:rPr>
        <w:t xml:space="preserve"> </w:t>
      </w:r>
    </w:p>
    <w:p w14:paraId="49F215A0" w14:textId="77777777" w:rsidR="003F0DB8" w:rsidRDefault="00000000">
      <w:pPr>
        <w:numPr>
          <w:ilvl w:val="0"/>
          <w:numId w:val="124"/>
        </w:numPr>
        <w:ind w:right="5" w:hanging="284"/>
      </w:pPr>
      <w:r>
        <w:rPr>
          <w:b/>
        </w:rPr>
        <w:t>Standardise Encryption:</w:t>
      </w:r>
      <w:r>
        <w:t xml:space="preserve"> implement Customer Managed Keys across Databricks, Azure OpenAI, AI Foundry and other applicable services. </w:t>
      </w:r>
    </w:p>
    <w:p w14:paraId="67347E7A" w14:textId="77777777" w:rsidR="003F0DB8" w:rsidRDefault="00000000">
      <w:pPr>
        <w:numPr>
          <w:ilvl w:val="0"/>
          <w:numId w:val="124"/>
        </w:numPr>
        <w:ind w:right="5" w:hanging="284"/>
      </w:pPr>
      <w:r>
        <w:rPr>
          <w:b/>
        </w:rPr>
        <w:t>Close Synapse Security Gaps:</w:t>
      </w:r>
      <w:r>
        <w:t xml:space="preserve"> enable data exfiltration protection and SQL auditing, and remove unnecessary public network access. </w:t>
      </w:r>
    </w:p>
    <w:p w14:paraId="63E508FA" w14:textId="77777777" w:rsidR="003F0DB8" w:rsidRDefault="00000000">
      <w:pPr>
        <w:numPr>
          <w:ilvl w:val="0"/>
          <w:numId w:val="124"/>
        </w:numPr>
        <w:ind w:right="5" w:hanging="284"/>
      </w:pPr>
      <w:r>
        <w:rPr>
          <w:b/>
        </w:rPr>
        <w:t>Adopt Private Networking:</w:t>
      </w:r>
      <w:r>
        <w:t xml:space="preserve"> transition services to private networking using Private Endpoints and DNS integration. </w:t>
      </w:r>
    </w:p>
    <w:p w14:paraId="649645EB" w14:textId="77777777" w:rsidR="003F0DB8" w:rsidRDefault="00000000">
      <w:pPr>
        <w:numPr>
          <w:ilvl w:val="0"/>
          <w:numId w:val="124"/>
        </w:numPr>
        <w:spacing w:after="138"/>
        <w:ind w:right="5" w:hanging="284"/>
      </w:pPr>
      <w:r>
        <w:rPr>
          <w:b/>
        </w:rPr>
        <w:t>Control the Supply Chain:</w:t>
      </w:r>
      <w:r>
        <w:t xml:space="preserve"> introduce pipeline-enforced dependency controls so only approved, vetted artefacts are used, reducing reliance on post-build scanning. </w:t>
      </w:r>
    </w:p>
    <w:p w14:paraId="7405462C" w14:textId="77777777" w:rsidR="003F0DB8" w:rsidRDefault="00000000">
      <w:pPr>
        <w:pStyle w:val="Heading3"/>
        <w:ind w:left="-5"/>
      </w:pPr>
      <w:r>
        <w:t>AI and ML Operations (MLOps)</w:t>
      </w:r>
      <w:r>
        <w:rPr>
          <w:b w:val="0"/>
        </w:rPr>
        <w:t xml:space="preserve"> </w:t>
      </w:r>
    </w:p>
    <w:p w14:paraId="09620537" w14:textId="77777777" w:rsidR="003F0DB8" w:rsidRDefault="00000000">
      <w:pPr>
        <w:numPr>
          <w:ilvl w:val="0"/>
          <w:numId w:val="125"/>
        </w:numPr>
        <w:spacing w:after="41"/>
        <w:ind w:right="5" w:hanging="284"/>
      </w:pPr>
      <w:r>
        <w:rPr>
          <w:b/>
        </w:rPr>
        <w:t>Establish a Formal MLOps Framework:</w:t>
      </w:r>
      <w:r>
        <w:t xml:space="preserve"> stand up CI/CD pipelines for model development and deployment, a centralised model registry with controlled environment promotion, and monitoring with drift detection and automated retraining. </w:t>
      </w:r>
    </w:p>
    <w:p w14:paraId="106ED2F2" w14:textId="77777777" w:rsidR="003F0DB8" w:rsidRDefault="00000000">
      <w:pPr>
        <w:numPr>
          <w:ilvl w:val="0"/>
          <w:numId w:val="125"/>
        </w:numPr>
        <w:ind w:right="5" w:hanging="284"/>
      </w:pPr>
      <w:r>
        <w:rPr>
          <w:b/>
        </w:rPr>
        <w:lastRenderedPageBreak/>
        <w:t>Modernise ML Environments:</w:t>
      </w:r>
      <w:r>
        <w:t xml:space="preserve"> align ML Studio and Foundry environments to production-ready, MLOps-enabled designs. </w:t>
      </w:r>
    </w:p>
    <w:p w14:paraId="069F37BA" w14:textId="77777777" w:rsidR="003F0DB8" w:rsidRDefault="00000000">
      <w:pPr>
        <w:numPr>
          <w:ilvl w:val="0"/>
          <w:numId w:val="125"/>
        </w:numPr>
        <w:spacing w:after="137"/>
        <w:ind w:right="5" w:hanging="284"/>
      </w:pPr>
      <w:r>
        <w:rPr>
          <w:b/>
        </w:rPr>
        <w:t>Mandate MLOps for Production AI:</w:t>
      </w:r>
      <w:r>
        <w:t xml:space="preserve"> treat MLOps as a mandatory precondition for production and regulator-facing AI use cases, ensuring auditability and reliability. </w:t>
      </w:r>
    </w:p>
    <w:p w14:paraId="25299BAF" w14:textId="77777777" w:rsidR="003F0DB8" w:rsidRDefault="00000000">
      <w:pPr>
        <w:pStyle w:val="Heading3"/>
        <w:ind w:left="-5"/>
      </w:pPr>
      <w:r>
        <w:t>AI Exposure, Integration and Productisation</w:t>
      </w:r>
      <w:r>
        <w:rPr>
          <w:b w:val="0"/>
        </w:rPr>
        <w:t xml:space="preserve"> </w:t>
      </w:r>
    </w:p>
    <w:p w14:paraId="48465C7E" w14:textId="77777777" w:rsidR="003F0DB8" w:rsidRDefault="00000000">
      <w:pPr>
        <w:numPr>
          <w:ilvl w:val="0"/>
          <w:numId w:val="126"/>
        </w:numPr>
        <w:spacing w:after="45"/>
        <w:ind w:right="5" w:hanging="284"/>
      </w:pPr>
      <w:r>
        <w:rPr>
          <w:b/>
        </w:rPr>
        <w:t>Introduce an API-Led Architecture:</w:t>
      </w:r>
      <w:r>
        <w:t xml:space="preserve"> front AI services with a managed API layer (such as APIM) for standardised access, versioning, throttling and policy enforcement. </w:t>
      </w:r>
    </w:p>
    <w:p w14:paraId="4E573865" w14:textId="77777777" w:rsidR="003F0DB8" w:rsidRDefault="00000000">
      <w:pPr>
        <w:numPr>
          <w:ilvl w:val="0"/>
          <w:numId w:val="126"/>
        </w:numPr>
        <w:spacing w:after="46"/>
        <w:ind w:right="5" w:hanging="284"/>
      </w:pPr>
      <w:r>
        <w:rPr>
          <w:b/>
        </w:rPr>
        <w:t>Define an AI Exposure Strategy:</w:t>
      </w:r>
      <w:r>
        <w:t xml:space="preserve"> define exposure for internal and external consumers, moving from direct endpoint integrations to governed service products. </w:t>
      </w:r>
    </w:p>
    <w:p w14:paraId="031B66BE" w14:textId="77777777" w:rsidR="003F0DB8" w:rsidRDefault="00000000">
      <w:pPr>
        <w:numPr>
          <w:ilvl w:val="0"/>
          <w:numId w:val="126"/>
        </w:numPr>
        <w:spacing w:after="137"/>
        <w:ind w:right="5" w:hanging="284"/>
      </w:pPr>
      <w:r>
        <w:rPr>
          <w:b/>
        </w:rPr>
        <w:t>Implement an AI Embedding Strategy:</w:t>
      </w:r>
      <w:r>
        <w:t xml:space="preserve"> drive adoption through Copilot-style integrations embedded in operational workflows and user-facing applications. </w:t>
      </w:r>
    </w:p>
    <w:p w14:paraId="4D4137A7" w14:textId="77777777" w:rsidR="003F0DB8" w:rsidRDefault="00000000">
      <w:pPr>
        <w:pStyle w:val="Heading3"/>
        <w:ind w:left="-5"/>
      </w:pPr>
      <w:r>
        <w:t>Platform-Specific Optimisation</w:t>
      </w:r>
      <w:r>
        <w:rPr>
          <w:b w:val="0"/>
        </w:rPr>
        <w:t xml:space="preserve"> </w:t>
      </w:r>
    </w:p>
    <w:p w14:paraId="5A00D716" w14:textId="77777777" w:rsidR="003F0DB8" w:rsidRDefault="00000000">
      <w:pPr>
        <w:numPr>
          <w:ilvl w:val="0"/>
          <w:numId w:val="127"/>
        </w:numPr>
        <w:ind w:right="5" w:hanging="284"/>
      </w:pPr>
      <w:r>
        <w:rPr>
          <w:b/>
        </w:rPr>
        <w:t>Fabric:</w:t>
      </w:r>
      <w:r>
        <w:t xml:space="preserve"> implement automated scaling and pause/resume for large capacities (such as F64 and F128) to remove idle cost and workload contention. </w:t>
      </w:r>
    </w:p>
    <w:p w14:paraId="6D485A87" w14:textId="77777777" w:rsidR="003F0DB8" w:rsidRDefault="00000000">
      <w:pPr>
        <w:numPr>
          <w:ilvl w:val="0"/>
          <w:numId w:val="127"/>
        </w:numPr>
        <w:spacing w:after="46"/>
        <w:ind w:right="5" w:hanging="284"/>
      </w:pPr>
      <w:r>
        <w:rPr>
          <w:b/>
        </w:rPr>
        <w:t>Databricks:</w:t>
      </w:r>
      <w:r>
        <w:t xml:space="preserve"> review and consolidate workspaces, retaining them only where there is a clear requirement (high-volume processing, advanced data science, geospatial workloads), apply security best practices (CMK, diagnostics, private networking), and otherwise migrate workloads to Fabric and decommission. </w:t>
      </w:r>
    </w:p>
    <w:p w14:paraId="0BC5F0B2" w14:textId="77777777" w:rsidR="003F0DB8" w:rsidRDefault="00000000">
      <w:pPr>
        <w:numPr>
          <w:ilvl w:val="0"/>
          <w:numId w:val="127"/>
        </w:numPr>
        <w:spacing w:after="46"/>
        <w:ind w:right="5" w:hanging="284"/>
      </w:pPr>
      <w:r>
        <w:rPr>
          <w:b/>
        </w:rPr>
        <w:t>Synapse Analytics:</w:t>
      </w:r>
      <w:r>
        <w:t xml:space="preserve"> where supporting Synapse Link or legacy workloads, modernise and align with the Fabric migration strategy, addressing security gaps as part of transition planning. </w:t>
      </w:r>
    </w:p>
    <w:p w14:paraId="43AF95AF" w14:textId="77777777" w:rsidR="003F0DB8" w:rsidRDefault="00000000">
      <w:pPr>
        <w:numPr>
          <w:ilvl w:val="0"/>
          <w:numId w:val="127"/>
        </w:numPr>
        <w:spacing w:after="136"/>
        <w:ind w:right="5" w:hanging="284"/>
      </w:pPr>
      <w:r>
        <w:rPr>
          <w:b/>
        </w:rPr>
        <w:t>Machine Learning Studio and Microsoft Foundry:</w:t>
      </w:r>
      <w:r>
        <w:t xml:space="preserve"> modernise to align with MLOps and production deployment patterns, enforce private networking (Private Endpoints and DNS), and decommission redundant or legacy environments. </w:t>
      </w:r>
    </w:p>
    <w:p w14:paraId="420E3D2E" w14:textId="77777777" w:rsidR="003F0DB8" w:rsidRDefault="00000000">
      <w:pPr>
        <w:spacing w:after="230" w:line="259" w:lineRule="auto"/>
        <w:ind w:left="0" w:firstLine="0"/>
      </w:pPr>
      <w:r>
        <w:rPr>
          <w:sz w:val="24"/>
        </w:rPr>
        <w:t xml:space="preserve"> </w:t>
      </w:r>
    </w:p>
    <w:p w14:paraId="374DE90D" w14:textId="77777777" w:rsidR="003F0DB8" w:rsidRDefault="00000000">
      <w:pPr>
        <w:spacing w:after="0" w:line="259" w:lineRule="auto"/>
        <w:ind w:left="0" w:firstLine="0"/>
      </w:pPr>
      <w:r>
        <w:rPr>
          <w:sz w:val="24"/>
        </w:rPr>
        <w:t xml:space="preserve"> </w:t>
      </w:r>
      <w:r>
        <w:rPr>
          <w:sz w:val="24"/>
        </w:rPr>
        <w:tab/>
      </w:r>
      <w:r>
        <w:rPr>
          <w:b/>
          <w:sz w:val="32"/>
        </w:rPr>
        <w:t xml:space="preserve"> </w:t>
      </w:r>
    </w:p>
    <w:p w14:paraId="42F25B4F" w14:textId="77777777" w:rsidR="003F0DB8" w:rsidRDefault="00000000">
      <w:pPr>
        <w:pStyle w:val="Heading1"/>
        <w:spacing w:after="0"/>
        <w:ind w:left="-5"/>
      </w:pPr>
      <w:bookmarkStart w:id="88" w:name="_Toc96870"/>
      <w:r>
        <w:rPr>
          <w:sz w:val="32"/>
        </w:rPr>
        <w:t xml:space="preserve">Consolidated Health Check Recommendations </w:t>
      </w:r>
      <w:bookmarkEnd w:id="88"/>
    </w:p>
    <w:p w14:paraId="66A5B964" w14:textId="77777777" w:rsidR="003F0DB8" w:rsidRDefault="00000000">
      <w:pPr>
        <w:spacing w:after="220" w:line="269" w:lineRule="auto"/>
        <w:ind w:left="10" w:right="3" w:hanging="10"/>
      </w:pPr>
      <w:r>
        <w:rPr>
          <w:sz w:val="24"/>
        </w:rPr>
        <w:t xml:space="preserve">The consolidated health check recommendations can be found in the supporting Excel file </w:t>
      </w:r>
      <w:r>
        <w:rPr>
          <w:b/>
          <w:i/>
          <w:sz w:val="24"/>
        </w:rPr>
        <w:t xml:space="preserve">ACS_921 - CQC - Consolidated Health Check Recommendations.xlsx </w:t>
      </w:r>
    </w:p>
    <w:p w14:paraId="7EC62D68" w14:textId="77777777" w:rsidR="003F0DB8" w:rsidRDefault="00000000">
      <w:pPr>
        <w:spacing w:after="0" w:line="259" w:lineRule="auto"/>
        <w:ind w:left="0" w:firstLine="0"/>
      </w:pPr>
      <w:r>
        <w:rPr>
          <w:sz w:val="24"/>
        </w:rPr>
        <w:t xml:space="preserve"> </w:t>
      </w:r>
      <w:r>
        <w:rPr>
          <w:sz w:val="24"/>
        </w:rPr>
        <w:tab/>
      </w:r>
      <w:r>
        <w:rPr>
          <w:b/>
          <w:sz w:val="32"/>
        </w:rPr>
        <w:t xml:space="preserve"> </w:t>
      </w:r>
      <w:r>
        <w:br w:type="page"/>
      </w:r>
    </w:p>
    <w:p w14:paraId="13C8E732" w14:textId="77777777" w:rsidR="003F0DB8" w:rsidRDefault="00000000">
      <w:pPr>
        <w:pStyle w:val="Heading1"/>
        <w:spacing w:after="0"/>
        <w:ind w:left="-5"/>
      </w:pPr>
      <w:bookmarkStart w:id="89" w:name="_Toc96871"/>
      <w:r>
        <w:rPr>
          <w:sz w:val="32"/>
        </w:rPr>
        <w:lastRenderedPageBreak/>
        <w:t xml:space="preserve">Technical Programme Leadership (Individual or group)  </w:t>
      </w:r>
      <w:bookmarkEnd w:id="89"/>
    </w:p>
    <w:p w14:paraId="1D5A18BF" w14:textId="77777777" w:rsidR="003F0DB8" w:rsidRDefault="00000000">
      <w:pPr>
        <w:pStyle w:val="Heading2"/>
        <w:spacing w:after="122"/>
        <w:ind w:left="-5"/>
      </w:pPr>
      <w:r>
        <w:rPr>
          <w:sz w:val="22"/>
        </w:rPr>
        <w:t xml:space="preserve">Why It Is Needed </w:t>
      </w:r>
    </w:p>
    <w:p w14:paraId="247417FA" w14:textId="77777777" w:rsidR="003F0DB8" w:rsidRDefault="00000000">
      <w:pPr>
        <w:spacing w:after="111" w:line="268" w:lineRule="auto"/>
        <w:ind w:left="-5" w:hanging="10"/>
      </w:pPr>
      <w:r>
        <w:rPr>
          <w:sz w:val="22"/>
        </w:rPr>
        <w:t xml:space="preserve">Prioritisation is the dominant blocker identified in the Cloud Strategy analysis. CQC is under pressure from several directions at once: an inspection backlog, ageing systems, workforce strain, regulatory scrutiny, and the need to modernise while keeping services running. CQC is currently progressing all of these in parallel, which is producing fragmentation rather than progress. </w:t>
      </w:r>
    </w:p>
    <w:p w14:paraId="14C89B54" w14:textId="77777777" w:rsidR="003F0DB8" w:rsidRDefault="00000000">
      <w:pPr>
        <w:spacing w:after="111" w:line="268" w:lineRule="auto"/>
        <w:ind w:left="-5" w:hanging="10"/>
      </w:pPr>
      <w:r>
        <w:rPr>
          <w:sz w:val="22"/>
        </w:rPr>
        <w:t xml:space="preserve">Without a mechanism for deciding what comes first, tactical fixes accumulate without building towards the target state. Security remediation competes with platform migration. AIS cost reduction competes with the AIS rebuild. Decommissioning is deferred because no one owns the decision to stop. </w:t>
      </w:r>
    </w:p>
    <w:p w14:paraId="6EFBA042" w14:textId="77777777" w:rsidR="003F0DB8" w:rsidRDefault="00000000">
      <w:pPr>
        <w:spacing w:after="111" w:line="268" w:lineRule="auto"/>
        <w:ind w:left="-5" w:hanging="10"/>
      </w:pPr>
      <w:r>
        <w:rPr>
          <w:sz w:val="22"/>
        </w:rPr>
        <w:t xml:space="preserve">A single point of authority is needed to sequence this work, hold the dependency map, and decide the order when workstreams compete. </w:t>
      </w:r>
    </w:p>
    <w:p w14:paraId="463FED67" w14:textId="77777777" w:rsidR="003F0DB8" w:rsidRDefault="00000000">
      <w:pPr>
        <w:pStyle w:val="Heading2"/>
        <w:spacing w:after="122"/>
        <w:ind w:left="-5"/>
      </w:pPr>
      <w:r>
        <w:rPr>
          <w:sz w:val="22"/>
        </w:rPr>
        <w:t xml:space="preserve">The Technical Programme Leadership </w:t>
      </w:r>
    </w:p>
    <w:p w14:paraId="1D8351C6" w14:textId="77777777" w:rsidR="003F0DB8" w:rsidRDefault="00000000">
      <w:pPr>
        <w:spacing w:after="111" w:line="268" w:lineRule="auto"/>
        <w:ind w:left="-5" w:hanging="10"/>
      </w:pPr>
      <w:r>
        <w:rPr>
          <w:sz w:val="22"/>
        </w:rPr>
        <w:t xml:space="preserve">The Technical Programme Leaderhsip keeps the digital rebuild aligned with the direction set by the Cloud Centre of Excellence (CCoE) and the cloud strategy. It sits between the CCoE, which governs, and the delivery teams, which build, and is the point of accountability for scope, ownership and sequencing decisions across the rebuild. It brings together the technical leads for AIS, EDP, Reg Platform, the platform team, security and FinOps, and meets on a regular cadence so that prioritisation and sequencing decisions are made in one forum rather than workstream by workstream. </w:t>
      </w:r>
    </w:p>
    <w:p w14:paraId="51E4EC19" w14:textId="77777777" w:rsidR="003F0DB8" w:rsidRDefault="00000000">
      <w:pPr>
        <w:pStyle w:val="Heading2"/>
        <w:spacing w:after="155"/>
        <w:ind w:left="-5"/>
      </w:pPr>
      <w:r>
        <w:rPr>
          <w:sz w:val="22"/>
        </w:rPr>
        <w:t xml:space="preserve">What the Technical Program Leadership owns </w:t>
      </w:r>
    </w:p>
    <w:p w14:paraId="56426CBF" w14:textId="77777777" w:rsidR="003F0DB8" w:rsidRDefault="00000000">
      <w:pPr>
        <w:numPr>
          <w:ilvl w:val="0"/>
          <w:numId w:val="128"/>
        </w:numPr>
        <w:spacing w:after="46"/>
        <w:ind w:right="5" w:hanging="284"/>
      </w:pPr>
      <w:r>
        <w:rPr>
          <w:b/>
        </w:rPr>
        <w:t>Prioritisation across the digital rebuild.</w:t>
      </w:r>
      <w:r>
        <w:t xml:space="preserve"> Decides the order of work across workstreams, balancing urgency, dependency, risk and capacity. When AIS, EDP, Reg Platform, security remediation and platform migration compete for the same people or change windows, the group makes the call. </w:t>
      </w:r>
    </w:p>
    <w:p w14:paraId="4D52CA48" w14:textId="77777777" w:rsidR="003F0DB8" w:rsidRDefault="00000000">
      <w:pPr>
        <w:numPr>
          <w:ilvl w:val="0"/>
          <w:numId w:val="128"/>
        </w:numPr>
        <w:ind w:right="5" w:hanging="284"/>
      </w:pPr>
      <w:r>
        <w:rPr>
          <w:b/>
        </w:rPr>
        <w:t>Technical direction.</w:t>
      </w:r>
      <w:r>
        <w:t xml:space="preserve"> Sets architecture decisions, migration sequencing and pattern standards across AIS, EDP, Reg Platform and the platform estate. </w:t>
      </w:r>
    </w:p>
    <w:p w14:paraId="7C26FF66" w14:textId="77777777" w:rsidR="003F0DB8" w:rsidRDefault="00000000">
      <w:pPr>
        <w:numPr>
          <w:ilvl w:val="0"/>
          <w:numId w:val="128"/>
        </w:numPr>
        <w:spacing w:after="46"/>
        <w:ind w:right="5" w:hanging="284"/>
      </w:pPr>
      <w:r>
        <w:rPr>
          <w:b/>
        </w:rPr>
        <w:t>Cross-cutting arbitration.</w:t>
      </w:r>
      <w:r>
        <w:t xml:space="preserve"> Where security, FinOps, governance and workload teams have competing demands, the group arbitrates and records the trade-off. </w:t>
      </w:r>
    </w:p>
    <w:p w14:paraId="7F20E4B0" w14:textId="77777777" w:rsidR="003F0DB8" w:rsidRDefault="00000000">
      <w:pPr>
        <w:numPr>
          <w:ilvl w:val="0"/>
          <w:numId w:val="128"/>
        </w:numPr>
        <w:spacing w:after="45"/>
        <w:ind w:right="5" w:hanging="284"/>
      </w:pPr>
      <w:r>
        <w:rPr>
          <w:b/>
        </w:rPr>
        <w:t>Transition governance.</w:t>
      </w:r>
      <w:r>
        <w:t xml:space="preserve"> Is accountable for retiring the legacy hierarchies, migrating workloads into the new CAF structure, and decommissioning orphaned resources against a published cadence. </w:t>
      </w:r>
    </w:p>
    <w:p w14:paraId="2BF21EDD" w14:textId="77777777" w:rsidR="003F0DB8" w:rsidRDefault="00000000">
      <w:pPr>
        <w:numPr>
          <w:ilvl w:val="0"/>
          <w:numId w:val="128"/>
        </w:numPr>
        <w:spacing w:after="47"/>
        <w:ind w:right="5" w:hanging="284"/>
      </w:pPr>
      <w:r>
        <w:rPr>
          <w:b/>
        </w:rPr>
        <w:t>Dependency management.</w:t>
      </w:r>
      <w:r>
        <w:t xml:space="preserve"> Maintains the cross-workstream dependency map, identifies where one team is blocked by another, and escalates accordingly. </w:t>
      </w:r>
    </w:p>
    <w:p w14:paraId="0296BF8F" w14:textId="77777777" w:rsidR="003F0DB8" w:rsidRDefault="00000000">
      <w:pPr>
        <w:numPr>
          <w:ilvl w:val="0"/>
          <w:numId w:val="128"/>
        </w:numPr>
        <w:ind w:right="5" w:hanging="284"/>
      </w:pPr>
      <w:r>
        <w:rPr>
          <w:b/>
        </w:rPr>
        <w:t>CCoE alignment.</w:t>
      </w:r>
      <w:r>
        <w:t xml:space="preserve"> Keeps tactical delivery decisions consistent with the CCoE charter and escalates where they are not. </w:t>
      </w:r>
    </w:p>
    <w:p w14:paraId="6C3F780F" w14:textId="77777777" w:rsidR="003F0DB8" w:rsidRDefault="00000000">
      <w:pPr>
        <w:numPr>
          <w:ilvl w:val="0"/>
          <w:numId w:val="128"/>
        </w:numPr>
        <w:ind w:right="5" w:hanging="284"/>
      </w:pPr>
      <w:r>
        <w:rPr>
          <w:b/>
        </w:rPr>
        <w:lastRenderedPageBreak/>
        <w:t>Stakeholder reporting.</w:t>
      </w:r>
      <w:r>
        <w:t xml:space="preserve"> Provides a single view of progress, risk, priorities and blockers across the digital rebuild, reported to the CCoE. </w:t>
      </w:r>
    </w:p>
    <w:p w14:paraId="59EDD09C" w14:textId="77777777" w:rsidR="003F0DB8" w:rsidRDefault="00000000">
      <w:pPr>
        <w:pStyle w:val="Heading2"/>
        <w:spacing w:after="155"/>
        <w:ind w:left="-5"/>
      </w:pPr>
      <w:r>
        <w:rPr>
          <w:sz w:val="22"/>
        </w:rPr>
        <w:t xml:space="preserve">What the Group Does Not Own </w:t>
      </w:r>
    </w:p>
    <w:p w14:paraId="1368D681" w14:textId="77777777" w:rsidR="003F0DB8" w:rsidRDefault="00000000">
      <w:pPr>
        <w:numPr>
          <w:ilvl w:val="0"/>
          <w:numId w:val="129"/>
        </w:numPr>
        <w:ind w:right="5" w:hanging="284"/>
      </w:pPr>
      <w:r>
        <w:rPr>
          <w:b/>
        </w:rPr>
        <w:t>Day-to-day platform operations.</w:t>
      </w:r>
      <w:r>
        <w:t xml:space="preserve"> These remain with the platform team. </w:t>
      </w:r>
    </w:p>
    <w:p w14:paraId="37F9C092" w14:textId="77777777" w:rsidR="003F0DB8" w:rsidRDefault="00000000">
      <w:pPr>
        <w:numPr>
          <w:ilvl w:val="0"/>
          <w:numId w:val="129"/>
        </w:numPr>
        <w:ind w:right="5" w:hanging="284"/>
      </w:pPr>
      <w:r>
        <w:rPr>
          <w:b/>
        </w:rPr>
        <w:t>Workload-level engineering.</w:t>
      </w:r>
      <w:r>
        <w:t xml:space="preserve"> The AIS, EDP and Reg Platform teams retain delivery responsibility for their domains. </w:t>
      </w:r>
    </w:p>
    <w:p w14:paraId="035D733D" w14:textId="77777777" w:rsidR="003F0DB8" w:rsidRDefault="00000000">
      <w:pPr>
        <w:numPr>
          <w:ilvl w:val="0"/>
          <w:numId w:val="129"/>
        </w:numPr>
        <w:spacing w:after="88"/>
        <w:ind w:right="5" w:hanging="284"/>
      </w:pPr>
      <w:r>
        <w:rPr>
          <w:b/>
        </w:rPr>
        <w:t>Policy definition.</w:t>
      </w:r>
      <w:r>
        <w:t xml:space="preserve"> This remains with the cloud working group and the Technical Design Authority (TDA). The group enforces policy, it does not define it. </w:t>
      </w:r>
    </w:p>
    <w:p w14:paraId="331AA89A" w14:textId="77777777" w:rsidR="003F0DB8" w:rsidRDefault="00000000">
      <w:pPr>
        <w:spacing w:after="0" w:line="259" w:lineRule="auto"/>
        <w:ind w:left="0" w:firstLine="0"/>
      </w:pPr>
      <w:r>
        <w:rPr>
          <w:sz w:val="24"/>
        </w:rPr>
        <w:t xml:space="preserve"> </w:t>
      </w:r>
      <w:r>
        <w:rPr>
          <w:sz w:val="24"/>
        </w:rPr>
        <w:tab/>
      </w:r>
      <w:r>
        <w:rPr>
          <w:b/>
          <w:sz w:val="32"/>
        </w:rPr>
        <w:t xml:space="preserve"> </w:t>
      </w:r>
      <w:r>
        <w:br w:type="page"/>
      </w:r>
    </w:p>
    <w:p w14:paraId="20C2F3B0" w14:textId="77777777" w:rsidR="003F0DB8" w:rsidRDefault="00000000">
      <w:pPr>
        <w:pStyle w:val="Heading1"/>
        <w:spacing w:after="0"/>
        <w:ind w:left="-5"/>
      </w:pPr>
      <w:bookmarkStart w:id="90" w:name="_Toc96872"/>
      <w:r>
        <w:rPr>
          <w:sz w:val="32"/>
        </w:rPr>
        <w:lastRenderedPageBreak/>
        <w:t xml:space="preserve">Roadmap </w:t>
      </w:r>
      <w:bookmarkEnd w:id="90"/>
    </w:p>
    <w:p w14:paraId="720B754F" w14:textId="77777777" w:rsidR="003F0DB8" w:rsidRDefault="00000000">
      <w:pPr>
        <w:spacing w:after="110" w:line="269" w:lineRule="auto"/>
        <w:ind w:left="10" w:right="3" w:hanging="10"/>
      </w:pPr>
      <w:r>
        <w:rPr>
          <w:sz w:val="24"/>
        </w:rPr>
        <w:t xml:space="preserve">CQC's strategic direction is agreed and the target state is clear. The constraint is not ambition or capability. It is execution under pressure, where too many workstreams compete for the same people and the same change windows without an agreed sequence. This roadmap converts that parallel activity into a single sequenced and governed programme. It does not add new work. It changes how the work already underway is ordered, grouped, governed and delivered. </w:t>
      </w:r>
    </w:p>
    <w:p w14:paraId="3CA057C1" w14:textId="77777777" w:rsidR="003F0DB8" w:rsidRDefault="00000000">
      <w:pPr>
        <w:spacing w:after="110" w:line="269" w:lineRule="auto"/>
        <w:ind w:left="10" w:right="3" w:hanging="10"/>
      </w:pPr>
      <w:r>
        <w:rPr>
          <w:sz w:val="24"/>
        </w:rPr>
        <w:t xml:space="preserve">The roadmap is built from four connected parts that settle the questions decision-makers need answered before the rebuild can move at pace: who delivers the work, how it is grouped into deliverable units, when it happens, and what constrains the order. </w:t>
      </w:r>
    </w:p>
    <w:p w14:paraId="6E534AEC" w14:textId="77777777" w:rsidR="003F0DB8" w:rsidRDefault="00000000">
      <w:pPr>
        <w:numPr>
          <w:ilvl w:val="0"/>
          <w:numId w:val="130"/>
        </w:numPr>
        <w:spacing w:after="110" w:line="269" w:lineRule="auto"/>
        <w:ind w:right="3" w:hanging="360"/>
      </w:pPr>
      <w:r>
        <w:rPr>
          <w:b/>
          <w:sz w:val="24"/>
        </w:rPr>
        <w:t>Team and Organisation.</w:t>
      </w:r>
      <w:r>
        <w:rPr>
          <w:sz w:val="24"/>
        </w:rPr>
        <w:t xml:space="preserve"> The capability, and the coordinating layer it needs. Delivery sits with the established Platform, Architecture, Security and workload teams, with the CCoE emerging as a function inside the Platform team. The change this roadmap adds is a Technical Programme Ownership group that sequences and prioritises across them. </w:t>
      </w:r>
    </w:p>
    <w:p w14:paraId="0C6E2856" w14:textId="77777777" w:rsidR="003F0DB8" w:rsidRDefault="00000000">
      <w:pPr>
        <w:numPr>
          <w:ilvl w:val="0"/>
          <w:numId w:val="130"/>
        </w:numPr>
        <w:spacing w:after="110" w:line="269" w:lineRule="auto"/>
        <w:ind w:right="3" w:hanging="360"/>
      </w:pPr>
      <w:r>
        <w:rPr>
          <w:b/>
          <w:sz w:val="24"/>
        </w:rPr>
        <w:t>Work packages.</w:t>
      </w:r>
      <w:r>
        <w:rPr>
          <w:sz w:val="24"/>
        </w:rPr>
        <w:t xml:space="preserve"> The unit of delivery. The findings in this report resolve into 129 recommendations, and those recommendations group into sixteen owned, sequenced work packages. This is the layer that turns a backlog into a programme. </w:t>
      </w:r>
    </w:p>
    <w:p w14:paraId="790E3498" w14:textId="77777777" w:rsidR="003F0DB8" w:rsidRDefault="00000000">
      <w:pPr>
        <w:numPr>
          <w:ilvl w:val="0"/>
          <w:numId w:val="130"/>
        </w:numPr>
        <w:spacing w:after="110" w:line="269" w:lineRule="auto"/>
        <w:ind w:right="3" w:hanging="360"/>
      </w:pPr>
      <w:r>
        <w:rPr>
          <w:b/>
          <w:sz w:val="24"/>
        </w:rPr>
        <w:t>Phased delivery.</w:t>
      </w:r>
      <w:r>
        <w:rPr>
          <w:sz w:val="24"/>
        </w:rPr>
        <w:t xml:space="preserve"> The timeline. Work is grouped into three phases by readiness rather than urgency alone. </w:t>
      </w:r>
    </w:p>
    <w:p w14:paraId="3104A4C1" w14:textId="77777777" w:rsidR="003F0DB8" w:rsidRDefault="00000000">
      <w:pPr>
        <w:numPr>
          <w:ilvl w:val="0"/>
          <w:numId w:val="130"/>
        </w:numPr>
        <w:spacing w:after="110" w:line="269" w:lineRule="auto"/>
        <w:ind w:right="3" w:hanging="360"/>
      </w:pPr>
      <w:r>
        <w:rPr>
          <w:b/>
          <w:sz w:val="24"/>
        </w:rPr>
        <w:t>Dependencies.</w:t>
      </w:r>
      <w:r>
        <w:rPr>
          <w:sz w:val="24"/>
        </w:rPr>
        <w:t xml:space="preserve"> The order. A consolidated map of the conditions that decide what must come first, and the phase in which each is expected to resolve. </w:t>
      </w:r>
    </w:p>
    <w:p w14:paraId="1A314B92" w14:textId="77777777" w:rsidR="003F0DB8" w:rsidRDefault="00000000">
      <w:pPr>
        <w:spacing w:after="110" w:line="269" w:lineRule="auto"/>
        <w:ind w:left="10" w:right="3" w:hanging="10"/>
      </w:pPr>
      <w:r>
        <w:rPr>
          <w:sz w:val="24"/>
        </w:rPr>
        <w:t xml:space="preserve">Every recommendation rolls up to exactly one work package, and every work package carries a single owner, a delivery phase and its cross-workstream dependencies. This is what allows each box on the plan on a page to be traced back to the evidence that justifies it. The plan presents the work packages across the three phases in a single view, the phases set the pace, and the dependency map fixes the order. Day-to-day delivery remains with the Platform, Security and workload teams throughout. </w:t>
      </w:r>
    </w:p>
    <w:p w14:paraId="702CD024" w14:textId="77777777" w:rsidR="003F0DB8" w:rsidRDefault="00000000">
      <w:pPr>
        <w:spacing w:after="110" w:line="269" w:lineRule="auto"/>
        <w:ind w:left="10" w:right="3" w:hanging="10"/>
      </w:pPr>
      <w:r>
        <w:rPr>
          <w:sz w:val="24"/>
        </w:rPr>
        <w:t xml:space="preserve">In short, the team and organisation changes add the coordinating layer, the work packages define the units, the phases set the pace, and the dependency map fixes the order. </w:t>
      </w:r>
    </w:p>
    <w:p w14:paraId="0239E673" w14:textId="77777777" w:rsidR="003F0DB8" w:rsidRDefault="00000000">
      <w:pPr>
        <w:pStyle w:val="Heading1"/>
        <w:ind w:left="-5"/>
      </w:pPr>
      <w:bookmarkStart w:id="91" w:name="_Toc96873"/>
      <w:r>
        <w:lastRenderedPageBreak/>
        <w:t xml:space="preserve">From recommendations to delivery: the work package layer </w:t>
      </w:r>
      <w:bookmarkEnd w:id="91"/>
    </w:p>
    <w:p w14:paraId="024A7683" w14:textId="77777777" w:rsidR="003F0DB8" w:rsidRDefault="00000000">
      <w:pPr>
        <w:spacing w:after="110" w:line="269" w:lineRule="auto"/>
        <w:ind w:left="10" w:right="3" w:hanging="10"/>
      </w:pPr>
      <w:r>
        <w:rPr>
          <w:sz w:val="24"/>
        </w:rPr>
        <w:t xml:space="preserve">The Cloud Health Check produced 129 recommendations, organised by domain. On their own they are an inventory of what to fix, not a plan for how to deliver it. Read as a flat list, they invite the same parallel, uncoordinated activity the programme is trying to leave behind. </w:t>
      </w:r>
    </w:p>
    <w:p w14:paraId="7DB143EC" w14:textId="77777777" w:rsidR="003F0DB8" w:rsidRDefault="00000000">
      <w:pPr>
        <w:spacing w:after="110" w:line="269" w:lineRule="auto"/>
        <w:ind w:left="10" w:right="3" w:hanging="10"/>
      </w:pPr>
      <w:r>
        <w:rPr>
          <w:sz w:val="24"/>
        </w:rPr>
        <w:t xml:space="preserve">The work packages close that gap. They group the 129 recommendations into sixteen named initiatives, each with a single accountable owner, a delivery phase and a defined set of dependencies. The grouping does not change the recommendations. It gives them a delivery shape. It also makes the plan auditable in both directions. Every recommendation belongs to exactly one package, and every package can be opened up to the recommendations beneath it. </w:t>
      </w:r>
    </w:p>
    <w:p w14:paraId="1487BEC0" w14:textId="77777777" w:rsidR="003F0DB8" w:rsidRDefault="00000000">
      <w:pPr>
        <w:spacing w:after="110" w:line="269" w:lineRule="auto"/>
        <w:ind w:left="10" w:right="3" w:hanging="10"/>
      </w:pPr>
      <w:r>
        <w:rPr>
          <w:sz w:val="24"/>
        </w:rPr>
        <w:t xml:space="preserve">The sixteen work packages are: </w:t>
      </w:r>
    </w:p>
    <w:p w14:paraId="36AD8E10" w14:textId="77777777" w:rsidR="003F0DB8" w:rsidRDefault="00000000">
      <w:pPr>
        <w:numPr>
          <w:ilvl w:val="0"/>
          <w:numId w:val="131"/>
        </w:numPr>
        <w:spacing w:after="47"/>
        <w:ind w:right="5" w:hanging="284"/>
      </w:pPr>
      <w:r>
        <w:rPr>
          <w:b/>
        </w:rPr>
        <w:t>WP01 Programme and Operating Model Establishment</w:t>
      </w:r>
      <w:r>
        <w:t xml:space="preserve"> (Programme, Phase 1). Stand up the Technical Programme Ownership group and the Run and Service teams that sequence, arbitrate and own the rebuild. </w:t>
      </w:r>
    </w:p>
    <w:p w14:paraId="3B2FCC23" w14:textId="77777777" w:rsidR="003F0DB8" w:rsidRDefault="00000000">
      <w:pPr>
        <w:numPr>
          <w:ilvl w:val="0"/>
          <w:numId w:val="131"/>
        </w:numPr>
        <w:spacing w:after="41"/>
        <w:ind w:right="5" w:hanging="284"/>
      </w:pPr>
      <w:r>
        <w:rPr>
          <w:b/>
        </w:rPr>
        <w:t>WP02 Urgent Security Remediation</w:t>
      </w:r>
      <w:r>
        <w:t xml:space="preserve"> (Security and Platform, Phase 1). Close the eight high-priority exposure findings immediately: management ports, public IPs, key vaults, former partner access, PIM, the data tier and storage. </w:t>
      </w:r>
    </w:p>
    <w:p w14:paraId="33B729C4" w14:textId="77777777" w:rsidR="003F0DB8" w:rsidRDefault="00000000">
      <w:pPr>
        <w:numPr>
          <w:ilvl w:val="0"/>
          <w:numId w:val="131"/>
        </w:numPr>
        <w:spacing w:after="45"/>
        <w:ind w:right="5" w:hanging="284"/>
      </w:pPr>
      <w:r>
        <w:rPr>
          <w:b/>
        </w:rPr>
        <w:t>WP03 Landing Zone and CAF Consolidation</w:t>
      </w:r>
      <w:r>
        <w:t xml:space="preserve"> (Platform, Phase 1). Consolidate onto the new CAF hierarchy, freeze legacy placement, and standardise onboarding and subscription vending. </w:t>
      </w:r>
    </w:p>
    <w:p w14:paraId="14CA0FE2" w14:textId="77777777" w:rsidR="003F0DB8" w:rsidRDefault="00000000">
      <w:pPr>
        <w:numPr>
          <w:ilvl w:val="0"/>
          <w:numId w:val="131"/>
        </w:numPr>
        <w:spacing w:after="47"/>
        <w:ind w:right="5" w:hanging="284"/>
      </w:pPr>
      <w:r>
        <w:rPr>
          <w:b/>
        </w:rPr>
        <w:t>WP04 Governance Guardrails and Policy-as-Code</w:t>
      </w:r>
      <w:r>
        <w:t xml:space="preserve"> (Platform, Phase 1-2). Move policy from documentary to enforced, and publish the policy catalogue, NSG coverage and hosting standards. </w:t>
      </w:r>
    </w:p>
    <w:p w14:paraId="26D0161D" w14:textId="77777777" w:rsidR="003F0DB8" w:rsidRDefault="00000000">
      <w:pPr>
        <w:numPr>
          <w:ilvl w:val="0"/>
          <w:numId w:val="131"/>
        </w:numPr>
        <w:spacing w:after="45"/>
        <w:ind w:right="5" w:hanging="284"/>
      </w:pPr>
      <w:r>
        <w:rPr>
          <w:b/>
        </w:rPr>
        <w:t>WP05 Identity and Privileged Access Hardening</w:t>
      </w:r>
      <w:r>
        <w:t xml:space="preserve"> (Security, Phase 1-2). Eliminate standing privilege and click-ops, migrate flows to managed identities, and govern the guest lifecycle. </w:t>
      </w:r>
    </w:p>
    <w:p w14:paraId="17ED152E" w14:textId="77777777" w:rsidR="003F0DB8" w:rsidRDefault="00000000">
      <w:pPr>
        <w:numPr>
          <w:ilvl w:val="0"/>
          <w:numId w:val="131"/>
        </w:numPr>
        <w:spacing w:after="46"/>
        <w:ind w:right="5" w:hanging="284"/>
      </w:pPr>
      <w:r>
        <w:rPr>
          <w:b/>
        </w:rPr>
        <w:t>WP06 Threat Detection: Defender, Sentinel and B2C</w:t>
      </w:r>
      <w:r>
        <w:t xml:space="preserve"> (Security, Phase 2). Right-size Defender coverage, rationalise Sentinel analytics, and own the B2C migration ahead of the 2030 deprecation. </w:t>
      </w:r>
    </w:p>
    <w:p w14:paraId="7D52337D" w14:textId="77777777" w:rsidR="003F0DB8" w:rsidRDefault="00000000">
      <w:pPr>
        <w:numPr>
          <w:ilvl w:val="0"/>
          <w:numId w:val="131"/>
        </w:numPr>
        <w:spacing w:after="46"/>
        <w:ind w:right="5" w:hanging="284"/>
      </w:pPr>
      <w:r>
        <w:rPr>
          <w:b/>
        </w:rPr>
        <w:t>WP07 Network Topology and Connectivity</w:t>
      </w:r>
      <w:r>
        <w:t xml:space="preserve"> (Network, Phase 1-3). Hub-and-spoke in code, per-region firewalls, DR strategy, private DNS, and retirement of legacy connectivity. </w:t>
      </w:r>
    </w:p>
    <w:p w14:paraId="558E41F0" w14:textId="77777777" w:rsidR="003F0DB8" w:rsidRDefault="00000000">
      <w:pPr>
        <w:numPr>
          <w:ilvl w:val="0"/>
          <w:numId w:val="131"/>
        </w:numPr>
        <w:ind w:right="5" w:hanging="284"/>
      </w:pPr>
      <w:r>
        <w:rPr>
          <w:b/>
        </w:rPr>
        <w:t>WP08 External Exposure Reduction</w:t>
      </w:r>
      <w:r>
        <w:t xml:space="preserve"> (Network, Phase 1-2). DDoS Network Protection, public-IP rationalisation, and premium firewall inspection. </w:t>
      </w:r>
    </w:p>
    <w:p w14:paraId="4D847405" w14:textId="77777777" w:rsidR="003F0DB8" w:rsidRDefault="00000000">
      <w:pPr>
        <w:numPr>
          <w:ilvl w:val="0"/>
          <w:numId w:val="131"/>
        </w:numPr>
        <w:spacing w:after="45"/>
        <w:ind w:right="5" w:hanging="284"/>
      </w:pPr>
      <w:r>
        <w:rPr>
          <w:b/>
        </w:rPr>
        <w:t>WP09 Secret and Key Management</w:t>
      </w:r>
      <w:r>
        <w:t xml:space="preserve"> (Platform, Phase 1-2). Vault-scoped RBAC, purge protection and diagnostics, and resolution of the shared crossenvironment vault. </w:t>
      </w:r>
    </w:p>
    <w:p w14:paraId="6D63C9DE" w14:textId="77777777" w:rsidR="003F0DB8" w:rsidRDefault="00000000">
      <w:pPr>
        <w:numPr>
          <w:ilvl w:val="0"/>
          <w:numId w:val="131"/>
        </w:numPr>
        <w:ind w:right="5" w:hanging="284"/>
      </w:pPr>
      <w:r>
        <w:rPr>
          <w:b/>
        </w:rPr>
        <w:lastRenderedPageBreak/>
        <w:t>WP10 Observability and ITSM Uplift</w:t>
      </w:r>
      <w:r>
        <w:t xml:space="preserve"> (Operations, Phase 2). Consolidate monitoring, fix alert routing, move dashboards to code, and stand up the native ServiceNow connector. </w:t>
      </w:r>
    </w:p>
    <w:p w14:paraId="284432A0" w14:textId="77777777" w:rsidR="003F0DB8" w:rsidRDefault="00000000">
      <w:pPr>
        <w:numPr>
          <w:ilvl w:val="0"/>
          <w:numId w:val="131"/>
        </w:numPr>
        <w:spacing w:after="41"/>
        <w:ind w:right="5" w:hanging="284"/>
      </w:pPr>
      <w:r>
        <w:rPr>
          <w:b/>
        </w:rPr>
        <w:t>WP11 Workload Security and Hosting Modernisation</w:t>
      </w:r>
      <w:r>
        <w:t xml:space="preserve"> (Integration, Phase 2). Authenticate SQL, APIM and Function Apps, restrict exposure, and rationalise compute and App Service hosting. </w:t>
      </w:r>
    </w:p>
    <w:p w14:paraId="5B56EA08" w14:textId="77777777" w:rsidR="003F0DB8" w:rsidRDefault="00000000">
      <w:pPr>
        <w:numPr>
          <w:ilvl w:val="0"/>
          <w:numId w:val="131"/>
        </w:numPr>
        <w:spacing w:after="45"/>
        <w:ind w:right="5" w:hanging="284"/>
      </w:pPr>
      <w:r>
        <w:rPr>
          <w:b/>
        </w:rPr>
        <w:t>WP12 FinOps Operating Model and Cost Optimisation</w:t>
      </w:r>
      <w:r>
        <w:t xml:space="preserve"> (FinOps, Phase 1-2). Tagging and chargeback, reservations, right-sizing, and a monthly FinOps cadence with cost as a design input. </w:t>
      </w:r>
    </w:p>
    <w:p w14:paraId="305D20CE" w14:textId="77777777" w:rsidR="003F0DB8" w:rsidRDefault="00000000">
      <w:pPr>
        <w:numPr>
          <w:ilvl w:val="0"/>
          <w:numId w:val="131"/>
        </w:numPr>
        <w:spacing w:after="46"/>
        <w:ind w:right="5" w:hanging="284"/>
      </w:pPr>
      <w:r>
        <w:rPr>
          <w:b/>
        </w:rPr>
        <w:t>WP13 AIS Modernisation</w:t>
      </w:r>
      <w:r>
        <w:t xml:space="preserve"> (Integration, Phase 2-3). Environment parity, the Five Patterns design authority, resource-group split, and AIS under code control. </w:t>
      </w:r>
    </w:p>
    <w:p w14:paraId="7FC047E3" w14:textId="77777777" w:rsidR="003F0DB8" w:rsidRDefault="00000000">
      <w:pPr>
        <w:numPr>
          <w:ilvl w:val="0"/>
          <w:numId w:val="131"/>
        </w:numPr>
        <w:spacing w:after="45"/>
        <w:ind w:right="5" w:hanging="284"/>
      </w:pPr>
      <w:r>
        <w:rPr>
          <w:b/>
        </w:rPr>
        <w:t>WP14 Data Governance and Compliance</w:t>
      </w:r>
      <w:r>
        <w:t xml:space="preserve"> (Data, Phase 1-2). Recover Purview, apply GDPR retention, embed classification, and standardise encryption across AI services. </w:t>
      </w:r>
    </w:p>
    <w:p w14:paraId="0E92D37E" w14:textId="77777777" w:rsidR="003F0DB8" w:rsidRDefault="00000000">
      <w:pPr>
        <w:numPr>
          <w:ilvl w:val="0"/>
          <w:numId w:val="131"/>
        </w:numPr>
        <w:spacing w:after="47"/>
        <w:ind w:right="5" w:hanging="284"/>
      </w:pPr>
      <w:r>
        <w:rPr>
          <w:b/>
        </w:rPr>
        <w:t>WP15 Data and AI Platform Modernisation</w:t>
      </w:r>
      <w:r>
        <w:t xml:space="preserve"> (Data, Phase 2-3). Target-state architecture, pipeline rationalisation, MLOps, an AI exposure strategy, and legacy platform exit. </w:t>
      </w:r>
    </w:p>
    <w:p w14:paraId="31C83E59" w14:textId="77777777" w:rsidR="003F0DB8" w:rsidRDefault="00000000">
      <w:pPr>
        <w:numPr>
          <w:ilvl w:val="0"/>
          <w:numId w:val="131"/>
        </w:numPr>
        <w:spacing w:after="137"/>
        <w:ind w:right="5" w:hanging="284"/>
      </w:pPr>
      <w:r>
        <w:rPr>
          <w:b/>
        </w:rPr>
        <w:t>WP16 Legacy Workload Migration and Estate Transition</w:t>
      </w:r>
      <w:r>
        <w:t xml:space="preserve"> (Platform and Workload teams, Phase 3). Migrate or recreate the legacy spokes and workloads onto the new CAF hub, and retire the legacy hierarchies. </w:t>
      </w:r>
    </w:p>
    <w:p w14:paraId="6A0CB14C" w14:textId="77777777" w:rsidR="003F0DB8" w:rsidRDefault="00000000">
      <w:pPr>
        <w:spacing w:after="210" w:line="269" w:lineRule="auto"/>
        <w:ind w:left="10" w:right="3" w:hanging="10"/>
      </w:pPr>
      <w:r>
        <w:rPr>
          <w:sz w:val="24"/>
        </w:rPr>
        <w:t xml:space="preserve">WP16 is the through-line the rest of the programme builds toward, and it is sequenced accordingly. It is described in full in the Phased Delivery section below. </w:t>
      </w:r>
    </w:p>
    <w:p w14:paraId="03FAB011" w14:textId="77777777" w:rsidR="003F0DB8" w:rsidRDefault="00000000">
      <w:pPr>
        <w:pStyle w:val="Heading1"/>
        <w:ind w:left="-5"/>
      </w:pPr>
      <w:bookmarkStart w:id="92" w:name="_Toc96874"/>
      <w:r>
        <w:t xml:space="preserve">Team and Organisation </w:t>
      </w:r>
      <w:bookmarkEnd w:id="92"/>
    </w:p>
    <w:p w14:paraId="43412E87" w14:textId="77777777" w:rsidR="003F0DB8" w:rsidRDefault="00000000">
      <w:pPr>
        <w:spacing w:after="110" w:line="269" w:lineRule="auto"/>
        <w:ind w:left="10" w:right="3" w:hanging="10"/>
      </w:pPr>
      <w:r>
        <w:rPr>
          <w:sz w:val="24"/>
        </w:rPr>
        <w:t xml:space="preserve">The capability to deliver the rebuild already exists, spread across established teams. The change this roadmap needs is mostly organisational. It is a coordinating layer above the existing teams, not new delivery headcount. </w:t>
      </w:r>
    </w:p>
    <w:p w14:paraId="36A2CD48" w14:textId="77777777" w:rsidR="003F0DB8" w:rsidRDefault="00000000">
      <w:pPr>
        <w:spacing w:after="110" w:line="269" w:lineRule="auto"/>
        <w:ind w:left="10" w:right="3" w:hanging="10"/>
      </w:pPr>
      <w:r>
        <w:rPr>
          <w:sz w:val="24"/>
        </w:rPr>
        <w:t xml:space="preserve">The teams in place today: </w:t>
      </w:r>
    </w:p>
    <w:p w14:paraId="1EAA0DA3" w14:textId="77777777" w:rsidR="003F0DB8" w:rsidRDefault="00000000">
      <w:pPr>
        <w:numPr>
          <w:ilvl w:val="0"/>
          <w:numId w:val="132"/>
        </w:numPr>
        <w:spacing w:after="46"/>
        <w:ind w:right="5" w:hanging="284"/>
      </w:pPr>
      <w:r>
        <w:rPr>
          <w:b/>
        </w:rPr>
        <w:t>Platform team.</w:t>
      </w:r>
      <w:r>
        <w:t xml:space="preserve"> Maintains the Azure tenant, landing zones, subscription vending, identity plumbing, networking and policy enforcement. The emerging Cloud Centre of Excellence (CCoE) is expected to sit within this team rather than as a separate body, setting standards, patterns and policy. </w:t>
      </w:r>
    </w:p>
    <w:p w14:paraId="7CD9EED1" w14:textId="77777777" w:rsidR="003F0DB8" w:rsidRDefault="00000000">
      <w:pPr>
        <w:numPr>
          <w:ilvl w:val="0"/>
          <w:numId w:val="132"/>
        </w:numPr>
        <w:ind w:right="5" w:hanging="284"/>
      </w:pPr>
      <w:r>
        <w:rPr>
          <w:b/>
        </w:rPr>
        <w:t>Architecture team.</w:t>
      </w:r>
      <w:r>
        <w:t xml:space="preserve"> Owns target-state design, pattern standards and migration design across the estate. </w:t>
      </w:r>
    </w:p>
    <w:p w14:paraId="4FABC881" w14:textId="77777777" w:rsidR="003F0DB8" w:rsidRDefault="00000000">
      <w:pPr>
        <w:numPr>
          <w:ilvl w:val="0"/>
          <w:numId w:val="132"/>
        </w:numPr>
        <w:ind w:right="5" w:hanging="284"/>
      </w:pPr>
      <w:r>
        <w:rPr>
          <w:b/>
        </w:rPr>
        <w:t>Security team.</w:t>
      </w:r>
      <w:r>
        <w:t xml:space="preserve"> Operates Sentinel, Defender for Cloud, PIM and incident response, jointly with NHS CSOC. </w:t>
      </w:r>
    </w:p>
    <w:p w14:paraId="0C37CB04" w14:textId="77777777" w:rsidR="003F0DB8" w:rsidRDefault="00000000">
      <w:pPr>
        <w:numPr>
          <w:ilvl w:val="0"/>
          <w:numId w:val="132"/>
        </w:numPr>
        <w:spacing w:after="78"/>
        <w:ind w:right="5" w:hanging="284"/>
      </w:pPr>
      <w:r>
        <w:rPr>
          <w:b/>
        </w:rPr>
        <w:t>Project teams (workload teams).</w:t>
      </w:r>
      <w:r>
        <w:t xml:space="preserve"> The AIS, Data Platform and EDP, and Regulatory Platform teams deliver and modernise their own domains. </w:t>
      </w:r>
    </w:p>
    <w:p w14:paraId="53741D3D" w14:textId="77777777" w:rsidR="003F0DB8" w:rsidRDefault="00000000">
      <w:pPr>
        <w:spacing w:after="110" w:line="269" w:lineRule="auto"/>
        <w:ind w:left="10" w:right="3" w:hanging="10"/>
      </w:pPr>
      <w:r>
        <w:rPr>
          <w:sz w:val="24"/>
        </w:rPr>
        <w:lastRenderedPageBreak/>
        <w:t xml:space="preserve">What is missing is not a delivery team. It is the layer that coordinates them. Each team is competent within its own domain, but no single body sequences across them, arbitrates when they compete for the same people or change windows, or owns the crossworkstream dependencies. The result is parallel delivery without coordination. </w:t>
      </w:r>
    </w:p>
    <w:p w14:paraId="28927D43" w14:textId="77777777" w:rsidR="003F0DB8" w:rsidRDefault="00000000">
      <w:pPr>
        <w:spacing w:after="110" w:line="269" w:lineRule="auto"/>
        <w:ind w:left="10" w:right="3" w:hanging="10"/>
      </w:pPr>
      <w:r>
        <w:rPr>
          <w:sz w:val="24"/>
        </w:rPr>
        <w:t xml:space="preserve">Two organisational changes close that gap: </w:t>
      </w:r>
    </w:p>
    <w:p w14:paraId="16DC2D7D" w14:textId="77777777" w:rsidR="003F0DB8" w:rsidRDefault="00000000">
      <w:pPr>
        <w:numPr>
          <w:ilvl w:val="0"/>
          <w:numId w:val="132"/>
        </w:numPr>
        <w:spacing w:after="41"/>
        <w:ind w:right="5" w:hanging="284"/>
      </w:pPr>
      <w:r>
        <w:rPr>
          <w:b/>
        </w:rPr>
        <w:t>The CCoE as a standards function within Platform.</w:t>
      </w:r>
      <w:r>
        <w:t xml:space="preserve"> The Cloud Centre of Excellence sits inside the Platform team rather than as a standalone body. It sets standards, patterns and policy, and governs exceptions, keeping governance close to the team that operates the platform. </w:t>
      </w:r>
    </w:p>
    <w:p w14:paraId="17C9C617" w14:textId="77777777" w:rsidR="003F0DB8" w:rsidRDefault="00000000">
      <w:pPr>
        <w:numPr>
          <w:ilvl w:val="0"/>
          <w:numId w:val="132"/>
        </w:numPr>
        <w:spacing w:after="137"/>
        <w:ind w:right="5" w:hanging="284"/>
      </w:pPr>
      <w:r>
        <w:rPr>
          <w:b/>
        </w:rPr>
        <w:t>A Technical Programme Ownership group.</w:t>
      </w:r>
      <w:r>
        <w:t xml:space="preserve"> This is the new element. Run as a steering group chaired by a single accountable owner, it brings together the Platform, Architecture, Security and workload leads. The group sequences and prioritises the rebuild, arbitrates trade-offs, and owns the dependency map. It is the named owner behind each work package, and its remit is set out in full in the Technical Programme Ownership chapter. </w:t>
      </w:r>
    </w:p>
    <w:p w14:paraId="32C1243E" w14:textId="77777777" w:rsidR="003F0DB8" w:rsidRDefault="00000000">
      <w:pPr>
        <w:spacing w:after="215" w:line="269" w:lineRule="auto"/>
        <w:ind w:left="10" w:right="3" w:hanging="10"/>
      </w:pPr>
      <w:r>
        <w:rPr>
          <w:sz w:val="24"/>
        </w:rPr>
        <w:t xml:space="preserve">These changes do not stop the work already underway. They add the coordinating structure that turns parallel activity into a sequenced programme. With the CCoE established as a function within Platform, and the programme ownership group in place, the phased delivery below can proceed with clear accountability. </w:t>
      </w:r>
    </w:p>
    <w:p w14:paraId="369827BB" w14:textId="77777777" w:rsidR="003F0DB8" w:rsidRDefault="00000000">
      <w:pPr>
        <w:pStyle w:val="Heading1"/>
        <w:ind w:left="-5"/>
      </w:pPr>
      <w:bookmarkStart w:id="93" w:name="_Toc96875"/>
      <w:r>
        <w:t xml:space="preserve">Phased Delivery </w:t>
      </w:r>
      <w:bookmarkEnd w:id="93"/>
    </w:p>
    <w:p w14:paraId="0638F62C" w14:textId="77777777" w:rsidR="003F0DB8" w:rsidRDefault="00000000">
      <w:pPr>
        <w:spacing w:after="170" w:line="269" w:lineRule="auto"/>
        <w:ind w:left="10" w:right="3" w:hanging="10"/>
      </w:pPr>
      <w:r>
        <w:rPr>
          <w:sz w:val="24"/>
        </w:rPr>
        <w:t xml:space="preserve">The work is grouped into three phases by readiness. Each phase sets out what continues, what changes, and which dependencies it clears. The dependency references are defined in full in the cross-workstream dependency map that follows this section. </w:t>
      </w:r>
    </w:p>
    <w:p w14:paraId="5248A32A" w14:textId="77777777" w:rsidR="003F0DB8" w:rsidRDefault="00000000">
      <w:pPr>
        <w:pStyle w:val="Heading3"/>
        <w:ind w:left="-5"/>
      </w:pPr>
      <w:r>
        <w:t xml:space="preserve">Phase 1: Continue (foundations), Enable (organisation) and Stabilise (security) </w:t>
      </w:r>
    </w:p>
    <w:p w14:paraId="47A87067" w14:textId="77777777" w:rsidR="003F0DB8" w:rsidRDefault="00000000">
      <w:pPr>
        <w:spacing w:after="166" w:line="269" w:lineRule="auto"/>
        <w:ind w:left="10" w:right="3" w:hanging="10"/>
      </w:pPr>
      <w:r>
        <w:rPr>
          <w:sz w:val="24"/>
        </w:rPr>
        <w:t xml:space="preserve">Phase 1 lays the foundations, over roughly the first three months. The Platform team continues its landing zone, subscription vending and policy work, the programme and ownership structure is stood up, and the eight urgent security exposures are closed. Foundational work across governance, identity, networking, secrets, cost and data governance also begins. The migration runway is planned, but no legacy workloads move yet. </w:t>
      </w:r>
    </w:p>
    <w:p w14:paraId="23ECF9B5" w14:textId="77777777" w:rsidR="003F0DB8" w:rsidRDefault="00000000">
      <w:pPr>
        <w:pStyle w:val="Heading3"/>
        <w:ind w:left="-5"/>
      </w:pPr>
      <w:r>
        <w:t xml:space="preserve">Phase 2: Consolidate and Standardise </w:t>
      </w:r>
    </w:p>
    <w:p w14:paraId="553469DF" w14:textId="77777777" w:rsidR="003F0DB8" w:rsidRDefault="00000000">
      <w:pPr>
        <w:spacing w:after="110" w:line="269" w:lineRule="auto"/>
        <w:ind w:left="10" w:right="3" w:hanging="10"/>
      </w:pPr>
      <w:r>
        <w:rPr>
          <w:sz w:val="24"/>
        </w:rPr>
        <w:t xml:space="preserve">Phase 2 makes delivery consistent, over roughly months three to nine. One-off fixes give way to repeatable, estate-wide standards, the workload teams adopt pre-approved patterns, and cost gains a named owner. Threat detection, observability and workload </w:t>
      </w:r>
      <w:r>
        <w:rPr>
          <w:sz w:val="24"/>
        </w:rPr>
        <w:lastRenderedPageBreak/>
        <w:t xml:space="preserve">modernisation are delivered, and the AIS and data platform modernisation work begins. The first migration pilots run once the patterns are proven, while the legacy estate keeps running. </w:t>
      </w:r>
    </w:p>
    <w:p w14:paraId="56CE7709" w14:textId="77777777" w:rsidR="003F0DB8" w:rsidRDefault="00000000">
      <w:pPr>
        <w:pStyle w:val="Heading3"/>
        <w:ind w:left="-5"/>
      </w:pPr>
      <w:r>
        <w:t xml:space="preserve">Phase 3: Transform, Migrate and Modernise </w:t>
      </w:r>
    </w:p>
    <w:p w14:paraId="49B98B1B" w14:textId="77777777" w:rsidR="003F0DB8" w:rsidRDefault="00000000">
      <w:pPr>
        <w:spacing w:after="110" w:line="269" w:lineRule="auto"/>
        <w:ind w:left="10" w:right="3" w:hanging="10"/>
      </w:pPr>
      <w:r>
        <w:rPr>
          <w:sz w:val="24"/>
        </w:rPr>
        <w:t xml:space="preserve">Phase 3 is where migration becomes the default, over roughly months nine to eighteen. With the foundations laid and the patterns proven, the bulk of the legacy estate is migrated onto the new CAF hub and the legacy hierarchies are retired behind it. The AIS and data platform modernisation packages complete, and the Platform team shifts from enablement to optimisation. </w:t>
      </w:r>
    </w:p>
    <w:p w14:paraId="6E1A67CB" w14:textId="77777777" w:rsidR="003F0DB8" w:rsidRDefault="00000000">
      <w:pPr>
        <w:spacing w:after="181" w:line="259" w:lineRule="auto"/>
        <w:ind w:left="0" w:firstLine="0"/>
      </w:pPr>
      <w:r>
        <w:rPr>
          <w:b/>
          <w:sz w:val="24"/>
        </w:rPr>
        <w:t xml:space="preserve"> </w:t>
      </w:r>
    </w:p>
    <w:p w14:paraId="060CC08C" w14:textId="77777777" w:rsidR="003F0DB8" w:rsidRDefault="00000000">
      <w:pPr>
        <w:pStyle w:val="Heading3"/>
        <w:spacing w:after="0"/>
        <w:ind w:left="-5"/>
      </w:pPr>
      <w:r>
        <w:t xml:space="preserve">Work Packages </w:t>
      </w:r>
    </w:p>
    <w:tbl>
      <w:tblPr>
        <w:tblStyle w:val="TableGrid"/>
        <w:tblW w:w="13851" w:type="dxa"/>
        <w:tblInd w:w="7" w:type="dxa"/>
        <w:tblCellMar>
          <w:top w:w="44" w:type="dxa"/>
          <w:left w:w="105" w:type="dxa"/>
          <w:bottom w:w="0" w:type="dxa"/>
          <w:right w:w="61" w:type="dxa"/>
        </w:tblCellMar>
        <w:tblLook w:val="04A0" w:firstRow="1" w:lastRow="0" w:firstColumn="1" w:lastColumn="0" w:noHBand="0" w:noVBand="1"/>
      </w:tblPr>
      <w:tblGrid>
        <w:gridCol w:w="825"/>
        <w:gridCol w:w="1497"/>
        <w:gridCol w:w="1238"/>
        <w:gridCol w:w="767"/>
        <w:gridCol w:w="1835"/>
        <w:gridCol w:w="1456"/>
        <w:gridCol w:w="6233"/>
      </w:tblGrid>
      <w:tr w:rsidR="003F0DB8" w14:paraId="0C8508F0" w14:textId="77777777">
        <w:trPr>
          <w:trHeight w:val="699"/>
        </w:trPr>
        <w:tc>
          <w:tcPr>
            <w:tcW w:w="825" w:type="dxa"/>
            <w:tcBorders>
              <w:top w:val="single" w:sz="3" w:space="0" w:color="000000"/>
              <w:left w:val="single" w:sz="3" w:space="0" w:color="000000"/>
              <w:bottom w:val="single" w:sz="2" w:space="0" w:color="FFFFFF"/>
              <w:right w:val="single" w:sz="3" w:space="0" w:color="000000"/>
            </w:tcBorders>
            <w:shd w:val="clear" w:color="auto" w:fill="1F3864"/>
          </w:tcPr>
          <w:p w14:paraId="3243809E" w14:textId="77777777" w:rsidR="003F0DB8" w:rsidRDefault="00000000">
            <w:pPr>
              <w:spacing w:after="0" w:line="259" w:lineRule="auto"/>
              <w:ind w:left="0" w:firstLine="0"/>
              <w:jc w:val="both"/>
            </w:pPr>
            <w:r>
              <w:rPr>
                <w:rFonts w:ascii="Arial" w:eastAsia="Arial" w:hAnsi="Arial" w:cs="Arial"/>
                <w:color w:val="FFFFFF"/>
              </w:rPr>
              <w:t xml:space="preserve">WP ID </w:t>
            </w:r>
          </w:p>
        </w:tc>
        <w:tc>
          <w:tcPr>
            <w:tcW w:w="1497" w:type="dxa"/>
            <w:tcBorders>
              <w:top w:val="single" w:sz="3" w:space="0" w:color="000000"/>
              <w:left w:val="single" w:sz="3" w:space="0" w:color="000000"/>
              <w:bottom w:val="single" w:sz="2" w:space="0" w:color="FFFFFF"/>
              <w:right w:val="single" w:sz="3" w:space="0" w:color="000000"/>
            </w:tcBorders>
            <w:shd w:val="clear" w:color="auto" w:fill="1F3864"/>
          </w:tcPr>
          <w:p w14:paraId="62AA0B5B" w14:textId="77777777" w:rsidR="003F0DB8" w:rsidRDefault="00000000">
            <w:pPr>
              <w:spacing w:after="0" w:line="259" w:lineRule="auto"/>
              <w:ind w:left="3" w:firstLine="0"/>
            </w:pPr>
            <w:r>
              <w:rPr>
                <w:rFonts w:ascii="Arial" w:eastAsia="Arial" w:hAnsi="Arial" w:cs="Arial"/>
                <w:color w:val="FFFFFF"/>
              </w:rPr>
              <w:t xml:space="preserve">Work </w:t>
            </w:r>
          </w:p>
          <w:p w14:paraId="308299B8" w14:textId="77777777" w:rsidR="003F0DB8" w:rsidRDefault="00000000">
            <w:pPr>
              <w:spacing w:after="0" w:line="259" w:lineRule="auto"/>
              <w:ind w:left="3" w:firstLine="0"/>
            </w:pPr>
            <w:r>
              <w:rPr>
                <w:rFonts w:ascii="Arial" w:eastAsia="Arial" w:hAnsi="Arial" w:cs="Arial"/>
                <w:color w:val="FFFFFF"/>
              </w:rPr>
              <w:t xml:space="preserve">Package </w:t>
            </w:r>
          </w:p>
        </w:tc>
        <w:tc>
          <w:tcPr>
            <w:tcW w:w="1238" w:type="dxa"/>
            <w:tcBorders>
              <w:top w:val="single" w:sz="3" w:space="0" w:color="000000"/>
              <w:left w:val="single" w:sz="3" w:space="0" w:color="000000"/>
              <w:bottom w:val="single" w:sz="2" w:space="0" w:color="FFFFFF"/>
              <w:right w:val="single" w:sz="3" w:space="0" w:color="000000"/>
            </w:tcBorders>
            <w:shd w:val="clear" w:color="auto" w:fill="1F3864"/>
          </w:tcPr>
          <w:p w14:paraId="1D5004C2" w14:textId="77777777" w:rsidR="003F0DB8" w:rsidRDefault="00000000">
            <w:pPr>
              <w:spacing w:after="0" w:line="259" w:lineRule="auto"/>
              <w:ind w:left="3" w:firstLine="0"/>
            </w:pPr>
            <w:r>
              <w:rPr>
                <w:rFonts w:ascii="Arial" w:eastAsia="Arial" w:hAnsi="Arial" w:cs="Arial"/>
                <w:color w:val="FFFFFF"/>
              </w:rPr>
              <w:t xml:space="preserve">Owner </w:t>
            </w:r>
          </w:p>
        </w:tc>
        <w:tc>
          <w:tcPr>
            <w:tcW w:w="767" w:type="dxa"/>
            <w:tcBorders>
              <w:top w:val="single" w:sz="3" w:space="0" w:color="000000"/>
              <w:left w:val="single" w:sz="3" w:space="0" w:color="000000"/>
              <w:bottom w:val="single" w:sz="2" w:space="0" w:color="FFFFFF"/>
              <w:right w:val="single" w:sz="3" w:space="0" w:color="000000"/>
            </w:tcBorders>
            <w:shd w:val="clear" w:color="auto" w:fill="1F3864"/>
          </w:tcPr>
          <w:p w14:paraId="21D342F2" w14:textId="77777777" w:rsidR="003F0DB8" w:rsidRDefault="00000000">
            <w:pPr>
              <w:spacing w:after="0" w:line="259" w:lineRule="auto"/>
              <w:ind w:left="1" w:firstLine="0"/>
            </w:pPr>
            <w:r>
              <w:rPr>
                <w:rFonts w:ascii="Arial" w:eastAsia="Arial" w:hAnsi="Arial" w:cs="Arial"/>
                <w:color w:val="FFFFFF"/>
              </w:rPr>
              <w:t>Phas</w:t>
            </w:r>
          </w:p>
          <w:p w14:paraId="40BC07CB" w14:textId="77777777" w:rsidR="003F0DB8" w:rsidRDefault="00000000">
            <w:pPr>
              <w:spacing w:after="0" w:line="259" w:lineRule="auto"/>
              <w:ind w:left="1" w:firstLine="0"/>
            </w:pPr>
            <w:r>
              <w:rPr>
                <w:rFonts w:ascii="Arial" w:eastAsia="Arial" w:hAnsi="Arial" w:cs="Arial"/>
                <w:color w:val="FFFFFF"/>
              </w:rPr>
              <w:t xml:space="preserve">e </w:t>
            </w:r>
          </w:p>
        </w:tc>
        <w:tc>
          <w:tcPr>
            <w:tcW w:w="1835" w:type="dxa"/>
            <w:tcBorders>
              <w:top w:val="single" w:sz="3" w:space="0" w:color="000000"/>
              <w:left w:val="single" w:sz="3" w:space="0" w:color="000000"/>
              <w:bottom w:val="single" w:sz="2" w:space="0" w:color="FFFFFF"/>
              <w:right w:val="single" w:sz="3" w:space="0" w:color="000000"/>
            </w:tcBorders>
            <w:shd w:val="clear" w:color="auto" w:fill="1F3864"/>
          </w:tcPr>
          <w:p w14:paraId="0883D456" w14:textId="77777777" w:rsidR="003F0DB8" w:rsidRDefault="00000000">
            <w:pPr>
              <w:spacing w:after="0" w:line="259" w:lineRule="auto"/>
              <w:ind w:left="3" w:firstLine="0"/>
            </w:pPr>
            <w:r>
              <w:rPr>
                <w:rFonts w:ascii="Arial" w:eastAsia="Arial" w:hAnsi="Arial" w:cs="Arial"/>
                <w:color w:val="FFFFFF"/>
              </w:rPr>
              <w:t xml:space="preserve">Total </w:t>
            </w:r>
          </w:p>
          <w:p w14:paraId="447595B3" w14:textId="77777777" w:rsidR="003F0DB8" w:rsidRDefault="00000000">
            <w:pPr>
              <w:spacing w:after="0" w:line="259" w:lineRule="auto"/>
              <w:ind w:left="3" w:firstLine="0"/>
            </w:pPr>
            <w:r>
              <w:rPr>
                <w:rFonts w:ascii="Arial" w:eastAsia="Arial" w:hAnsi="Arial" w:cs="Arial"/>
                <w:color w:val="FFFFFF"/>
              </w:rPr>
              <w:t>Recommendation</w:t>
            </w:r>
          </w:p>
          <w:p w14:paraId="6DFCBF2E" w14:textId="77777777" w:rsidR="003F0DB8" w:rsidRDefault="00000000">
            <w:pPr>
              <w:spacing w:after="0" w:line="259" w:lineRule="auto"/>
              <w:ind w:left="3" w:firstLine="0"/>
            </w:pPr>
            <w:r>
              <w:rPr>
                <w:rFonts w:ascii="Arial" w:eastAsia="Arial" w:hAnsi="Arial" w:cs="Arial"/>
                <w:color w:val="FFFFFF"/>
              </w:rPr>
              <w:t xml:space="preserve">s </w:t>
            </w:r>
          </w:p>
        </w:tc>
        <w:tc>
          <w:tcPr>
            <w:tcW w:w="1456" w:type="dxa"/>
            <w:tcBorders>
              <w:top w:val="single" w:sz="3" w:space="0" w:color="000000"/>
              <w:left w:val="single" w:sz="3" w:space="0" w:color="000000"/>
              <w:bottom w:val="single" w:sz="2" w:space="0" w:color="FFFFFF"/>
              <w:right w:val="single" w:sz="3" w:space="0" w:color="000000"/>
            </w:tcBorders>
            <w:shd w:val="clear" w:color="auto" w:fill="1F3864"/>
          </w:tcPr>
          <w:p w14:paraId="143F28AC" w14:textId="77777777" w:rsidR="003F0DB8" w:rsidRDefault="00000000">
            <w:pPr>
              <w:spacing w:after="0" w:line="259" w:lineRule="auto"/>
              <w:ind w:left="1" w:right="7" w:firstLine="0"/>
            </w:pPr>
            <w:r>
              <w:rPr>
                <w:rFonts w:ascii="Arial" w:eastAsia="Arial" w:hAnsi="Arial" w:cs="Arial"/>
                <w:color w:val="FFFFFF"/>
              </w:rPr>
              <w:t xml:space="preserve">Dependencie s cleared </w:t>
            </w:r>
          </w:p>
        </w:tc>
        <w:tc>
          <w:tcPr>
            <w:tcW w:w="6235" w:type="dxa"/>
            <w:tcBorders>
              <w:top w:val="single" w:sz="3" w:space="0" w:color="000000"/>
              <w:left w:val="single" w:sz="3" w:space="0" w:color="000000"/>
              <w:bottom w:val="single" w:sz="2" w:space="0" w:color="FFFFFF"/>
              <w:right w:val="single" w:sz="3" w:space="0" w:color="000000"/>
            </w:tcBorders>
            <w:shd w:val="clear" w:color="auto" w:fill="1F3864"/>
          </w:tcPr>
          <w:p w14:paraId="560803C2" w14:textId="77777777" w:rsidR="003F0DB8" w:rsidRDefault="00000000">
            <w:pPr>
              <w:spacing w:after="0" w:line="259" w:lineRule="auto"/>
              <w:ind w:left="1" w:firstLine="0"/>
            </w:pPr>
            <w:r>
              <w:rPr>
                <w:rFonts w:ascii="Arial" w:eastAsia="Arial" w:hAnsi="Arial" w:cs="Arial"/>
                <w:color w:val="FFFFFF"/>
              </w:rPr>
              <w:t xml:space="preserve">Outcome / description </w:t>
            </w:r>
          </w:p>
        </w:tc>
      </w:tr>
      <w:tr w:rsidR="003F0DB8" w14:paraId="33A5E60D" w14:textId="77777777">
        <w:trPr>
          <w:trHeight w:val="1085"/>
        </w:trPr>
        <w:tc>
          <w:tcPr>
            <w:tcW w:w="825" w:type="dxa"/>
            <w:tcBorders>
              <w:top w:val="single" w:sz="2" w:space="0" w:color="FFFFFF"/>
              <w:left w:val="single" w:sz="3" w:space="0" w:color="000000"/>
              <w:bottom w:val="single" w:sz="2" w:space="0" w:color="FFFFFF"/>
              <w:right w:val="single" w:sz="3" w:space="0" w:color="000000"/>
            </w:tcBorders>
          </w:tcPr>
          <w:p w14:paraId="66B4A265" w14:textId="77777777" w:rsidR="003F0DB8" w:rsidRDefault="00000000">
            <w:pPr>
              <w:spacing w:after="0" w:line="259" w:lineRule="auto"/>
              <w:ind w:left="0" w:firstLine="0"/>
            </w:pPr>
            <w:r>
              <w:rPr>
                <w:rFonts w:ascii="Calibri" w:eastAsia="Calibri" w:hAnsi="Calibri" w:cs="Calibri"/>
                <w:sz w:val="22"/>
              </w:rPr>
              <w:t xml:space="preserve">WP01 </w:t>
            </w:r>
          </w:p>
        </w:tc>
        <w:tc>
          <w:tcPr>
            <w:tcW w:w="1497" w:type="dxa"/>
            <w:tcBorders>
              <w:top w:val="single" w:sz="2" w:space="0" w:color="FFFFFF"/>
              <w:left w:val="single" w:sz="3" w:space="0" w:color="000000"/>
              <w:bottom w:val="single" w:sz="2" w:space="0" w:color="FFFFFF"/>
              <w:right w:val="single" w:sz="3" w:space="0" w:color="000000"/>
            </w:tcBorders>
          </w:tcPr>
          <w:p w14:paraId="3AC6FA46" w14:textId="77777777" w:rsidR="003F0DB8" w:rsidRDefault="00000000">
            <w:pPr>
              <w:spacing w:after="0" w:line="259" w:lineRule="auto"/>
              <w:ind w:left="3" w:firstLine="0"/>
              <w:jc w:val="both"/>
            </w:pPr>
            <w:r>
              <w:rPr>
                <w:rFonts w:ascii="Calibri" w:eastAsia="Calibri" w:hAnsi="Calibri" w:cs="Calibri"/>
                <w:sz w:val="22"/>
              </w:rPr>
              <w:t xml:space="preserve">Programme &amp; </w:t>
            </w:r>
          </w:p>
          <w:p w14:paraId="7E7C1363" w14:textId="77777777" w:rsidR="003F0DB8" w:rsidRDefault="00000000">
            <w:pPr>
              <w:spacing w:after="0" w:line="259" w:lineRule="auto"/>
              <w:ind w:left="3" w:firstLine="0"/>
            </w:pPr>
            <w:r>
              <w:rPr>
                <w:rFonts w:ascii="Calibri" w:eastAsia="Calibri" w:hAnsi="Calibri" w:cs="Calibri"/>
                <w:sz w:val="22"/>
              </w:rPr>
              <w:t xml:space="preserve">Operating </w:t>
            </w:r>
          </w:p>
          <w:p w14:paraId="7900B380" w14:textId="77777777" w:rsidR="003F0DB8" w:rsidRDefault="00000000">
            <w:pPr>
              <w:spacing w:after="0" w:line="259" w:lineRule="auto"/>
              <w:ind w:left="3" w:firstLine="0"/>
            </w:pPr>
            <w:r>
              <w:rPr>
                <w:rFonts w:ascii="Calibri" w:eastAsia="Calibri" w:hAnsi="Calibri" w:cs="Calibri"/>
                <w:sz w:val="22"/>
              </w:rPr>
              <w:t xml:space="preserve">Model </w:t>
            </w:r>
          </w:p>
          <w:p w14:paraId="2AF31D21" w14:textId="77777777" w:rsidR="003F0DB8" w:rsidRDefault="00000000">
            <w:pPr>
              <w:spacing w:after="0" w:line="259" w:lineRule="auto"/>
              <w:ind w:left="3" w:firstLine="0"/>
            </w:pPr>
            <w:r>
              <w:rPr>
                <w:rFonts w:ascii="Calibri" w:eastAsia="Calibri" w:hAnsi="Calibri" w:cs="Calibri"/>
                <w:sz w:val="22"/>
              </w:rPr>
              <w:t xml:space="preserve">Establishment </w:t>
            </w:r>
          </w:p>
        </w:tc>
        <w:tc>
          <w:tcPr>
            <w:tcW w:w="1238" w:type="dxa"/>
            <w:tcBorders>
              <w:top w:val="single" w:sz="2" w:space="0" w:color="FFFFFF"/>
              <w:left w:val="single" w:sz="3" w:space="0" w:color="000000"/>
              <w:bottom w:val="single" w:sz="2" w:space="0" w:color="FFFFFF"/>
              <w:right w:val="single" w:sz="3" w:space="0" w:color="000000"/>
            </w:tcBorders>
          </w:tcPr>
          <w:p w14:paraId="4BB1368E" w14:textId="77777777" w:rsidR="003F0DB8" w:rsidRDefault="00000000">
            <w:pPr>
              <w:spacing w:after="0" w:line="259" w:lineRule="auto"/>
              <w:ind w:left="3" w:firstLine="0"/>
            </w:pPr>
            <w:r>
              <w:rPr>
                <w:rFonts w:ascii="Calibri" w:eastAsia="Calibri" w:hAnsi="Calibri" w:cs="Calibri"/>
                <w:sz w:val="22"/>
              </w:rPr>
              <w:t>Programm</w:t>
            </w:r>
          </w:p>
          <w:p w14:paraId="6886CEEF" w14:textId="77777777" w:rsidR="003F0DB8" w:rsidRDefault="00000000">
            <w:pPr>
              <w:spacing w:after="0" w:line="259" w:lineRule="auto"/>
              <w:ind w:left="3" w:firstLine="0"/>
            </w:pPr>
            <w:r>
              <w:rPr>
                <w:rFonts w:ascii="Calibri" w:eastAsia="Calibri" w:hAnsi="Calibri" w:cs="Calibri"/>
                <w:sz w:val="22"/>
              </w:rPr>
              <w:t xml:space="preserve">e </w:t>
            </w:r>
          </w:p>
        </w:tc>
        <w:tc>
          <w:tcPr>
            <w:tcW w:w="767" w:type="dxa"/>
            <w:tcBorders>
              <w:top w:val="single" w:sz="2" w:space="0" w:color="FFFFFF"/>
              <w:left w:val="single" w:sz="3" w:space="0" w:color="000000"/>
              <w:bottom w:val="single" w:sz="2" w:space="0" w:color="FFFFFF"/>
              <w:right w:val="single" w:sz="3" w:space="0" w:color="000000"/>
            </w:tcBorders>
          </w:tcPr>
          <w:p w14:paraId="16BD8F80" w14:textId="77777777" w:rsidR="003F0DB8" w:rsidRDefault="00000000">
            <w:pPr>
              <w:spacing w:after="0" w:line="259" w:lineRule="auto"/>
              <w:ind w:left="1" w:firstLine="0"/>
            </w:pPr>
            <w:r>
              <w:rPr>
                <w:rFonts w:ascii="Calibri" w:eastAsia="Calibri" w:hAnsi="Calibri" w:cs="Calibri"/>
                <w:sz w:val="22"/>
              </w:rPr>
              <w:t xml:space="preserve">Phase 1 </w:t>
            </w:r>
          </w:p>
        </w:tc>
        <w:tc>
          <w:tcPr>
            <w:tcW w:w="1835" w:type="dxa"/>
            <w:tcBorders>
              <w:top w:val="single" w:sz="2" w:space="0" w:color="FFFFFF"/>
              <w:left w:val="single" w:sz="3" w:space="0" w:color="000000"/>
              <w:bottom w:val="single" w:sz="2" w:space="0" w:color="FFFFFF"/>
              <w:right w:val="single" w:sz="3" w:space="0" w:color="000000"/>
            </w:tcBorders>
          </w:tcPr>
          <w:p w14:paraId="0136F1D4" w14:textId="77777777" w:rsidR="003F0DB8" w:rsidRDefault="00000000">
            <w:pPr>
              <w:spacing w:after="0" w:line="259" w:lineRule="auto"/>
              <w:ind w:left="0" w:right="50" w:firstLine="0"/>
              <w:jc w:val="right"/>
            </w:pPr>
            <w:r>
              <w:rPr>
                <w:rFonts w:ascii="Calibri" w:eastAsia="Calibri" w:hAnsi="Calibri" w:cs="Calibri"/>
                <w:sz w:val="22"/>
              </w:rPr>
              <w:t xml:space="preserve">2 </w:t>
            </w:r>
          </w:p>
        </w:tc>
        <w:tc>
          <w:tcPr>
            <w:tcW w:w="1456" w:type="dxa"/>
            <w:tcBorders>
              <w:top w:val="single" w:sz="2" w:space="0" w:color="FFFFFF"/>
              <w:left w:val="single" w:sz="3" w:space="0" w:color="000000"/>
              <w:bottom w:val="single" w:sz="2" w:space="0" w:color="FFFFFF"/>
              <w:right w:val="single" w:sz="3" w:space="0" w:color="000000"/>
            </w:tcBorders>
          </w:tcPr>
          <w:p w14:paraId="33E7FAB4" w14:textId="77777777" w:rsidR="003F0DB8" w:rsidRDefault="00000000">
            <w:pPr>
              <w:spacing w:after="0" w:line="259" w:lineRule="auto"/>
              <w:ind w:left="1" w:firstLine="0"/>
            </w:pPr>
            <w:r>
              <w:rPr>
                <w:rFonts w:ascii="Calibri" w:eastAsia="Calibri" w:hAnsi="Calibri" w:cs="Calibri"/>
                <w:sz w:val="22"/>
              </w:rPr>
              <w:t xml:space="preserve">  </w:t>
            </w:r>
          </w:p>
        </w:tc>
        <w:tc>
          <w:tcPr>
            <w:tcW w:w="6235" w:type="dxa"/>
            <w:tcBorders>
              <w:top w:val="single" w:sz="2" w:space="0" w:color="FFFFFF"/>
              <w:left w:val="single" w:sz="3" w:space="0" w:color="000000"/>
              <w:bottom w:val="single" w:sz="2" w:space="0" w:color="FFFFFF"/>
              <w:right w:val="single" w:sz="3" w:space="0" w:color="000000"/>
            </w:tcBorders>
          </w:tcPr>
          <w:p w14:paraId="65899711" w14:textId="77777777" w:rsidR="003F0DB8" w:rsidRDefault="00000000">
            <w:pPr>
              <w:spacing w:after="0" w:line="259" w:lineRule="auto"/>
              <w:ind w:left="1" w:firstLine="0"/>
            </w:pPr>
            <w:r>
              <w:rPr>
                <w:rFonts w:ascii="Calibri" w:eastAsia="Calibri" w:hAnsi="Calibri" w:cs="Calibri"/>
                <w:sz w:val="22"/>
              </w:rPr>
              <w:t xml:space="preserve">Stand up the Technical Programme Leadership group and the </w:t>
            </w:r>
          </w:p>
          <w:p w14:paraId="6A755E0C" w14:textId="77777777" w:rsidR="003F0DB8" w:rsidRDefault="00000000">
            <w:pPr>
              <w:spacing w:after="0" w:line="259" w:lineRule="auto"/>
              <w:ind w:left="1" w:firstLine="0"/>
            </w:pPr>
            <w:r>
              <w:rPr>
                <w:rFonts w:ascii="Calibri" w:eastAsia="Calibri" w:hAnsi="Calibri" w:cs="Calibri"/>
                <w:sz w:val="22"/>
              </w:rPr>
              <w:t xml:space="preserve">Run/Service teams that sequence, arbitrate and own the rebuild. </w:t>
            </w:r>
          </w:p>
        </w:tc>
      </w:tr>
      <w:tr w:rsidR="003F0DB8" w14:paraId="0A12C1B9" w14:textId="77777777">
        <w:trPr>
          <w:trHeight w:val="816"/>
        </w:trPr>
        <w:tc>
          <w:tcPr>
            <w:tcW w:w="825" w:type="dxa"/>
            <w:tcBorders>
              <w:top w:val="single" w:sz="2" w:space="0" w:color="FFFFFF"/>
              <w:left w:val="single" w:sz="3" w:space="0" w:color="000000"/>
              <w:bottom w:val="single" w:sz="2" w:space="0" w:color="FFFFFF"/>
              <w:right w:val="single" w:sz="3" w:space="0" w:color="000000"/>
            </w:tcBorders>
          </w:tcPr>
          <w:p w14:paraId="7E774594" w14:textId="77777777" w:rsidR="003F0DB8" w:rsidRDefault="00000000">
            <w:pPr>
              <w:spacing w:after="0" w:line="259" w:lineRule="auto"/>
              <w:ind w:left="0" w:firstLine="0"/>
            </w:pPr>
            <w:r>
              <w:rPr>
                <w:rFonts w:ascii="Calibri" w:eastAsia="Calibri" w:hAnsi="Calibri" w:cs="Calibri"/>
                <w:sz w:val="22"/>
              </w:rPr>
              <w:t xml:space="preserve">WP02 </w:t>
            </w:r>
          </w:p>
        </w:tc>
        <w:tc>
          <w:tcPr>
            <w:tcW w:w="1497" w:type="dxa"/>
            <w:tcBorders>
              <w:top w:val="single" w:sz="2" w:space="0" w:color="FFFFFF"/>
              <w:left w:val="single" w:sz="3" w:space="0" w:color="000000"/>
              <w:bottom w:val="single" w:sz="2" w:space="0" w:color="FFFFFF"/>
              <w:right w:val="single" w:sz="3" w:space="0" w:color="000000"/>
            </w:tcBorders>
          </w:tcPr>
          <w:p w14:paraId="40B53C32" w14:textId="77777777" w:rsidR="003F0DB8" w:rsidRDefault="00000000">
            <w:pPr>
              <w:spacing w:after="0" w:line="259" w:lineRule="auto"/>
              <w:ind w:left="3" w:firstLine="0"/>
            </w:pPr>
            <w:r>
              <w:rPr>
                <w:rFonts w:ascii="Calibri" w:eastAsia="Calibri" w:hAnsi="Calibri" w:cs="Calibri"/>
                <w:sz w:val="22"/>
              </w:rPr>
              <w:t xml:space="preserve">Urgent </w:t>
            </w:r>
          </w:p>
          <w:p w14:paraId="03D326B4" w14:textId="77777777" w:rsidR="003F0DB8" w:rsidRDefault="00000000">
            <w:pPr>
              <w:spacing w:after="0" w:line="259" w:lineRule="auto"/>
              <w:ind w:left="3" w:firstLine="0"/>
            </w:pPr>
            <w:r>
              <w:rPr>
                <w:rFonts w:ascii="Calibri" w:eastAsia="Calibri" w:hAnsi="Calibri" w:cs="Calibri"/>
                <w:sz w:val="22"/>
              </w:rPr>
              <w:t xml:space="preserve">Security </w:t>
            </w:r>
          </w:p>
          <w:p w14:paraId="56808761" w14:textId="77777777" w:rsidR="003F0DB8" w:rsidRDefault="00000000">
            <w:pPr>
              <w:spacing w:after="0" w:line="259" w:lineRule="auto"/>
              <w:ind w:left="3" w:firstLine="0"/>
            </w:pPr>
            <w:r>
              <w:rPr>
                <w:rFonts w:ascii="Calibri" w:eastAsia="Calibri" w:hAnsi="Calibri" w:cs="Calibri"/>
                <w:sz w:val="22"/>
              </w:rPr>
              <w:t xml:space="preserve">Remediation </w:t>
            </w:r>
          </w:p>
        </w:tc>
        <w:tc>
          <w:tcPr>
            <w:tcW w:w="1238" w:type="dxa"/>
            <w:tcBorders>
              <w:top w:val="single" w:sz="2" w:space="0" w:color="FFFFFF"/>
              <w:left w:val="single" w:sz="3" w:space="0" w:color="000000"/>
              <w:bottom w:val="single" w:sz="2" w:space="0" w:color="FFFFFF"/>
              <w:right w:val="single" w:sz="3" w:space="0" w:color="000000"/>
            </w:tcBorders>
          </w:tcPr>
          <w:p w14:paraId="1BD672BA" w14:textId="77777777" w:rsidR="003F0DB8" w:rsidRDefault="00000000">
            <w:pPr>
              <w:spacing w:after="0" w:line="259" w:lineRule="auto"/>
              <w:ind w:left="3" w:firstLine="0"/>
            </w:pPr>
            <w:r>
              <w:rPr>
                <w:rFonts w:ascii="Calibri" w:eastAsia="Calibri" w:hAnsi="Calibri" w:cs="Calibri"/>
                <w:sz w:val="22"/>
              </w:rPr>
              <w:t xml:space="preserve">Security / Platform </w:t>
            </w:r>
          </w:p>
        </w:tc>
        <w:tc>
          <w:tcPr>
            <w:tcW w:w="767" w:type="dxa"/>
            <w:tcBorders>
              <w:top w:val="single" w:sz="2" w:space="0" w:color="FFFFFF"/>
              <w:left w:val="single" w:sz="3" w:space="0" w:color="000000"/>
              <w:bottom w:val="single" w:sz="2" w:space="0" w:color="FFFFFF"/>
              <w:right w:val="single" w:sz="3" w:space="0" w:color="000000"/>
            </w:tcBorders>
          </w:tcPr>
          <w:p w14:paraId="0CFBFEEC" w14:textId="77777777" w:rsidR="003F0DB8" w:rsidRDefault="00000000">
            <w:pPr>
              <w:spacing w:after="0" w:line="259" w:lineRule="auto"/>
              <w:ind w:left="1" w:firstLine="0"/>
            </w:pPr>
            <w:r>
              <w:rPr>
                <w:rFonts w:ascii="Calibri" w:eastAsia="Calibri" w:hAnsi="Calibri" w:cs="Calibri"/>
                <w:sz w:val="22"/>
              </w:rPr>
              <w:t xml:space="preserve">Phase 1 </w:t>
            </w:r>
          </w:p>
        </w:tc>
        <w:tc>
          <w:tcPr>
            <w:tcW w:w="1835" w:type="dxa"/>
            <w:tcBorders>
              <w:top w:val="single" w:sz="2" w:space="0" w:color="FFFFFF"/>
              <w:left w:val="single" w:sz="3" w:space="0" w:color="000000"/>
              <w:bottom w:val="single" w:sz="2" w:space="0" w:color="FFFFFF"/>
              <w:right w:val="single" w:sz="3" w:space="0" w:color="000000"/>
            </w:tcBorders>
          </w:tcPr>
          <w:p w14:paraId="3A6F63CC" w14:textId="77777777" w:rsidR="003F0DB8" w:rsidRDefault="00000000">
            <w:pPr>
              <w:spacing w:after="0" w:line="259" w:lineRule="auto"/>
              <w:ind w:left="0" w:right="50" w:firstLine="0"/>
              <w:jc w:val="right"/>
            </w:pPr>
            <w:r>
              <w:rPr>
                <w:rFonts w:ascii="Calibri" w:eastAsia="Calibri" w:hAnsi="Calibri" w:cs="Calibri"/>
                <w:sz w:val="22"/>
              </w:rPr>
              <w:t xml:space="preserve">8 </w:t>
            </w:r>
          </w:p>
        </w:tc>
        <w:tc>
          <w:tcPr>
            <w:tcW w:w="1456" w:type="dxa"/>
            <w:tcBorders>
              <w:top w:val="single" w:sz="2" w:space="0" w:color="FFFFFF"/>
              <w:left w:val="single" w:sz="3" w:space="0" w:color="000000"/>
              <w:bottom w:val="single" w:sz="2" w:space="0" w:color="FFFFFF"/>
              <w:right w:val="single" w:sz="3" w:space="0" w:color="000000"/>
            </w:tcBorders>
          </w:tcPr>
          <w:p w14:paraId="5E546E90" w14:textId="77777777" w:rsidR="003F0DB8" w:rsidRDefault="00000000">
            <w:pPr>
              <w:spacing w:after="0" w:line="259" w:lineRule="auto"/>
              <w:ind w:left="1" w:firstLine="0"/>
            </w:pPr>
            <w:r>
              <w:rPr>
                <w:rFonts w:ascii="Calibri" w:eastAsia="Calibri" w:hAnsi="Calibri" w:cs="Calibri"/>
                <w:sz w:val="22"/>
              </w:rPr>
              <w:t xml:space="preserve">D5 </w:t>
            </w:r>
          </w:p>
        </w:tc>
        <w:tc>
          <w:tcPr>
            <w:tcW w:w="6235" w:type="dxa"/>
            <w:tcBorders>
              <w:top w:val="single" w:sz="2" w:space="0" w:color="FFFFFF"/>
              <w:left w:val="single" w:sz="3" w:space="0" w:color="000000"/>
              <w:bottom w:val="single" w:sz="2" w:space="0" w:color="FFFFFF"/>
              <w:right w:val="single" w:sz="3" w:space="0" w:color="000000"/>
            </w:tcBorders>
          </w:tcPr>
          <w:p w14:paraId="682261E7" w14:textId="77777777" w:rsidR="003F0DB8" w:rsidRDefault="00000000">
            <w:pPr>
              <w:spacing w:after="0" w:line="259" w:lineRule="auto"/>
              <w:ind w:left="1" w:right="58" w:firstLine="0"/>
              <w:jc w:val="both"/>
            </w:pPr>
            <w:r>
              <w:rPr>
                <w:rFonts w:ascii="Calibri" w:eastAsia="Calibri" w:hAnsi="Calibri" w:cs="Calibri"/>
                <w:sz w:val="22"/>
              </w:rPr>
              <w:t xml:space="preserve">Close the eight high-priority exposure findings immediately - management ports, public IPs, key vaults, partner access, PIM, data tier and storage. </w:t>
            </w:r>
          </w:p>
        </w:tc>
      </w:tr>
      <w:tr w:rsidR="003F0DB8" w14:paraId="455F5AE0" w14:textId="77777777">
        <w:trPr>
          <w:trHeight w:val="816"/>
        </w:trPr>
        <w:tc>
          <w:tcPr>
            <w:tcW w:w="825" w:type="dxa"/>
            <w:tcBorders>
              <w:top w:val="single" w:sz="2" w:space="0" w:color="FFFFFF"/>
              <w:left w:val="single" w:sz="3" w:space="0" w:color="000000"/>
              <w:bottom w:val="single" w:sz="2" w:space="0" w:color="FFFFFF"/>
              <w:right w:val="single" w:sz="3" w:space="0" w:color="000000"/>
            </w:tcBorders>
          </w:tcPr>
          <w:p w14:paraId="0C9E91C7" w14:textId="77777777" w:rsidR="003F0DB8" w:rsidRDefault="00000000">
            <w:pPr>
              <w:spacing w:after="0" w:line="259" w:lineRule="auto"/>
              <w:ind w:left="0" w:firstLine="0"/>
            </w:pPr>
            <w:r>
              <w:rPr>
                <w:rFonts w:ascii="Calibri" w:eastAsia="Calibri" w:hAnsi="Calibri" w:cs="Calibri"/>
                <w:sz w:val="22"/>
              </w:rPr>
              <w:t xml:space="preserve">WP03 </w:t>
            </w:r>
          </w:p>
        </w:tc>
        <w:tc>
          <w:tcPr>
            <w:tcW w:w="1497" w:type="dxa"/>
            <w:tcBorders>
              <w:top w:val="single" w:sz="2" w:space="0" w:color="FFFFFF"/>
              <w:left w:val="single" w:sz="3" w:space="0" w:color="000000"/>
              <w:bottom w:val="single" w:sz="2" w:space="0" w:color="FFFFFF"/>
              <w:right w:val="single" w:sz="3" w:space="0" w:color="000000"/>
            </w:tcBorders>
          </w:tcPr>
          <w:p w14:paraId="3A4B4248" w14:textId="77777777" w:rsidR="003F0DB8" w:rsidRDefault="00000000">
            <w:pPr>
              <w:spacing w:after="0" w:line="259" w:lineRule="auto"/>
              <w:ind w:left="3" w:firstLine="0"/>
            </w:pPr>
            <w:r>
              <w:rPr>
                <w:rFonts w:ascii="Calibri" w:eastAsia="Calibri" w:hAnsi="Calibri" w:cs="Calibri"/>
                <w:sz w:val="22"/>
              </w:rPr>
              <w:t xml:space="preserve">Landing Zone </w:t>
            </w:r>
          </w:p>
          <w:p w14:paraId="743A8677" w14:textId="77777777" w:rsidR="003F0DB8" w:rsidRDefault="00000000">
            <w:pPr>
              <w:spacing w:after="0" w:line="259" w:lineRule="auto"/>
              <w:ind w:left="3" w:firstLine="0"/>
            </w:pPr>
            <w:r>
              <w:rPr>
                <w:rFonts w:ascii="Calibri" w:eastAsia="Calibri" w:hAnsi="Calibri" w:cs="Calibri"/>
                <w:sz w:val="22"/>
              </w:rPr>
              <w:t xml:space="preserve">&amp; CAF </w:t>
            </w:r>
          </w:p>
          <w:p w14:paraId="044579EC" w14:textId="77777777" w:rsidR="003F0DB8" w:rsidRDefault="00000000">
            <w:pPr>
              <w:spacing w:after="0" w:line="259" w:lineRule="auto"/>
              <w:ind w:left="3" w:firstLine="0"/>
            </w:pPr>
            <w:r>
              <w:rPr>
                <w:rFonts w:ascii="Calibri" w:eastAsia="Calibri" w:hAnsi="Calibri" w:cs="Calibri"/>
                <w:sz w:val="22"/>
              </w:rPr>
              <w:t xml:space="preserve">Consolidation </w:t>
            </w:r>
          </w:p>
        </w:tc>
        <w:tc>
          <w:tcPr>
            <w:tcW w:w="1238" w:type="dxa"/>
            <w:tcBorders>
              <w:top w:val="single" w:sz="2" w:space="0" w:color="FFFFFF"/>
              <w:left w:val="single" w:sz="3" w:space="0" w:color="000000"/>
              <w:bottom w:val="single" w:sz="2" w:space="0" w:color="FFFFFF"/>
              <w:right w:val="single" w:sz="3" w:space="0" w:color="000000"/>
            </w:tcBorders>
          </w:tcPr>
          <w:p w14:paraId="7862FB6B" w14:textId="77777777" w:rsidR="003F0DB8" w:rsidRDefault="00000000">
            <w:pPr>
              <w:spacing w:after="0" w:line="259" w:lineRule="auto"/>
              <w:ind w:left="3" w:firstLine="0"/>
            </w:pPr>
            <w:r>
              <w:rPr>
                <w:rFonts w:ascii="Calibri" w:eastAsia="Calibri" w:hAnsi="Calibri" w:cs="Calibri"/>
                <w:sz w:val="22"/>
              </w:rPr>
              <w:t xml:space="preserve">Platform </w:t>
            </w:r>
          </w:p>
        </w:tc>
        <w:tc>
          <w:tcPr>
            <w:tcW w:w="767" w:type="dxa"/>
            <w:tcBorders>
              <w:top w:val="single" w:sz="2" w:space="0" w:color="FFFFFF"/>
              <w:left w:val="single" w:sz="3" w:space="0" w:color="000000"/>
              <w:bottom w:val="single" w:sz="2" w:space="0" w:color="FFFFFF"/>
              <w:right w:val="single" w:sz="3" w:space="0" w:color="000000"/>
            </w:tcBorders>
          </w:tcPr>
          <w:p w14:paraId="085429EA" w14:textId="77777777" w:rsidR="003F0DB8" w:rsidRDefault="00000000">
            <w:pPr>
              <w:spacing w:after="0" w:line="259" w:lineRule="auto"/>
              <w:ind w:left="1" w:firstLine="0"/>
            </w:pPr>
            <w:r>
              <w:rPr>
                <w:rFonts w:ascii="Calibri" w:eastAsia="Calibri" w:hAnsi="Calibri" w:cs="Calibri"/>
                <w:sz w:val="22"/>
              </w:rPr>
              <w:t xml:space="preserve">Phase 1 </w:t>
            </w:r>
          </w:p>
        </w:tc>
        <w:tc>
          <w:tcPr>
            <w:tcW w:w="1835" w:type="dxa"/>
            <w:tcBorders>
              <w:top w:val="single" w:sz="2" w:space="0" w:color="FFFFFF"/>
              <w:left w:val="single" w:sz="3" w:space="0" w:color="000000"/>
              <w:bottom w:val="single" w:sz="2" w:space="0" w:color="FFFFFF"/>
              <w:right w:val="single" w:sz="3" w:space="0" w:color="000000"/>
            </w:tcBorders>
          </w:tcPr>
          <w:p w14:paraId="1FD8BB2B" w14:textId="77777777" w:rsidR="003F0DB8" w:rsidRDefault="00000000">
            <w:pPr>
              <w:spacing w:after="0" w:line="259" w:lineRule="auto"/>
              <w:ind w:left="0" w:right="50" w:firstLine="0"/>
              <w:jc w:val="right"/>
            </w:pPr>
            <w:r>
              <w:rPr>
                <w:rFonts w:ascii="Calibri" w:eastAsia="Calibri" w:hAnsi="Calibri" w:cs="Calibri"/>
                <w:sz w:val="22"/>
              </w:rPr>
              <w:t xml:space="preserve">5 </w:t>
            </w:r>
          </w:p>
        </w:tc>
        <w:tc>
          <w:tcPr>
            <w:tcW w:w="1456" w:type="dxa"/>
            <w:tcBorders>
              <w:top w:val="single" w:sz="2" w:space="0" w:color="FFFFFF"/>
              <w:left w:val="single" w:sz="3" w:space="0" w:color="000000"/>
              <w:bottom w:val="single" w:sz="2" w:space="0" w:color="FFFFFF"/>
              <w:right w:val="single" w:sz="3" w:space="0" w:color="000000"/>
            </w:tcBorders>
          </w:tcPr>
          <w:p w14:paraId="58912D32" w14:textId="77777777" w:rsidR="003F0DB8" w:rsidRDefault="00000000">
            <w:pPr>
              <w:spacing w:after="0" w:line="259" w:lineRule="auto"/>
              <w:ind w:left="1" w:firstLine="0"/>
            </w:pPr>
            <w:r>
              <w:rPr>
                <w:rFonts w:ascii="Calibri" w:eastAsia="Calibri" w:hAnsi="Calibri" w:cs="Calibri"/>
                <w:sz w:val="22"/>
              </w:rPr>
              <w:t xml:space="preserve">D1, D2, D10, D17 </w:t>
            </w:r>
          </w:p>
        </w:tc>
        <w:tc>
          <w:tcPr>
            <w:tcW w:w="6235" w:type="dxa"/>
            <w:tcBorders>
              <w:top w:val="single" w:sz="2" w:space="0" w:color="FFFFFF"/>
              <w:left w:val="single" w:sz="3" w:space="0" w:color="000000"/>
              <w:bottom w:val="single" w:sz="2" w:space="0" w:color="FFFFFF"/>
              <w:right w:val="single" w:sz="3" w:space="0" w:color="000000"/>
            </w:tcBorders>
          </w:tcPr>
          <w:p w14:paraId="547FC96E" w14:textId="77777777" w:rsidR="003F0DB8" w:rsidRDefault="00000000">
            <w:pPr>
              <w:spacing w:after="0" w:line="259" w:lineRule="auto"/>
              <w:ind w:left="1" w:firstLine="0"/>
            </w:pPr>
            <w:r>
              <w:rPr>
                <w:rFonts w:ascii="Calibri" w:eastAsia="Calibri" w:hAnsi="Calibri" w:cs="Calibri"/>
                <w:sz w:val="22"/>
              </w:rPr>
              <w:t xml:space="preserve">Consolidate onto the new CAF hierarchy, freeze legacy placement, and standardise onboarding and subscription vending. </w:t>
            </w:r>
          </w:p>
        </w:tc>
      </w:tr>
      <w:tr w:rsidR="003F0DB8" w14:paraId="05C1072D" w14:textId="77777777">
        <w:trPr>
          <w:trHeight w:val="1084"/>
        </w:trPr>
        <w:tc>
          <w:tcPr>
            <w:tcW w:w="825" w:type="dxa"/>
            <w:tcBorders>
              <w:top w:val="single" w:sz="2" w:space="0" w:color="FFFFFF"/>
              <w:left w:val="single" w:sz="3" w:space="0" w:color="000000"/>
              <w:bottom w:val="single" w:sz="2" w:space="0" w:color="FFFFFF"/>
              <w:right w:val="single" w:sz="3" w:space="0" w:color="000000"/>
            </w:tcBorders>
          </w:tcPr>
          <w:p w14:paraId="762E1C03" w14:textId="77777777" w:rsidR="003F0DB8" w:rsidRDefault="00000000">
            <w:pPr>
              <w:spacing w:after="0" w:line="259" w:lineRule="auto"/>
              <w:ind w:left="0" w:firstLine="0"/>
            </w:pPr>
            <w:r>
              <w:rPr>
                <w:rFonts w:ascii="Calibri" w:eastAsia="Calibri" w:hAnsi="Calibri" w:cs="Calibri"/>
                <w:sz w:val="22"/>
              </w:rPr>
              <w:t xml:space="preserve">WP04 </w:t>
            </w:r>
          </w:p>
        </w:tc>
        <w:tc>
          <w:tcPr>
            <w:tcW w:w="1497" w:type="dxa"/>
            <w:tcBorders>
              <w:top w:val="single" w:sz="2" w:space="0" w:color="FFFFFF"/>
              <w:left w:val="single" w:sz="3" w:space="0" w:color="000000"/>
              <w:bottom w:val="single" w:sz="2" w:space="0" w:color="FFFFFF"/>
              <w:right w:val="single" w:sz="3" w:space="0" w:color="000000"/>
            </w:tcBorders>
          </w:tcPr>
          <w:p w14:paraId="61F59AB8" w14:textId="77777777" w:rsidR="003F0DB8" w:rsidRDefault="00000000">
            <w:pPr>
              <w:spacing w:after="0" w:line="259" w:lineRule="auto"/>
              <w:ind w:left="3" w:firstLine="0"/>
            </w:pPr>
            <w:r>
              <w:rPr>
                <w:rFonts w:ascii="Calibri" w:eastAsia="Calibri" w:hAnsi="Calibri" w:cs="Calibri"/>
                <w:sz w:val="22"/>
              </w:rPr>
              <w:t xml:space="preserve">Governance </w:t>
            </w:r>
          </w:p>
          <w:p w14:paraId="263D79F5" w14:textId="77777777" w:rsidR="003F0DB8" w:rsidRDefault="00000000">
            <w:pPr>
              <w:spacing w:after="0" w:line="259" w:lineRule="auto"/>
              <w:ind w:left="3" w:firstLine="0"/>
            </w:pPr>
            <w:r>
              <w:rPr>
                <w:rFonts w:ascii="Calibri" w:eastAsia="Calibri" w:hAnsi="Calibri" w:cs="Calibri"/>
                <w:sz w:val="22"/>
              </w:rPr>
              <w:t xml:space="preserve">Guardrails &amp; </w:t>
            </w:r>
          </w:p>
          <w:p w14:paraId="1F7C822C" w14:textId="77777777" w:rsidR="003F0DB8" w:rsidRDefault="00000000">
            <w:pPr>
              <w:spacing w:after="0" w:line="259" w:lineRule="auto"/>
              <w:ind w:left="3" w:firstLine="0"/>
            </w:pPr>
            <w:r>
              <w:rPr>
                <w:rFonts w:ascii="Calibri" w:eastAsia="Calibri" w:hAnsi="Calibri" w:cs="Calibri"/>
                <w:sz w:val="22"/>
              </w:rPr>
              <w:t>Policy-as-</w:t>
            </w:r>
          </w:p>
          <w:p w14:paraId="069AA77B" w14:textId="77777777" w:rsidR="003F0DB8" w:rsidRDefault="00000000">
            <w:pPr>
              <w:spacing w:after="0" w:line="259" w:lineRule="auto"/>
              <w:ind w:left="3" w:firstLine="0"/>
            </w:pPr>
            <w:r>
              <w:rPr>
                <w:rFonts w:ascii="Calibri" w:eastAsia="Calibri" w:hAnsi="Calibri" w:cs="Calibri"/>
                <w:sz w:val="22"/>
              </w:rPr>
              <w:t xml:space="preserve">Code </w:t>
            </w:r>
          </w:p>
        </w:tc>
        <w:tc>
          <w:tcPr>
            <w:tcW w:w="1238" w:type="dxa"/>
            <w:tcBorders>
              <w:top w:val="single" w:sz="2" w:space="0" w:color="FFFFFF"/>
              <w:left w:val="single" w:sz="3" w:space="0" w:color="000000"/>
              <w:bottom w:val="single" w:sz="2" w:space="0" w:color="FFFFFF"/>
              <w:right w:val="single" w:sz="3" w:space="0" w:color="000000"/>
            </w:tcBorders>
          </w:tcPr>
          <w:p w14:paraId="7617D6D2" w14:textId="77777777" w:rsidR="003F0DB8" w:rsidRDefault="00000000">
            <w:pPr>
              <w:spacing w:after="0" w:line="259" w:lineRule="auto"/>
              <w:ind w:left="3" w:firstLine="0"/>
            </w:pPr>
            <w:r>
              <w:rPr>
                <w:rFonts w:ascii="Calibri" w:eastAsia="Calibri" w:hAnsi="Calibri" w:cs="Calibri"/>
                <w:sz w:val="22"/>
              </w:rPr>
              <w:t xml:space="preserve">Platform </w:t>
            </w:r>
          </w:p>
        </w:tc>
        <w:tc>
          <w:tcPr>
            <w:tcW w:w="767" w:type="dxa"/>
            <w:tcBorders>
              <w:top w:val="single" w:sz="2" w:space="0" w:color="FFFFFF"/>
              <w:left w:val="single" w:sz="3" w:space="0" w:color="000000"/>
              <w:bottom w:val="single" w:sz="2" w:space="0" w:color="FFFFFF"/>
              <w:right w:val="single" w:sz="3" w:space="0" w:color="000000"/>
            </w:tcBorders>
          </w:tcPr>
          <w:p w14:paraId="0B993EE3" w14:textId="77777777" w:rsidR="003F0DB8" w:rsidRDefault="00000000">
            <w:pPr>
              <w:spacing w:after="0" w:line="259" w:lineRule="auto"/>
              <w:ind w:left="1" w:firstLine="0"/>
            </w:pPr>
            <w:r>
              <w:rPr>
                <w:rFonts w:ascii="Calibri" w:eastAsia="Calibri" w:hAnsi="Calibri" w:cs="Calibri"/>
                <w:sz w:val="22"/>
              </w:rPr>
              <w:t xml:space="preserve">Phase 1–2 </w:t>
            </w:r>
          </w:p>
        </w:tc>
        <w:tc>
          <w:tcPr>
            <w:tcW w:w="1835" w:type="dxa"/>
            <w:tcBorders>
              <w:top w:val="single" w:sz="2" w:space="0" w:color="FFFFFF"/>
              <w:left w:val="single" w:sz="3" w:space="0" w:color="000000"/>
              <w:bottom w:val="single" w:sz="2" w:space="0" w:color="FFFFFF"/>
              <w:right w:val="single" w:sz="3" w:space="0" w:color="000000"/>
            </w:tcBorders>
          </w:tcPr>
          <w:p w14:paraId="110E430A" w14:textId="77777777" w:rsidR="003F0DB8" w:rsidRDefault="00000000">
            <w:pPr>
              <w:spacing w:after="0" w:line="259" w:lineRule="auto"/>
              <w:ind w:left="0" w:right="50" w:firstLine="0"/>
              <w:jc w:val="right"/>
            </w:pPr>
            <w:r>
              <w:rPr>
                <w:rFonts w:ascii="Calibri" w:eastAsia="Calibri" w:hAnsi="Calibri" w:cs="Calibri"/>
                <w:sz w:val="22"/>
              </w:rPr>
              <w:t xml:space="preserve">10 </w:t>
            </w:r>
          </w:p>
        </w:tc>
        <w:tc>
          <w:tcPr>
            <w:tcW w:w="1456" w:type="dxa"/>
            <w:tcBorders>
              <w:top w:val="single" w:sz="2" w:space="0" w:color="FFFFFF"/>
              <w:left w:val="single" w:sz="3" w:space="0" w:color="000000"/>
              <w:bottom w:val="single" w:sz="2" w:space="0" w:color="FFFFFF"/>
              <w:right w:val="single" w:sz="3" w:space="0" w:color="000000"/>
            </w:tcBorders>
          </w:tcPr>
          <w:p w14:paraId="6B2E8F6D" w14:textId="77777777" w:rsidR="003F0DB8" w:rsidRDefault="00000000">
            <w:pPr>
              <w:spacing w:after="0" w:line="259" w:lineRule="auto"/>
              <w:ind w:left="1" w:firstLine="0"/>
            </w:pPr>
            <w:r>
              <w:rPr>
                <w:rFonts w:ascii="Calibri" w:eastAsia="Calibri" w:hAnsi="Calibri" w:cs="Calibri"/>
                <w:sz w:val="22"/>
              </w:rPr>
              <w:t xml:space="preserve">  </w:t>
            </w:r>
          </w:p>
        </w:tc>
        <w:tc>
          <w:tcPr>
            <w:tcW w:w="6235" w:type="dxa"/>
            <w:tcBorders>
              <w:top w:val="single" w:sz="2" w:space="0" w:color="FFFFFF"/>
              <w:left w:val="single" w:sz="3" w:space="0" w:color="000000"/>
              <w:bottom w:val="single" w:sz="2" w:space="0" w:color="FFFFFF"/>
              <w:right w:val="single" w:sz="3" w:space="0" w:color="000000"/>
            </w:tcBorders>
          </w:tcPr>
          <w:p w14:paraId="74413CA9" w14:textId="77777777" w:rsidR="003F0DB8" w:rsidRDefault="00000000">
            <w:pPr>
              <w:spacing w:after="0" w:line="259" w:lineRule="auto"/>
              <w:ind w:left="1" w:firstLine="0"/>
            </w:pPr>
            <w:r>
              <w:rPr>
                <w:rFonts w:ascii="Calibri" w:eastAsia="Calibri" w:hAnsi="Calibri" w:cs="Calibri"/>
                <w:sz w:val="22"/>
              </w:rPr>
              <w:t xml:space="preserve">Move policy from documentary to enforced; publish the policy catalogue, NSG coverage and hosting standards. </w:t>
            </w:r>
          </w:p>
        </w:tc>
      </w:tr>
      <w:tr w:rsidR="003F0DB8" w14:paraId="6B317B0A" w14:textId="77777777">
        <w:trPr>
          <w:trHeight w:val="1085"/>
        </w:trPr>
        <w:tc>
          <w:tcPr>
            <w:tcW w:w="825" w:type="dxa"/>
            <w:tcBorders>
              <w:top w:val="single" w:sz="2" w:space="0" w:color="FFFFFF"/>
              <w:left w:val="single" w:sz="3" w:space="0" w:color="000000"/>
              <w:bottom w:val="single" w:sz="2" w:space="0" w:color="FFFFFF"/>
              <w:right w:val="single" w:sz="3" w:space="0" w:color="000000"/>
            </w:tcBorders>
          </w:tcPr>
          <w:p w14:paraId="593CEC7D" w14:textId="77777777" w:rsidR="003F0DB8" w:rsidRDefault="00000000">
            <w:pPr>
              <w:spacing w:after="0" w:line="259" w:lineRule="auto"/>
              <w:ind w:left="0" w:firstLine="0"/>
            </w:pPr>
            <w:r>
              <w:rPr>
                <w:rFonts w:ascii="Calibri" w:eastAsia="Calibri" w:hAnsi="Calibri" w:cs="Calibri"/>
                <w:sz w:val="22"/>
              </w:rPr>
              <w:lastRenderedPageBreak/>
              <w:t xml:space="preserve">WP05 </w:t>
            </w:r>
          </w:p>
        </w:tc>
        <w:tc>
          <w:tcPr>
            <w:tcW w:w="1497" w:type="dxa"/>
            <w:tcBorders>
              <w:top w:val="single" w:sz="2" w:space="0" w:color="FFFFFF"/>
              <w:left w:val="single" w:sz="3" w:space="0" w:color="000000"/>
              <w:bottom w:val="single" w:sz="2" w:space="0" w:color="FFFFFF"/>
              <w:right w:val="single" w:sz="3" w:space="0" w:color="000000"/>
            </w:tcBorders>
          </w:tcPr>
          <w:p w14:paraId="11495885" w14:textId="77777777" w:rsidR="003F0DB8" w:rsidRDefault="00000000">
            <w:pPr>
              <w:spacing w:after="0" w:line="259" w:lineRule="auto"/>
              <w:ind w:left="3" w:firstLine="0"/>
            </w:pPr>
            <w:r>
              <w:rPr>
                <w:rFonts w:ascii="Calibri" w:eastAsia="Calibri" w:hAnsi="Calibri" w:cs="Calibri"/>
                <w:sz w:val="22"/>
              </w:rPr>
              <w:t xml:space="preserve">Identity &amp; </w:t>
            </w:r>
          </w:p>
          <w:p w14:paraId="45D5A961" w14:textId="77777777" w:rsidR="003F0DB8" w:rsidRDefault="00000000">
            <w:pPr>
              <w:spacing w:after="0" w:line="259" w:lineRule="auto"/>
              <w:ind w:left="3" w:firstLine="0"/>
            </w:pPr>
            <w:r>
              <w:rPr>
                <w:rFonts w:ascii="Calibri" w:eastAsia="Calibri" w:hAnsi="Calibri" w:cs="Calibri"/>
                <w:sz w:val="22"/>
              </w:rPr>
              <w:t xml:space="preserve">Privileged </w:t>
            </w:r>
          </w:p>
          <w:p w14:paraId="30CFB785" w14:textId="77777777" w:rsidR="003F0DB8" w:rsidRDefault="00000000">
            <w:pPr>
              <w:spacing w:after="0" w:line="259" w:lineRule="auto"/>
              <w:ind w:left="3" w:firstLine="0"/>
            </w:pPr>
            <w:r>
              <w:rPr>
                <w:rFonts w:ascii="Calibri" w:eastAsia="Calibri" w:hAnsi="Calibri" w:cs="Calibri"/>
                <w:sz w:val="22"/>
              </w:rPr>
              <w:t xml:space="preserve">Access </w:t>
            </w:r>
          </w:p>
          <w:p w14:paraId="2BC03585" w14:textId="77777777" w:rsidR="003F0DB8" w:rsidRDefault="00000000">
            <w:pPr>
              <w:spacing w:after="0" w:line="259" w:lineRule="auto"/>
              <w:ind w:left="3" w:firstLine="0"/>
            </w:pPr>
            <w:r>
              <w:rPr>
                <w:rFonts w:ascii="Calibri" w:eastAsia="Calibri" w:hAnsi="Calibri" w:cs="Calibri"/>
                <w:sz w:val="22"/>
              </w:rPr>
              <w:t xml:space="preserve">Hardening </w:t>
            </w:r>
          </w:p>
        </w:tc>
        <w:tc>
          <w:tcPr>
            <w:tcW w:w="1238" w:type="dxa"/>
            <w:tcBorders>
              <w:top w:val="single" w:sz="2" w:space="0" w:color="FFFFFF"/>
              <w:left w:val="single" w:sz="3" w:space="0" w:color="000000"/>
              <w:bottom w:val="single" w:sz="2" w:space="0" w:color="FFFFFF"/>
              <w:right w:val="single" w:sz="3" w:space="0" w:color="000000"/>
            </w:tcBorders>
          </w:tcPr>
          <w:p w14:paraId="07D1FEBF" w14:textId="77777777" w:rsidR="003F0DB8" w:rsidRDefault="00000000">
            <w:pPr>
              <w:spacing w:after="0" w:line="259" w:lineRule="auto"/>
              <w:ind w:left="3" w:firstLine="0"/>
            </w:pPr>
            <w:r>
              <w:rPr>
                <w:rFonts w:ascii="Calibri" w:eastAsia="Calibri" w:hAnsi="Calibri" w:cs="Calibri"/>
                <w:sz w:val="22"/>
              </w:rPr>
              <w:t xml:space="preserve">Security </w:t>
            </w:r>
          </w:p>
        </w:tc>
        <w:tc>
          <w:tcPr>
            <w:tcW w:w="767" w:type="dxa"/>
            <w:tcBorders>
              <w:top w:val="single" w:sz="2" w:space="0" w:color="FFFFFF"/>
              <w:left w:val="single" w:sz="3" w:space="0" w:color="000000"/>
              <w:bottom w:val="single" w:sz="2" w:space="0" w:color="FFFFFF"/>
              <w:right w:val="single" w:sz="3" w:space="0" w:color="000000"/>
            </w:tcBorders>
          </w:tcPr>
          <w:p w14:paraId="1E26872F" w14:textId="77777777" w:rsidR="003F0DB8" w:rsidRDefault="00000000">
            <w:pPr>
              <w:spacing w:after="0" w:line="259" w:lineRule="auto"/>
              <w:ind w:left="1" w:firstLine="0"/>
            </w:pPr>
            <w:r>
              <w:rPr>
                <w:rFonts w:ascii="Calibri" w:eastAsia="Calibri" w:hAnsi="Calibri" w:cs="Calibri"/>
                <w:sz w:val="22"/>
              </w:rPr>
              <w:t xml:space="preserve">Phase 2 </w:t>
            </w:r>
          </w:p>
        </w:tc>
        <w:tc>
          <w:tcPr>
            <w:tcW w:w="1835" w:type="dxa"/>
            <w:tcBorders>
              <w:top w:val="single" w:sz="2" w:space="0" w:color="FFFFFF"/>
              <w:left w:val="single" w:sz="3" w:space="0" w:color="000000"/>
              <w:bottom w:val="single" w:sz="2" w:space="0" w:color="FFFFFF"/>
              <w:right w:val="single" w:sz="3" w:space="0" w:color="000000"/>
            </w:tcBorders>
          </w:tcPr>
          <w:p w14:paraId="471CC67A" w14:textId="77777777" w:rsidR="003F0DB8" w:rsidRDefault="00000000">
            <w:pPr>
              <w:spacing w:after="0" w:line="259" w:lineRule="auto"/>
              <w:ind w:left="0" w:right="50" w:firstLine="0"/>
              <w:jc w:val="right"/>
            </w:pPr>
            <w:r>
              <w:rPr>
                <w:rFonts w:ascii="Calibri" w:eastAsia="Calibri" w:hAnsi="Calibri" w:cs="Calibri"/>
                <w:sz w:val="22"/>
              </w:rPr>
              <w:t xml:space="preserve">9 </w:t>
            </w:r>
          </w:p>
        </w:tc>
        <w:tc>
          <w:tcPr>
            <w:tcW w:w="1456" w:type="dxa"/>
            <w:tcBorders>
              <w:top w:val="single" w:sz="2" w:space="0" w:color="FFFFFF"/>
              <w:left w:val="single" w:sz="3" w:space="0" w:color="000000"/>
              <w:bottom w:val="single" w:sz="2" w:space="0" w:color="FFFFFF"/>
              <w:right w:val="single" w:sz="3" w:space="0" w:color="000000"/>
            </w:tcBorders>
          </w:tcPr>
          <w:p w14:paraId="35F71D33" w14:textId="77777777" w:rsidR="003F0DB8" w:rsidRDefault="00000000">
            <w:pPr>
              <w:spacing w:after="0" w:line="259" w:lineRule="auto"/>
              <w:ind w:left="1" w:firstLine="0"/>
            </w:pPr>
            <w:r>
              <w:rPr>
                <w:rFonts w:ascii="Calibri" w:eastAsia="Calibri" w:hAnsi="Calibri" w:cs="Calibri"/>
                <w:sz w:val="22"/>
              </w:rPr>
              <w:t xml:space="preserve">D4, D16 </w:t>
            </w:r>
          </w:p>
        </w:tc>
        <w:tc>
          <w:tcPr>
            <w:tcW w:w="6235" w:type="dxa"/>
            <w:tcBorders>
              <w:top w:val="single" w:sz="2" w:space="0" w:color="FFFFFF"/>
              <w:left w:val="single" w:sz="3" w:space="0" w:color="000000"/>
              <w:bottom w:val="single" w:sz="2" w:space="0" w:color="FFFFFF"/>
              <w:right w:val="single" w:sz="3" w:space="0" w:color="000000"/>
            </w:tcBorders>
          </w:tcPr>
          <w:p w14:paraId="6427F010" w14:textId="77777777" w:rsidR="003F0DB8" w:rsidRDefault="00000000">
            <w:pPr>
              <w:spacing w:after="0" w:line="259" w:lineRule="auto"/>
              <w:ind w:left="1" w:firstLine="0"/>
            </w:pPr>
            <w:r>
              <w:rPr>
                <w:rFonts w:ascii="Calibri" w:eastAsia="Calibri" w:hAnsi="Calibri" w:cs="Calibri"/>
                <w:sz w:val="22"/>
              </w:rPr>
              <w:t xml:space="preserve">Eliminate standing privilege and click-ops, migrate flows to managed identities, and govern the guest lifecycle. </w:t>
            </w:r>
          </w:p>
        </w:tc>
      </w:tr>
      <w:tr w:rsidR="003F0DB8" w14:paraId="64443FDC" w14:textId="77777777">
        <w:trPr>
          <w:trHeight w:val="810"/>
        </w:trPr>
        <w:tc>
          <w:tcPr>
            <w:tcW w:w="825" w:type="dxa"/>
            <w:tcBorders>
              <w:top w:val="single" w:sz="2" w:space="0" w:color="FFFFFF"/>
              <w:left w:val="single" w:sz="3" w:space="0" w:color="000000"/>
              <w:bottom w:val="single" w:sz="3" w:space="0" w:color="000000"/>
              <w:right w:val="single" w:sz="3" w:space="0" w:color="000000"/>
            </w:tcBorders>
          </w:tcPr>
          <w:p w14:paraId="644A17AE" w14:textId="77777777" w:rsidR="003F0DB8" w:rsidRDefault="00000000">
            <w:pPr>
              <w:spacing w:after="0" w:line="259" w:lineRule="auto"/>
              <w:ind w:left="0" w:firstLine="0"/>
            </w:pPr>
            <w:r>
              <w:rPr>
                <w:rFonts w:ascii="Calibri" w:eastAsia="Calibri" w:hAnsi="Calibri" w:cs="Calibri"/>
                <w:sz w:val="22"/>
              </w:rPr>
              <w:t xml:space="preserve">WP06 </w:t>
            </w:r>
          </w:p>
        </w:tc>
        <w:tc>
          <w:tcPr>
            <w:tcW w:w="1497" w:type="dxa"/>
            <w:tcBorders>
              <w:top w:val="single" w:sz="2" w:space="0" w:color="FFFFFF"/>
              <w:left w:val="single" w:sz="3" w:space="0" w:color="000000"/>
              <w:bottom w:val="single" w:sz="3" w:space="0" w:color="000000"/>
              <w:right w:val="single" w:sz="3" w:space="0" w:color="000000"/>
            </w:tcBorders>
          </w:tcPr>
          <w:p w14:paraId="097B6187" w14:textId="77777777" w:rsidR="003F0DB8" w:rsidRDefault="00000000">
            <w:pPr>
              <w:spacing w:after="0" w:line="259" w:lineRule="auto"/>
              <w:ind w:left="3" w:firstLine="0"/>
            </w:pPr>
            <w:r>
              <w:rPr>
                <w:rFonts w:ascii="Calibri" w:eastAsia="Calibri" w:hAnsi="Calibri" w:cs="Calibri"/>
                <w:sz w:val="22"/>
              </w:rPr>
              <w:t xml:space="preserve">Threat </w:t>
            </w:r>
          </w:p>
          <w:p w14:paraId="5D59406C" w14:textId="77777777" w:rsidR="003F0DB8" w:rsidRDefault="00000000">
            <w:pPr>
              <w:spacing w:after="0" w:line="259" w:lineRule="auto"/>
              <w:ind w:left="3" w:firstLine="0"/>
            </w:pPr>
            <w:r>
              <w:rPr>
                <w:rFonts w:ascii="Calibri" w:eastAsia="Calibri" w:hAnsi="Calibri" w:cs="Calibri"/>
                <w:sz w:val="22"/>
              </w:rPr>
              <w:t xml:space="preserve">Detection - </w:t>
            </w:r>
          </w:p>
          <w:p w14:paraId="44095AE8" w14:textId="77777777" w:rsidR="003F0DB8" w:rsidRDefault="00000000">
            <w:pPr>
              <w:spacing w:after="0" w:line="259" w:lineRule="auto"/>
              <w:ind w:left="3" w:firstLine="0"/>
            </w:pPr>
            <w:r>
              <w:rPr>
                <w:rFonts w:ascii="Calibri" w:eastAsia="Calibri" w:hAnsi="Calibri" w:cs="Calibri"/>
                <w:sz w:val="22"/>
              </w:rPr>
              <w:t xml:space="preserve">Defender, </w:t>
            </w:r>
          </w:p>
        </w:tc>
        <w:tc>
          <w:tcPr>
            <w:tcW w:w="1238" w:type="dxa"/>
            <w:tcBorders>
              <w:top w:val="single" w:sz="2" w:space="0" w:color="FFFFFF"/>
              <w:left w:val="single" w:sz="3" w:space="0" w:color="000000"/>
              <w:bottom w:val="single" w:sz="3" w:space="0" w:color="000000"/>
              <w:right w:val="single" w:sz="3" w:space="0" w:color="000000"/>
            </w:tcBorders>
          </w:tcPr>
          <w:p w14:paraId="35F150CC" w14:textId="77777777" w:rsidR="003F0DB8" w:rsidRDefault="00000000">
            <w:pPr>
              <w:spacing w:after="0" w:line="259" w:lineRule="auto"/>
              <w:ind w:left="3" w:firstLine="0"/>
            </w:pPr>
            <w:r>
              <w:rPr>
                <w:rFonts w:ascii="Calibri" w:eastAsia="Calibri" w:hAnsi="Calibri" w:cs="Calibri"/>
                <w:sz w:val="22"/>
              </w:rPr>
              <w:t xml:space="preserve">Security </w:t>
            </w:r>
          </w:p>
        </w:tc>
        <w:tc>
          <w:tcPr>
            <w:tcW w:w="767" w:type="dxa"/>
            <w:tcBorders>
              <w:top w:val="single" w:sz="2" w:space="0" w:color="FFFFFF"/>
              <w:left w:val="single" w:sz="3" w:space="0" w:color="000000"/>
              <w:bottom w:val="single" w:sz="3" w:space="0" w:color="000000"/>
              <w:right w:val="single" w:sz="3" w:space="0" w:color="000000"/>
            </w:tcBorders>
          </w:tcPr>
          <w:p w14:paraId="05B565C6" w14:textId="77777777" w:rsidR="003F0DB8" w:rsidRDefault="00000000">
            <w:pPr>
              <w:spacing w:after="0" w:line="259" w:lineRule="auto"/>
              <w:ind w:left="1" w:firstLine="0"/>
            </w:pPr>
            <w:r>
              <w:rPr>
                <w:rFonts w:ascii="Calibri" w:eastAsia="Calibri" w:hAnsi="Calibri" w:cs="Calibri"/>
                <w:sz w:val="22"/>
              </w:rPr>
              <w:t xml:space="preserve">Phase 2 </w:t>
            </w:r>
          </w:p>
        </w:tc>
        <w:tc>
          <w:tcPr>
            <w:tcW w:w="1835" w:type="dxa"/>
            <w:tcBorders>
              <w:top w:val="single" w:sz="2" w:space="0" w:color="FFFFFF"/>
              <w:left w:val="single" w:sz="3" w:space="0" w:color="000000"/>
              <w:bottom w:val="single" w:sz="3" w:space="0" w:color="000000"/>
              <w:right w:val="single" w:sz="3" w:space="0" w:color="000000"/>
            </w:tcBorders>
          </w:tcPr>
          <w:p w14:paraId="1B0E113B" w14:textId="77777777" w:rsidR="003F0DB8" w:rsidRDefault="00000000">
            <w:pPr>
              <w:spacing w:after="0" w:line="259" w:lineRule="auto"/>
              <w:ind w:left="0" w:right="50" w:firstLine="0"/>
              <w:jc w:val="right"/>
            </w:pPr>
            <w:r>
              <w:rPr>
                <w:rFonts w:ascii="Calibri" w:eastAsia="Calibri" w:hAnsi="Calibri" w:cs="Calibri"/>
                <w:sz w:val="22"/>
              </w:rPr>
              <w:t xml:space="preserve">8 </w:t>
            </w:r>
          </w:p>
        </w:tc>
        <w:tc>
          <w:tcPr>
            <w:tcW w:w="1456" w:type="dxa"/>
            <w:tcBorders>
              <w:top w:val="single" w:sz="2" w:space="0" w:color="FFFFFF"/>
              <w:left w:val="single" w:sz="3" w:space="0" w:color="000000"/>
              <w:bottom w:val="single" w:sz="3" w:space="0" w:color="000000"/>
              <w:right w:val="single" w:sz="3" w:space="0" w:color="000000"/>
            </w:tcBorders>
          </w:tcPr>
          <w:p w14:paraId="05B7D609" w14:textId="77777777" w:rsidR="003F0DB8" w:rsidRDefault="00000000">
            <w:pPr>
              <w:spacing w:after="0" w:line="259" w:lineRule="auto"/>
              <w:ind w:left="1" w:firstLine="0"/>
            </w:pPr>
            <w:r>
              <w:rPr>
                <w:rFonts w:ascii="Calibri" w:eastAsia="Calibri" w:hAnsi="Calibri" w:cs="Calibri"/>
                <w:sz w:val="22"/>
              </w:rPr>
              <w:t xml:space="preserve">  </w:t>
            </w:r>
          </w:p>
        </w:tc>
        <w:tc>
          <w:tcPr>
            <w:tcW w:w="6235" w:type="dxa"/>
            <w:tcBorders>
              <w:top w:val="single" w:sz="2" w:space="0" w:color="FFFFFF"/>
              <w:left w:val="single" w:sz="3" w:space="0" w:color="000000"/>
              <w:bottom w:val="single" w:sz="3" w:space="0" w:color="000000"/>
              <w:right w:val="single" w:sz="3" w:space="0" w:color="000000"/>
            </w:tcBorders>
          </w:tcPr>
          <w:p w14:paraId="789AC353" w14:textId="77777777" w:rsidR="003F0DB8" w:rsidRDefault="00000000">
            <w:pPr>
              <w:spacing w:after="0" w:line="259" w:lineRule="auto"/>
              <w:ind w:left="1" w:firstLine="0"/>
            </w:pPr>
            <w:r>
              <w:rPr>
                <w:rFonts w:ascii="Calibri" w:eastAsia="Calibri" w:hAnsi="Calibri" w:cs="Calibri"/>
                <w:sz w:val="22"/>
              </w:rPr>
              <w:t xml:space="preserve">Right-size Defender coverage, rationalise Sentinel analytics, and own the B2C migration ahead of 2030 deprecation. </w:t>
            </w:r>
          </w:p>
        </w:tc>
      </w:tr>
    </w:tbl>
    <w:p w14:paraId="2952CCBD" w14:textId="77777777" w:rsidR="003F0DB8" w:rsidRDefault="003F0DB8">
      <w:pPr>
        <w:spacing w:after="0" w:line="259" w:lineRule="auto"/>
        <w:ind w:left="-1441" w:right="15298" w:firstLine="0"/>
      </w:pPr>
    </w:p>
    <w:tbl>
      <w:tblPr>
        <w:tblStyle w:val="TableGrid"/>
        <w:tblW w:w="13855" w:type="dxa"/>
        <w:tblInd w:w="4" w:type="dxa"/>
        <w:tblCellMar>
          <w:top w:w="44" w:type="dxa"/>
          <w:left w:w="108" w:type="dxa"/>
          <w:bottom w:w="0" w:type="dxa"/>
          <w:right w:w="59" w:type="dxa"/>
        </w:tblCellMar>
        <w:tblLook w:val="04A0" w:firstRow="1" w:lastRow="0" w:firstColumn="1" w:lastColumn="0" w:noHBand="0" w:noVBand="1"/>
      </w:tblPr>
      <w:tblGrid>
        <w:gridCol w:w="828"/>
        <w:gridCol w:w="1496"/>
        <w:gridCol w:w="1236"/>
        <w:gridCol w:w="769"/>
        <w:gridCol w:w="1832"/>
        <w:gridCol w:w="1456"/>
        <w:gridCol w:w="6238"/>
      </w:tblGrid>
      <w:tr w:rsidR="003F0DB8" w14:paraId="5AEE36CC" w14:textId="77777777">
        <w:trPr>
          <w:trHeight w:val="548"/>
        </w:trPr>
        <w:tc>
          <w:tcPr>
            <w:tcW w:w="828" w:type="dxa"/>
            <w:tcBorders>
              <w:top w:val="single" w:sz="3" w:space="0" w:color="000000"/>
              <w:left w:val="single" w:sz="3" w:space="0" w:color="000000"/>
              <w:bottom w:val="single" w:sz="2" w:space="0" w:color="FFFFFF"/>
              <w:right w:val="single" w:sz="3" w:space="0" w:color="000000"/>
            </w:tcBorders>
          </w:tcPr>
          <w:p w14:paraId="68854520" w14:textId="77777777" w:rsidR="003F0DB8" w:rsidRDefault="003F0DB8">
            <w:pPr>
              <w:spacing w:after="160" w:line="259" w:lineRule="auto"/>
              <w:ind w:left="0" w:firstLine="0"/>
            </w:pPr>
          </w:p>
        </w:tc>
        <w:tc>
          <w:tcPr>
            <w:tcW w:w="1496" w:type="dxa"/>
            <w:tcBorders>
              <w:top w:val="single" w:sz="3" w:space="0" w:color="000000"/>
              <w:left w:val="single" w:sz="3" w:space="0" w:color="000000"/>
              <w:bottom w:val="single" w:sz="2" w:space="0" w:color="FFFFFF"/>
              <w:right w:val="single" w:sz="3" w:space="0" w:color="000000"/>
            </w:tcBorders>
          </w:tcPr>
          <w:p w14:paraId="5BB9CDFD" w14:textId="77777777" w:rsidR="003F0DB8" w:rsidRDefault="00000000">
            <w:pPr>
              <w:spacing w:after="0" w:line="259" w:lineRule="auto"/>
              <w:ind w:left="0" w:right="8" w:firstLine="0"/>
            </w:pPr>
            <w:r>
              <w:rPr>
                <w:rFonts w:ascii="Calibri" w:eastAsia="Calibri" w:hAnsi="Calibri" w:cs="Calibri"/>
                <w:sz w:val="22"/>
              </w:rPr>
              <w:t xml:space="preserve">Sentinel &amp; B2C </w:t>
            </w:r>
          </w:p>
        </w:tc>
        <w:tc>
          <w:tcPr>
            <w:tcW w:w="1236" w:type="dxa"/>
            <w:tcBorders>
              <w:top w:val="single" w:sz="3" w:space="0" w:color="000000"/>
              <w:left w:val="single" w:sz="3" w:space="0" w:color="000000"/>
              <w:bottom w:val="single" w:sz="2" w:space="0" w:color="FFFFFF"/>
              <w:right w:val="single" w:sz="3" w:space="0" w:color="000000"/>
            </w:tcBorders>
          </w:tcPr>
          <w:p w14:paraId="02205C4C" w14:textId="77777777" w:rsidR="003F0DB8" w:rsidRDefault="003F0DB8">
            <w:pPr>
              <w:spacing w:after="160" w:line="259" w:lineRule="auto"/>
              <w:ind w:left="0" w:firstLine="0"/>
            </w:pPr>
          </w:p>
        </w:tc>
        <w:tc>
          <w:tcPr>
            <w:tcW w:w="769" w:type="dxa"/>
            <w:tcBorders>
              <w:top w:val="single" w:sz="3" w:space="0" w:color="000000"/>
              <w:left w:val="single" w:sz="3" w:space="0" w:color="000000"/>
              <w:bottom w:val="single" w:sz="2" w:space="0" w:color="FFFFFF"/>
              <w:right w:val="single" w:sz="3" w:space="0" w:color="000000"/>
            </w:tcBorders>
          </w:tcPr>
          <w:p w14:paraId="2E818CFA" w14:textId="77777777" w:rsidR="003F0DB8" w:rsidRDefault="003F0DB8">
            <w:pPr>
              <w:spacing w:after="160" w:line="259" w:lineRule="auto"/>
              <w:ind w:left="0" w:firstLine="0"/>
            </w:pPr>
          </w:p>
        </w:tc>
        <w:tc>
          <w:tcPr>
            <w:tcW w:w="1832" w:type="dxa"/>
            <w:tcBorders>
              <w:top w:val="single" w:sz="3" w:space="0" w:color="000000"/>
              <w:left w:val="single" w:sz="3" w:space="0" w:color="000000"/>
              <w:bottom w:val="single" w:sz="2" w:space="0" w:color="FFFFFF"/>
              <w:right w:val="single" w:sz="3" w:space="0" w:color="000000"/>
            </w:tcBorders>
          </w:tcPr>
          <w:p w14:paraId="3B0A2399" w14:textId="77777777" w:rsidR="003F0DB8" w:rsidRDefault="003F0DB8">
            <w:pPr>
              <w:spacing w:after="160" w:line="259" w:lineRule="auto"/>
              <w:ind w:left="0" w:firstLine="0"/>
            </w:pPr>
          </w:p>
        </w:tc>
        <w:tc>
          <w:tcPr>
            <w:tcW w:w="1456" w:type="dxa"/>
            <w:tcBorders>
              <w:top w:val="single" w:sz="3" w:space="0" w:color="000000"/>
              <w:left w:val="single" w:sz="3" w:space="0" w:color="000000"/>
              <w:bottom w:val="single" w:sz="2" w:space="0" w:color="FFFFFF"/>
              <w:right w:val="single" w:sz="3" w:space="0" w:color="000000"/>
            </w:tcBorders>
          </w:tcPr>
          <w:p w14:paraId="0F0467B9" w14:textId="77777777" w:rsidR="003F0DB8" w:rsidRDefault="003F0DB8">
            <w:pPr>
              <w:spacing w:after="160" w:line="259" w:lineRule="auto"/>
              <w:ind w:left="0" w:firstLine="0"/>
            </w:pPr>
          </w:p>
        </w:tc>
        <w:tc>
          <w:tcPr>
            <w:tcW w:w="6238" w:type="dxa"/>
            <w:tcBorders>
              <w:top w:val="single" w:sz="3" w:space="0" w:color="000000"/>
              <w:left w:val="single" w:sz="3" w:space="0" w:color="000000"/>
              <w:bottom w:val="single" w:sz="2" w:space="0" w:color="FFFFFF"/>
              <w:right w:val="single" w:sz="3" w:space="0" w:color="000000"/>
            </w:tcBorders>
          </w:tcPr>
          <w:p w14:paraId="370BCE18" w14:textId="77777777" w:rsidR="003F0DB8" w:rsidRDefault="003F0DB8">
            <w:pPr>
              <w:spacing w:after="160" w:line="259" w:lineRule="auto"/>
              <w:ind w:left="0" w:firstLine="0"/>
            </w:pPr>
          </w:p>
        </w:tc>
      </w:tr>
      <w:tr w:rsidR="003F0DB8" w14:paraId="55B22430" w14:textId="77777777">
        <w:trPr>
          <w:trHeight w:val="816"/>
        </w:trPr>
        <w:tc>
          <w:tcPr>
            <w:tcW w:w="828" w:type="dxa"/>
            <w:tcBorders>
              <w:top w:val="single" w:sz="2" w:space="0" w:color="FFFFFF"/>
              <w:left w:val="single" w:sz="3" w:space="0" w:color="000000"/>
              <w:bottom w:val="single" w:sz="2" w:space="0" w:color="FFFFFF"/>
              <w:right w:val="single" w:sz="3" w:space="0" w:color="000000"/>
            </w:tcBorders>
          </w:tcPr>
          <w:p w14:paraId="7FB92645" w14:textId="77777777" w:rsidR="003F0DB8" w:rsidRDefault="00000000">
            <w:pPr>
              <w:spacing w:after="0" w:line="259" w:lineRule="auto"/>
              <w:ind w:left="0" w:firstLine="0"/>
            </w:pPr>
            <w:r>
              <w:rPr>
                <w:rFonts w:ascii="Calibri" w:eastAsia="Calibri" w:hAnsi="Calibri" w:cs="Calibri"/>
                <w:sz w:val="22"/>
              </w:rPr>
              <w:t xml:space="preserve">WP07 </w:t>
            </w:r>
          </w:p>
        </w:tc>
        <w:tc>
          <w:tcPr>
            <w:tcW w:w="1496" w:type="dxa"/>
            <w:tcBorders>
              <w:top w:val="single" w:sz="2" w:space="0" w:color="FFFFFF"/>
              <w:left w:val="single" w:sz="3" w:space="0" w:color="000000"/>
              <w:bottom w:val="single" w:sz="2" w:space="0" w:color="FFFFFF"/>
              <w:right w:val="single" w:sz="3" w:space="0" w:color="000000"/>
            </w:tcBorders>
          </w:tcPr>
          <w:p w14:paraId="7CFE1010" w14:textId="77777777" w:rsidR="003F0DB8" w:rsidRDefault="00000000">
            <w:pPr>
              <w:spacing w:after="0" w:line="259" w:lineRule="auto"/>
              <w:ind w:left="0" w:firstLine="0"/>
            </w:pPr>
            <w:r>
              <w:rPr>
                <w:rFonts w:ascii="Calibri" w:eastAsia="Calibri" w:hAnsi="Calibri" w:cs="Calibri"/>
                <w:sz w:val="22"/>
              </w:rPr>
              <w:t xml:space="preserve">Network </w:t>
            </w:r>
          </w:p>
          <w:p w14:paraId="39BB1E57" w14:textId="77777777" w:rsidR="003F0DB8" w:rsidRDefault="00000000">
            <w:pPr>
              <w:spacing w:after="0" w:line="259" w:lineRule="auto"/>
              <w:ind w:left="0" w:firstLine="0"/>
            </w:pPr>
            <w:r>
              <w:rPr>
                <w:rFonts w:ascii="Calibri" w:eastAsia="Calibri" w:hAnsi="Calibri" w:cs="Calibri"/>
                <w:sz w:val="22"/>
              </w:rPr>
              <w:t xml:space="preserve">Topology &amp; </w:t>
            </w:r>
          </w:p>
          <w:p w14:paraId="5A87B211" w14:textId="77777777" w:rsidR="003F0DB8" w:rsidRDefault="00000000">
            <w:pPr>
              <w:spacing w:after="0" w:line="259" w:lineRule="auto"/>
              <w:ind w:left="0" w:firstLine="0"/>
            </w:pPr>
            <w:r>
              <w:rPr>
                <w:rFonts w:ascii="Calibri" w:eastAsia="Calibri" w:hAnsi="Calibri" w:cs="Calibri"/>
                <w:sz w:val="22"/>
              </w:rPr>
              <w:t xml:space="preserve">Connectivity </w:t>
            </w:r>
          </w:p>
        </w:tc>
        <w:tc>
          <w:tcPr>
            <w:tcW w:w="1236" w:type="dxa"/>
            <w:tcBorders>
              <w:top w:val="single" w:sz="2" w:space="0" w:color="FFFFFF"/>
              <w:left w:val="single" w:sz="3" w:space="0" w:color="000000"/>
              <w:bottom w:val="single" w:sz="2" w:space="0" w:color="FFFFFF"/>
              <w:right w:val="single" w:sz="3" w:space="0" w:color="000000"/>
            </w:tcBorders>
          </w:tcPr>
          <w:p w14:paraId="22C71470" w14:textId="77777777" w:rsidR="003F0DB8" w:rsidRDefault="00000000">
            <w:pPr>
              <w:spacing w:after="0" w:line="259" w:lineRule="auto"/>
              <w:ind w:left="0" w:firstLine="0"/>
            </w:pPr>
            <w:r>
              <w:rPr>
                <w:rFonts w:ascii="Calibri" w:eastAsia="Calibri" w:hAnsi="Calibri" w:cs="Calibri"/>
                <w:sz w:val="22"/>
              </w:rPr>
              <w:t xml:space="preserve">Network </w:t>
            </w:r>
          </w:p>
        </w:tc>
        <w:tc>
          <w:tcPr>
            <w:tcW w:w="769" w:type="dxa"/>
            <w:tcBorders>
              <w:top w:val="single" w:sz="2" w:space="0" w:color="FFFFFF"/>
              <w:left w:val="single" w:sz="3" w:space="0" w:color="000000"/>
              <w:bottom w:val="single" w:sz="2" w:space="0" w:color="FFFFFF"/>
              <w:right w:val="single" w:sz="3" w:space="0" w:color="000000"/>
            </w:tcBorders>
          </w:tcPr>
          <w:p w14:paraId="4A67D37F" w14:textId="77777777" w:rsidR="003F0DB8" w:rsidRDefault="00000000">
            <w:pPr>
              <w:spacing w:after="0" w:line="259" w:lineRule="auto"/>
              <w:ind w:left="0" w:firstLine="0"/>
            </w:pPr>
            <w:r>
              <w:rPr>
                <w:rFonts w:ascii="Calibri" w:eastAsia="Calibri" w:hAnsi="Calibri" w:cs="Calibri"/>
                <w:sz w:val="22"/>
              </w:rPr>
              <w:t xml:space="preserve">Phase 1–3 </w:t>
            </w:r>
          </w:p>
        </w:tc>
        <w:tc>
          <w:tcPr>
            <w:tcW w:w="1832" w:type="dxa"/>
            <w:tcBorders>
              <w:top w:val="single" w:sz="2" w:space="0" w:color="FFFFFF"/>
              <w:left w:val="single" w:sz="3" w:space="0" w:color="000000"/>
              <w:bottom w:val="single" w:sz="2" w:space="0" w:color="FFFFFF"/>
              <w:right w:val="single" w:sz="3" w:space="0" w:color="000000"/>
            </w:tcBorders>
          </w:tcPr>
          <w:p w14:paraId="0C297B91" w14:textId="77777777" w:rsidR="003F0DB8" w:rsidRDefault="00000000">
            <w:pPr>
              <w:spacing w:after="0" w:line="259" w:lineRule="auto"/>
              <w:ind w:left="0" w:right="50" w:firstLine="0"/>
              <w:jc w:val="right"/>
            </w:pPr>
            <w:r>
              <w:rPr>
                <w:rFonts w:ascii="Calibri" w:eastAsia="Calibri" w:hAnsi="Calibri" w:cs="Calibri"/>
                <w:sz w:val="22"/>
              </w:rPr>
              <w:t xml:space="preserve">10 </w:t>
            </w:r>
          </w:p>
        </w:tc>
        <w:tc>
          <w:tcPr>
            <w:tcW w:w="1456" w:type="dxa"/>
            <w:tcBorders>
              <w:top w:val="single" w:sz="2" w:space="0" w:color="FFFFFF"/>
              <w:left w:val="single" w:sz="3" w:space="0" w:color="000000"/>
              <w:bottom w:val="single" w:sz="2" w:space="0" w:color="FFFFFF"/>
              <w:right w:val="single" w:sz="3" w:space="0" w:color="000000"/>
            </w:tcBorders>
          </w:tcPr>
          <w:p w14:paraId="2E7627A5" w14:textId="77777777" w:rsidR="003F0DB8" w:rsidRDefault="00000000">
            <w:pPr>
              <w:spacing w:after="0" w:line="259" w:lineRule="auto"/>
              <w:ind w:left="0" w:right="2" w:firstLine="0"/>
            </w:pPr>
            <w:r>
              <w:rPr>
                <w:rFonts w:ascii="Calibri" w:eastAsia="Calibri" w:hAnsi="Calibri" w:cs="Calibri"/>
                <w:sz w:val="22"/>
              </w:rPr>
              <w:t xml:space="preserve">D13, D14, D15 </w:t>
            </w:r>
          </w:p>
        </w:tc>
        <w:tc>
          <w:tcPr>
            <w:tcW w:w="6238" w:type="dxa"/>
            <w:tcBorders>
              <w:top w:val="single" w:sz="2" w:space="0" w:color="FFFFFF"/>
              <w:left w:val="single" w:sz="3" w:space="0" w:color="000000"/>
              <w:bottom w:val="single" w:sz="2" w:space="0" w:color="FFFFFF"/>
              <w:right w:val="single" w:sz="3" w:space="0" w:color="000000"/>
            </w:tcBorders>
          </w:tcPr>
          <w:p w14:paraId="05DBA0BD" w14:textId="77777777" w:rsidR="003F0DB8" w:rsidRDefault="00000000">
            <w:pPr>
              <w:spacing w:after="0" w:line="259" w:lineRule="auto"/>
              <w:ind w:left="0" w:firstLine="0"/>
            </w:pPr>
            <w:r>
              <w:rPr>
                <w:rFonts w:ascii="Calibri" w:eastAsia="Calibri" w:hAnsi="Calibri" w:cs="Calibri"/>
                <w:sz w:val="22"/>
              </w:rPr>
              <w:t xml:space="preserve">Hub-and-spoke in code, per-region firewalls, DR strategy, private DNS, and retirement of legacy connectivity. </w:t>
            </w:r>
          </w:p>
        </w:tc>
      </w:tr>
      <w:tr w:rsidR="003F0DB8" w14:paraId="0225CAD5" w14:textId="77777777">
        <w:trPr>
          <w:trHeight w:val="817"/>
        </w:trPr>
        <w:tc>
          <w:tcPr>
            <w:tcW w:w="828" w:type="dxa"/>
            <w:tcBorders>
              <w:top w:val="single" w:sz="2" w:space="0" w:color="FFFFFF"/>
              <w:left w:val="single" w:sz="3" w:space="0" w:color="000000"/>
              <w:bottom w:val="single" w:sz="2" w:space="0" w:color="FFFFFF"/>
              <w:right w:val="single" w:sz="3" w:space="0" w:color="000000"/>
            </w:tcBorders>
          </w:tcPr>
          <w:p w14:paraId="2E2321C0" w14:textId="77777777" w:rsidR="003F0DB8" w:rsidRDefault="00000000">
            <w:pPr>
              <w:spacing w:after="0" w:line="259" w:lineRule="auto"/>
              <w:ind w:left="0" w:firstLine="0"/>
            </w:pPr>
            <w:r>
              <w:rPr>
                <w:rFonts w:ascii="Calibri" w:eastAsia="Calibri" w:hAnsi="Calibri" w:cs="Calibri"/>
                <w:sz w:val="22"/>
              </w:rPr>
              <w:t xml:space="preserve">WP08 </w:t>
            </w:r>
          </w:p>
        </w:tc>
        <w:tc>
          <w:tcPr>
            <w:tcW w:w="1496" w:type="dxa"/>
            <w:tcBorders>
              <w:top w:val="single" w:sz="2" w:space="0" w:color="FFFFFF"/>
              <w:left w:val="single" w:sz="3" w:space="0" w:color="000000"/>
              <w:bottom w:val="single" w:sz="2" w:space="0" w:color="FFFFFF"/>
              <w:right w:val="single" w:sz="3" w:space="0" w:color="000000"/>
            </w:tcBorders>
          </w:tcPr>
          <w:p w14:paraId="14D29433" w14:textId="77777777" w:rsidR="003F0DB8" w:rsidRDefault="00000000">
            <w:pPr>
              <w:spacing w:after="0" w:line="259" w:lineRule="auto"/>
              <w:ind w:left="0" w:firstLine="0"/>
            </w:pPr>
            <w:r>
              <w:rPr>
                <w:rFonts w:ascii="Calibri" w:eastAsia="Calibri" w:hAnsi="Calibri" w:cs="Calibri"/>
                <w:sz w:val="22"/>
              </w:rPr>
              <w:t xml:space="preserve">External </w:t>
            </w:r>
          </w:p>
          <w:p w14:paraId="6D8C2D02" w14:textId="77777777" w:rsidR="003F0DB8" w:rsidRDefault="00000000">
            <w:pPr>
              <w:spacing w:after="0" w:line="259" w:lineRule="auto"/>
              <w:ind w:left="0" w:firstLine="0"/>
            </w:pPr>
            <w:r>
              <w:rPr>
                <w:rFonts w:ascii="Calibri" w:eastAsia="Calibri" w:hAnsi="Calibri" w:cs="Calibri"/>
                <w:sz w:val="22"/>
              </w:rPr>
              <w:t xml:space="preserve">Exposure </w:t>
            </w:r>
          </w:p>
          <w:p w14:paraId="35A7A6AE" w14:textId="77777777" w:rsidR="003F0DB8" w:rsidRDefault="00000000">
            <w:pPr>
              <w:spacing w:after="0" w:line="259" w:lineRule="auto"/>
              <w:ind w:left="0" w:firstLine="0"/>
            </w:pPr>
            <w:r>
              <w:rPr>
                <w:rFonts w:ascii="Calibri" w:eastAsia="Calibri" w:hAnsi="Calibri" w:cs="Calibri"/>
                <w:sz w:val="22"/>
              </w:rPr>
              <w:t xml:space="preserve">Reduction </w:t>
            </w:r>
          </w:p>
        </w:tc>
        <w:tc>
          <w:tcPr>
            <w:tcW w:w="1236" w:type="dxa"/>
            <w:tcBorders>
              <w:top w:val="single" w:sz="2" w:space="0" w:color="FFFFFF"/>
              <w:left w:val="single" w:sz="3" w:space="0" w:color="000000"/>
              <w:bottom w:val="single" w:sz="2" w:space="0" w:color="FFFFFF"/>
              <w:right w:val="single" w:sz="3" w:space="0" w:color="000000"/>
            </w:tcBorders>
          </w:tcPr>
          <w:p w14:paraId="7BB22BE9" w14:textId="77777777" w:rsidR="003F0DB8" w:rsidRDefault="00000000">
            <w:pPr>
              <w:spacing w:after="0" w:line="259" w:lineRule="auto"/>
              <w:ind w:left="0" w:firstLine="0"/>
            </w:pPr>
            <w:r>
              <w:rPr>
                <w:rFonts w:ascii="Calibri" w:eastAsia="Calibri" w:hAnsi="Calibri" w:cs="Calibri"/>
                <w:sz w:val="22"/>
              </w:rPr>
              <w:t xml:space="preserve">Network </w:t>
            </w:r>
          </w:p>
        </w:tc>
        <w:tc>
          <w:tcPr>
            <w:tcW w:w="769" w:type="dxa"/>
            <w:tcBorders>
              <w:top w:val="single" w:sz="2" w:space="0" w:color="FFFFFF"/>
              <w:left w:val="single" w:sz="3" w:space="0" w:color="000000"/>
              <w:bottom w:val="single" w:sz="2" w:space="0" w:color="FFFFFF"/>
              <w:right w:val="single" w:sz="3" w:space="0" w:color="000000"/>
            </w:tcBorders>
          </w:tcPr>
          <w:p w14:paraId="7D4B8D84" w14:textId="77777777" w:rsidR="003F0DB8" w:rsidRDefault="00000000">
            <w:pPr>
              <w:spacing w:after="0" w:line="259" w:lineRule="auto"/>
              <w:ind w:left="0" w:firstLine="0"/>
            </w:pPr>
            <w:r>
              <w:rPr>
                <w:rFonts w:ascii="Calibri" w:eastAsia="Calibri" w:hAnsi="Calibri" w:cs="Calibri"/>
                <w:sz w:val="22"/>
              </w:rPr>
              <w:t xml:space="preserve">Phase 2 </w:t>
            </w:r>
          </w:p>
        </w:tc>
        <w:tc>
          <w:tcPr>
            <w:tcW w:w="1832" w:type="dxa"/>
            <w:tcBorders>
              <w:top w:val="single" w:sz="2" w:space="0" w:color="FFFFFF"/>
              <w:left w:val="single" w:sz="3" w:space="0" w:color="000000"/>
              <w:bottom w:val="single" w:sz="2" w:space="0" w:color="FFFFFF"/>
              <w:right w:val="single" w:sz="3" w:space="0" w:color="000000"/>
            </w:tcBorders>
          </w:tcPr>
          <w:p w14:paraId="5680F52A" w14:textId="77777777" w:rsidR="003F0DB8" w:rsidRDefault="00000000">
            <w:pPr>
              <w:spacing w:after="0" w:line="259" w:lineRule="auto"/>
              <w:ind w:left="0" w:right="50" w:firstLine="0"/>
              <w:jc w:val="right"/>
            </w:pPr>
            <w:r>
              <w:rPr>
                <w:rFonts w:ascii="Calibri" w:eastAsia="Calibri" w:hAnsi="Calibri" w:cs="Calibri"/>
                <w:sz w:val="22"/>
              </w:rPr>
              <w:t xml:space="preserve">3 </w:t>
            </w:r>
          </w:p>
        </w:tc>
        <w:tc>
          <w:tcPr>
            <w:tcW w:w="1456" w:type="dxa"/>
            <w:tcBorders>
              <w:top w:val="single" w:sz="2" w:space="0" w:color="FFFFFF"/>
              <w:left w:val="single" w:sz="3" w:space="0" w:color="000000"/>
              <w:bottom w:val="single" w:sz="2" w:space="0" w:color="FFFFFF"/>
              <w:right w:val="single" w:sz="3" w:space="0" w:color="000000"/>
            </w:tcBorders>
          </w:tcPr>
          <w:p w14:paraId="2C4A41F9" w14:textId="77777777" w:rsidR="003F0DB8" w:rsidRDefault="00000000">
            <w:pPr>
              <w:spacing w:after="0" w:line="259" w:lineRule="auto"/>
              <w:ind w:left="0" w:firstLine="0"/>
            </w:pPr>
            <w:r>
              <w:rPr>
                <w:rFonts w:ascii="Calibri" w:eastAsia="Calibri" w:hAnsi="Calibri" w:cs="Calibri"/>
                <w:sz w:val="22"/>
              </w:rPr>
              <w:t xml:space="preserve">  </w:t>
            </w:r>
          </w:p>
        </w:tc>
        <w:tc>
          <w:tcPr>
            <w:tcW w:w="6238" w:type="dxa"/>
            <w:tcBorders>
              <w:top w:val="single" w:sz="2" w:space="0" w:color="FFFFFF"/>
              <w:left w:val="single" w:sz="3" w:space="0" w:color="000000"/>
              <w:bottom w:val="single" w:sz="2" w:space="0" w:color="FFFFFF"/>
              <w:right w:val="single" w:sz="3" w:space="0" w:color="000000"/>
            </w:tcBorders>
          </w:tcPr>
          <w:p w14:paraId="37D1AEA5" w14:textId="77777777" w:rsidR="003F0DB8" w:rsidRDefault="00000000">
            <w:pPr>
              <w:spacing w:after="0" w:line="259" w:lineRule="auto"/>
              <w:ind w:left="0" w:firstLine="0"/>
            </w:pPr>
            <w:r>
              <w:rPr>
                <w:rFonts w:ascii="Calibri" w:eastAsia="Calibri" w:hAnsi="Calibri" w:cs="Calibri"/>
                <w:sz w:val="22"/>
              </w:rPr>
              <w:t xml:space="preserve">DDoS Network Protection, public-IP rationalisation, and premium firewall inspection. </w:t>
            </w:r>
          </w:p>
        </w:tc>
      </w:tr>
      <w:tr w:rsidR="003F0DB8" w14:paraId="304E38BB" w14:textId="77777777">
        <w:trPr>
          <w:trHeight w:val="548"/>
        </w:trPr>
        <w:tc>
          <w:tcPr>
            <w:tcW w:w="828" w:type="dxa"/>
            <w:tcBorders>
              <w:top w:val="single" w:sz="2" w:space="0" w:color="FFFFFF"/>
              <w:left w:val="single" w:sz="3" w:space="0" w:color="000000"/>
              <w:bottom w:val="single" w:sz="2" w:space="0" w:color="FFFFFF"/>
              <w:right w:val="single" w:sz="3" w:space="0" w:color="000000"/>
            </w:tcBorders>
          </w:tcPr>
          <w:p w14:paraId="7EE30D84" w14:textId="77777777" w:rsidR="003F0DB8" w:rsidRDefault="00000000">
            <w:pPr>
              <w:spacing w:after="0" w:line="259" w:lineRule="auto"/>
              <w:ind w:left="0" w:firstLine="0"/>
            </w:pPr>
            <w:r>
              <w:rPr>
                <w:rFonts w:ascii="Calibri" w:eastAsia="Calibri" w:hAnsi="Calibri" w:cs="Calibri"/>
                <w:sz w:val="22"/>
              </w:rPr>
              <w:t xml:space="preserve">WP09 </w:t>
            </w:r>
          </w:p>
        </w:tc>
        <w:tc>
          <w:tcPr>
            <w:tcW w:w="1496" w:type="dxa"/>
            <w:tcBorders>
              <w:top w:val="single" w:sz="2" w:space="0" w:color="FFFFFF"/>
              <w:left w:val="single" w:sz="3" w:space="0" w:color="000000"/>
              <w:bottom w:val="single" w:sz="2" w:space="0" w:color="FFFFFF"/>
              <w:right w:val="single" w:sz="3" w:space="0" w:color="000000"/>
            </w:tcBorders>
          </w:tcPr>
          <w:p w14:paraId="678A6D60" w14:textId="77777777" w:rsidR="003F0DB8" w:rsidRDefault="00000000">
            <w:pPr>
              <w:spacing w:after="0" w:line="259" w:lineRule="auto"/>
              <w:ind w:left="0" w:firstLine="0"/>
            </w:pPr>
            <w:r>
              <w:rPr>
                <w:rFonts w:ascii="Calibri" w:eastAsia="Calibri" w:hAnsi="Calibri" w:cs="Calibri"/>
                <w:sz w:val="22"/>
              </w:rPr>
              <w:t xml:space="preserve">Secret &amp; Key Management </w:t>
            </w:r>
          </w:p>
        </w:tc>
        <w:tc>
          <w:tcPr>
            <w:tcW w:w="1236" w:type="dxa"/>
            <w:tcBorders>
              <w:top w:val="single" w:sz="2" w:space="0" w:color="FFFFFF"/>
              <w:left w:val="single" w:sz="3" w:space="0" w:color="000000"/>
              <w:bottom w:val="single" w:sz="2" w:space="0" w:color="FFFFFF"/>
              <w:right w:val="single" w:sz="3" w:space="0" w:color="000000"/>
            </w:tcBorders>
          </w:tcPr>
          <w:p w14:paraId="4492E659" w14:textId="77777777" w:rsidR="003F0DB8" w:rsidRDefault="00000000">
            <w:pPr>
              <w:spacing w:after="0" w:line="259" w:lineRule="auto"/>
              <w:ind w:left="0" w:firstLine="0"/>
            </w:pPr>
            <w:r>
              <w:rPr>
                <w:rFonts w:ascii="Calibri" w:eastAsia="Calibri" w:hAnsi="Calibri" w:cs="Calibri"/>
                <w:sz w:val="22"/>
              </w:rPr>
              <w:t xml:space="preserve">Platform </w:t>
            </w:r>
          </w:p>
        </w:tc>
        <w:tc>
          <w:tcPr>
            <w:tcW w:w="769" w:type="dxa"/>
            <w:tcBorders>
              <w:top w:val="single" w:sz="2" w:space="0" w:color="FFFFFF"/>
              <w:left w:val="single" w:sz="3" w:space="0" w:color="000000"/>
              <w:bottom w:val="single" w:sz="2" w:space="0" w:color="FFFFFF"/>
              <w:right w:val="single" w:sz="3" w:space="0" w:color="000000"/>
            </w:tcBorders>
          </w:tcPr>
          <w:p w14:paraId="529BC271" w14:textId="77777777" w:rsidR="003F0DB8" w:rsidRDefault="00000000">
            <w:pPr>
              <w:spacing w:after="0" w:line="259" w:lineRule="auto"/>
              <w:ind w:left="0" w:firstLine="0"/>
            </w:pPr>
            <w:r>
              <w:rPr>
                <w:rFonts w:ascii="Calibri" w:eastAsia="Calibri" w:hAnsi="Calibri" w:cs="Calibri"/>
                <w:sz w:val="22"/>
              </w:rPr>
              <w:t xml:space="preserve">Phase 1–2 </w:t>
            </w:r>
          </w:p>
        </w:tc>
        <w:tc>
          <w:tcPr>
            <w:tcW w:w="1832" w:type="dxa"/>
            <w:tcBorders>
              <w:top w:val="single" w:sz="2" w:space="0" w:color="FFFFFF"/>
              <w:left w:val="single" w:sz="3" w:space="0" w:color="000000"/>
              <w:bottom w:val="single" w:sz="2" w:space="0" w:color="FFFFFF"/>
              <w:right w:val="single" w:sz="3" w:space="0" w:color="000000"/>
            </w:tcBorders>
          </w:tcPr>
          <w:p w14:paraId="3C7F4849" w14:textId="77777777" w:rsidR="003F0DB8" w:rsidRDefault="00000000">
            <w:pPr>
              <w:spacing w:after="0" w:line="259" w:lineRule="auto"/>
              <w:ind w:left="0" w:right="50" w:firstLine="0"/>
              <w:jc w:val="right"/>
            </w:pPr>
            <w:r>
              <w:rPr>
                <w:rFonts w:ascii="Calibri" w:eastAsia="Calibri" w:hAnsi="Calibri" w:cs="Calibri"/>
                <w:sz w:val="22"/>
              </w:rPr>
              <w:t xml:space="preserve">3 </w:t>
            </w:r>
          </w:p>
        </w:tc>
        <w:tc>
          <w:tcPr>
            <w:tcW w:w="1456" w:type="dxa"/>
            <w:tcBorders>
              <w:top w:val="single" w:sz="2" w:space="0" w:color="FFFFFF"/>
              <w:left w:val="single" w:sz="3" w:space="0" w:color="000000"/>
              <w:bottom w:val="single" w:sz="2" w:space="0" w:color="FFFFFF"/>
              <w:right w:val="single" w:sz="3" w:space="0" w:color="000000"/>
            </w:tcBorders>
          </w:tcPr>
          <w:p w14:paraId="7A04ED2F" w14:textId="77777777" w:rsidR="003F0DB8" w:rsidRDefault="00000000">
            <w:pPr>
              <w:spacing w:after="0" w:line="259" w:lineRule="auto"/>
              <w:ind w:left="0" w:firstLine="0"/>
            </w:pPr>
            <w:r>
              <w:rPr>
                <w:rFonts w:ascii="Calibri" w:eastAsia="Calibri" w:hAnsi="Calibri" w:cs="Calibri"/>
                <w:sz w:val="22"/>
              </w:rPr>
              <w:t xml:space="preserve">  </w:t>
            </w:r>
          </w:p>
        </w:tc>
        <w:tc>
          <w:tcPr>
            <w:tcW w:w="6238" w:type="dxa"/>
            <w:tcBorders>
              <w:top w:val="single" w:sz="2" w:space="0" w:color="FFFFFF"/>
              <w:left w:val="single" w:sz="3" w:space="0" w:color="000000"/>
              <w:bottom w:val="single" w:sz="2" w:space="0" w:color="FFFFFF"/>
              <w:right w:val="single" w:sz="3" w:space="0" w:color="000000"/>
            </w:tcBorders>
          </w:tcPr>
          <w:p w14:paraId="2A0C2E05" w14:textId="77777777" w:rsidR="003F0DB8" w:rsidRDefault="00000000">
            <w:pPr>
              <w:spacing w:after="0" w:line="259" w:lineRule="auto"/>
              <w:ind w:left="0" w:firstLine="0"/>
            </w:pPr>
            <w:r>
              <w:rPr>
                <w:rFonts w:ascii="Calibri" w:eastAsia="Calibri" w:hAnsi="Calibri" w:cs="Calibri"/>
                <w:sz w:val="22"/>
              </w:rPr>
              <w:t xml:space="preserve">Vault-scoped RBAC, purge protection and diagnostics, and resolution of the shared cross-environment vault. </w:t>
            </w:r>
          </w:p>
        </w:tc>
      </w:tr>
      <w:tr w:rsidR="003F0DB8" w14:paraId="5A1F9DAF" w14:textId="77777777">
        <w:trPr>
          <w:trHeight w:val="544"/>
        </w:trPr>
        <w:tc>
          <w:tcPr>
            <w:tcW w:w="828" w:type="dxa"/>
            <w:tcBorders>
              <w:top w:val="single" w:sz="2" w:space="0" w:color="FFFFFF"/>
              <w:left w:val="single" w:sz="3" w:space="0" w:color="000000"/>
              <w:bottom w:val="single" w:sz="2" w:space="0" w:color="FFFFFF"/>
              <w:right w:val="single" w:sz="3" w:space="0" w:color="000000"/>
            </w:tcBorders>
          </w:tcPr>
          <w:p w14:paraId="43E31947" w14:textId="77777777" w:rsidR="003F0DB8" w:rsidRDefault="00000000">
            <w:pPr>
              <w:spacing w:after="0" w:line="259" w:lineRule="auto"/>
              <w:ind w:left="0" w:firstLine="0"/>
            </w:pPr>
            <w:r>
              <w:rPr>
                <w:rFonts w:ascii="Calibri" w:eastAsia="Calibri" w:hAnsi="Calibri" w:cs="Calibri"/>
                <w:sz w:val="22"/>
              </w:rPr>
              <w:t xml:space="preserve">WP10 </w:t>
            </w:r>
          </w:p>
        </w:tc>
        <w:tc>
          <w:tcPr>
            <w:tcW w:w="1496" w:type="dxa"/>
            <w:tcBorders>
              <w:top w:val="single" w:sz="2" w:space="0" w:color="FFFFFF"/>
              <w:left w:val="single" w:sz="3" w:space="0" w:color="000000"/>
              <w:bottom w:val="single" w:sz="2" w:space="0" w:color="FFFFFF"/>
              <w:right w:val="single" w:sz="3" w:space="0" w:color="000000"/>
            </w:tcBorders>
          </w:tcPr>
          <w:p w14:paraId="7A4D8D3C" w14:textId="77777777" w:rsidR="003F0DB8" w:rsidRDefault="00000000">
            <w:pPr>
              <w:spacing w:after="0" w:line="259" w:lineRule="auto"/>
              <w:ind w:left="0" w:firstLine="0"/>
            </w:pPr>
            <w:r>
              <w:rPr>
                <w:rFonts w:ascii="Calibri" w:eastAsia="Calibri" w:hAnsi="Calibri" w:cs="Calibri"/>
                <w:sz w:val="22"/>
              </w:rPr>
              <w:t xml:space="preserve">Observability &amp; ITSM Uplift </w:t>
            </w:r>
          </w:p>
        </w:tc>
        <w:tc>
          <w:tcPr>
            <w:tcW w:w="1236" w:type="dxa"/>
            <w:tcBorders>
              <w:top w:val="single" w:sz="2" w:space="0" w:color="FFFFFF"/>
              <w:left w:val="single" w:sz="3" w:space="0" w:color="000000"/>
              <w:bottom w:val="single" w:sz="2" w:space="0" w:color="FFFFFF"/>
              <w:right w:val="single" w:sz="3" w:space="0" w:color="000000"/>
            </w:tcBorders>
          </w:tcPr>
          <w:p w14:paraId="0C302BD7" w14:textId="77777777" w:rsidR="003F0DB8" w:rsidRDefault="00000000">
            <w:pPr>
              <w:spacing w:after="0" w:line="259" w:lineRule="auto"/>
              <w:ind w:left="0" w:firstLine="0"/>
            </w:pPr>
            <w:r>
              <w:rPr>
                <w:rFonts w:ascii="Calibri" w:eastAsia="Calibri" w:hAnsi="Calibri" w:cs="Calibri"/>
                <w:sz w:val="22"/>
              </w:rPr>
              <w:t xml:space="preserve">Operations </w:t>
            </w:r>
          </w:p>
        </w:tc>
        <w:tc>
          <w:tcPr>
            <w:tcW w:w="769" w:type="dxa"/>
            <w:tcBorders>
              <w:top w:val="single" w:sz="2" w:space="0" w:color="FFFFFF"/>
              <w:left w:val="single" w:sz="3" w:space="0" w:color="000000"/>
              <w:bottom w:val="single" w:sz="2" w:space="0" w:color="FFFFFF"/>
              <w:right w:val="single" w:sz="3" w:space="0" w:color="000000"/>
            </w:tcBorders>
          </w:tcPr>
          <w:p w14:paraId="2F0E8018" w14:textId="77777777" w:rsidR="003F0DB8" w:rsidRDefault="00000000">
            <w:pPr>
              <w:spacing w:after="0" w:line="259" w:lineRule="auto"/>
              <w:ind w:left="0" w:firstLine="0"/>
            </w:pPr>
            <w:r>
              <w:rPr>
                <w:rFonts w:ascii="Calibri" w:eastAsia="Calibri" w:hAnsi="Calibri" w:cs="Calibri"/>
                <w:sz w:val="22"/>
              </w:rPr>
              <w:t xml:space="preserve">Phase 2 </w:t>
            </w:r>
          </w:p>
        </w:tc>
        <w:tc>
          <w:tcPr>
            <w:tcW w:w="1832" w:type="dxa"/>
            <w:tcBorders>
              <w:top w:val="single" w:sz="2" w:space="0" w:color="FFFFFF"/>
              <w:left w:val="single" w:sz="3" w:space="0" w:color="000000"/>
              <w:bottom w:val="single" w:sz="2" w:space="0" w:color="FFFFFF"/>
              <w:right w:val="single" w:sz="3" w:space="0" w:color="000000"/>
            </w:tcBorders>
          </w:tcPr>
          <w:p w14:paraId="5A54D9E8" w14:textId="77777777" w:rsidR="003F0DB8" w:rsidRDefault="00000000">
            <w:pPr>
              <w:spacing w:after="0" w:line="259" w:lineRule="auto"/>
              <w:ind w:left="0" w:right="50" w:firstLine="0"/>
              <w:jc w:val="right"/>
            </w:pPr>
            <w:r>
              <w:rPr>
                <w:rFonts w:ascii="Calibri" w:eastAsia="Calibri" w:hAnsi="Calibri" w:cs="Calibri"/>
                <w:sz w:val="22"/>
              </w:rPr>
              <w:t xml:space="preserve">10 </w:t>
            </w:r>
          </w:p>
        </w:tc>
        <w:tc>
          <w:tcPr>
            <w:tcW w:w="1456" w:type="dxa"/>
            <w:tcBorders>
              <w:top w:val="single" w:sz="2" w:space="0" w:color="FFFFFF"/>
              <w:left w:val="single" w:sz="3" w:space="0" w:color="000000"/>
              <w:bottom w:val="single" w:sz="2" w:space="0" w:color="FFFFFF"/>
              <w:right w:val="single" w:sz="3" w:space="0" w:color="000000"/>
            </w:tcBorders>
          </w:tcPr>
          <w:p w14:paraId="0438742C" w14:textId="77777777" w:rsidR="003F0DB8" w:rsidRDefault="00000000">
            <w:pPr>
              <w:spacing w:after="0" w:line="259" w:lineRule="auto"/>
              <w:ind w:left="0" w:firstLine="0"/>
            </w:pPr>
            <w:r>
              <w:rPr>
                <w:rFonts w:ascii="Calibri" w:eastAsia="Calibri" w:hAnsi="Calibri" w:cs="Calibri"/>
                <w:sz w:val="22"/>
              </w:rPr>
              <w:t xml:space="preserve">  </w:t>
            </w:r>
          </w:p>
        </w:tc>
        <w:tc>
          <w:tcPr>
            <w:tcW w:w="6238" w:type="dxa"/>
            <w:tcBorders>
              <w:top w:val="single" w:sz="2" w:space="0" w:color="FFFFFF"/>
              <w:left w:val="single" w:sz="3" w:space="0" w:color="000000"/>
              <w:bottom w:val="single" w:sz="2" w:space="0" w:color="FFFFFF"/>
              <w:right w:val="single" w:sz="3" w:space="0" w:color="000000"/>
            </w:tcBorders>
          </w:tcPr>
          <w:p w14:paraId="04CD7C20" w14:textId="77777777" w:rsidR="003F0DB8" w:rsidRDefault="00000000">
            <w:pPr>
              <w:spacing w:after="0" w:line="259" w:lineRule="auto"/>
              <w:ind w:left="0" w:right="24" w:firstLine="0"/>
            </w:pPr>
            <w:r>
              <w:rPr>
                <w:rFonts w:ascii="Calibri" w:eastAsia="Calibri" w:hAnsi="Calibri" w:cs="Calibri"/>
                <w:sz w:val="22"/>
              </w:rPr>
              <w:t xml:space="preserve">Consolidate monitoring, fix alert routing, move dashboards to code, and stand up the native ServiceNow connector. </w:t>
            </w:r>
          </w:p>
        </w:tc>
      </w:tr>
      <w:tr w:rsidR="003F0DB8" w14:paraId="30E93CB6" w14:textId="77777777">
        <w:trPr>
          <w:trHeight w:val="1357"/>
        </w:trPr>
        <w:tc>
          <w:tcPr>
            <w:tcW w:w="828" w:type="dxa"/>
            <w:tcBorders>
              <w:top w:val="single" w:sz="2" w:space="0" w:color="FFFFFF"/>
              <w:left w:val="single" w:sz="3" w:space="0" w:color="000000"/>
              <w:bottom w:val="single" w:sz="2" w:space="0" w:color="FFFFFF"/>
              <w:right w:val="single" w:sz="3" w:space="0" w:color="000000"/>
            </w:tcBorders>
          </w:tcPr>
          <w:p w14:paraId="09F1160C" w14:textId="77777777" w:rsidR="003F0DB8" w:rsidRDefault="00000000">
            <w:pPr>
              <w:spacing w:after="0" w:line="259" w:lineRule="auto"/>
              <w:ind w:left="0" w:firstLine="0"/>
            </w:pPr>
            <w:r>
              <w:rPr>
                <w:rFonts w:ascii="Calibri" w:eastAsia="Calibri" w:hAnsi="Calibri" w:cs="Calibri"/>
                <w:sz w:val="22"/>
              </w:rPr>
              <w:t xml:space="preserve">WP11 </w:t>
            </w:r>
          </w:p>
        </w:tc>
        <w:tc>
          <w:tcPr>
            <w:tcW w:w="1496" w:type="dxa"/>
            <w:tcBorders>
              <w:top w:val="single" w:sz="2" w:space="0" w:color="FFFFFF"/>
              <w:left w:val="single" w:sz="3" w:space="0" w:color="000000"/>
              <w:bottom w:val="single" w:sz="2" w:space="0" w:color="FFFFFF"/>
              <w:right w:val="single" w:sz="3" w:space="0" w:color="000000"/>
            </w:tcBorders>
          </w:tcPr>
          <w:p w14:paraId="00E78B2D" w14:textId="77777777" w:rsidR="003F0DB8" w:rsidRDefault="00000000">
            <w:pPr>
              <w:spacing w:after="0" w:line="259" w:lineRule="auto"/>
              <w:ind w:left="0" w:firstLine="0"/>
            </w:pPr>
            <w:r>
              <w:rPr>
                <w:rFonts w:ascii="Calibri" w:eastAsia="Calibri" w:hAnsi="Calibri" w:cs="Calibri"/>
                <w:sz w:val="22"/>
              </w:rPr>
              <w:t xml:space="preserve">Workload </w:t>
            </w:r>
          </w:p>
          <w:p w14:paraId="4DD2F565" w14:textId="77777777" w:rsidR="003F0DB8" w:rsidRDefault="00000000">
            <w:pPr>
              <w:spacing w:after="0" w:line="259" w:lineRule="auto"/>
              <w:ind w:left="0" w:firstLine="0"/>
            </w:pPr>
            <w:r>
              <w:rPr>
                <w:rFonts w:ascii="Calibri" w:eastAsia="Calibri" w:hAnsi="Calibri" w:cs="Calibri"/>
                <w:sz w:val="22"/>
              </w:rPr>
              <w:t xml:space="preserve">Security &amp; </w:t>
            </w:r>
          </w:p>
          <w:p w14:paraId="311CF870" w14:textId="77777777" w:rsidR="003F0DB8" w:rsidRDefault="00000000">
            <w:pPr>
              <w:spacing w:after="0" w:line="259" w:lineRule="auto"/>
              <w:ind w:left="0" w:right="11" w:firstLine="0"/>
            </w:pPr>
            <w:r>
              <w:rPr>
                <w:rFonts w:ascii="Calibri" w:eastAsia="Calibri" w:hAnsi="Calibri" w:cs="Calibri"/>
                <w:sz w:val="22"/>
              </w:rPr>
              <w:t xml:space="preserve">Hosting Modernisatio n </w:t>
            </w:r>
          </w:p>
        </w:tc>
        <w:tc>
          <w:tcPr>
            <w:tcW w:w="1236" w:type="dxa"/>
            <w:tcBorders>
              <w:top w:val="single" w:sz="2" w:space="0" w:color="FFFFFF"/>
              <w:left w:val="single" w:sz="3" w:space="0" w:color="000000"/>
              <w:bottom w:val="single" w:sz="2" w:space="0" w:color="FFFFFF"/>
              <w:right w:val="single" w:sz="3" w:space="0" w:color="000000"/>
            </w:tcBorders>
          </w:tcPr>
          <w:p w14:paraId="3F73B056" w14:textId="77777777" w:rsidR="003F0DB8" w:rsidRDefault="00000000">
            <w:pPr>
              <w:spacing w:after="0" w:line="259" w:lineRule="auto"/>
              <w:ind w:left="0" w:firstLine="0"/>
            </w:pPr>
            <w:r>
              <w:rPr>
                <w:rFonts w:ascii="Calibri" w:eastAsia="Calibri" w:hAnsi="Calibri" w:cs="Calibri"/>
                <w:sz w:val="22"/>
              </w:rPr>
              <w:t xml:space="preserve">Integration </w:t>
            </w:r>
          </w:p>
        </w:tc>
        <w:tc>
          <w:tcPr>
            <w:tcW w:w="769" w:type="dxa"/>
            <w:tcBorders>
              <w:top w:val="single" w:sz="2" w:space="0" w:color="FFFFFF"/>
              <w:left w:val="single" w:sz="3" w:space="0" w:color="000000"/>
              <w:bottom w:val="single" w:sz="2" w:space="0" w:color="FFFFFF"/>
              <w:right w:val="single" w:sz="3" w:space="0" w:color="000000"/>
            </w:tcBorders>
          </w:tcPr>
          <w:p w14:paraId="5440B04D" w14:textId="77777777" w:rsidR="003F0DB8" w:rsidRDefault="00000000">
            <w:pPr>
              <w:spacing w:after="0" w:line="259" w:lineRule="auto"/>
              <w:ind w:left="0" w:firstLine="0"/>
            </w:pPr>
            <w:r>
              <w:rPr>
                <w:rFonts w:ascii="Calibri" w:eastAsia="Calibri" w:hAnsi="Calibri" w:cs="Calibri"/>
                <w:sz w:val="22"/>
              </w:rPr>
              <w:t xml:space="preserve">Phase 2 </w:t>
            </w:r>
          </w:p>
        </w:tc>
        <w:tc>
          <w:tcPr>
            <w:tcW w:w="1832" w:type="dxa"/>
            <w:tcBorders>
              <w:top w:val="single" w:sz="2" w:space="0" w:color="FFFFFF"/>
              <w:left w:val="single" w:sz="3" w:space="0" w:color="000000"/>
              <w:bottom w:val="single" w:sz="2" w:space="0" w:color="FFFFFF"/>
              <w:right w:val="single" w:sz="3" w:space="0" w:color="000000"/>
            </w:tcBorders>
          </w:tcPr>
          <w:p w14:paraId="50B86ABD" w14:textId="77777777" w:rsidR="003F0DB8" w:rsidRDefault="00000000">
            <w:pPr>
              <w:spacing w:after="0" w:line="259" w:lineRule="auto"/>
              <w:ind w:left="0" w:right="50" w:firstLine="0"/>
              <w:jc w:val="right"/>
            </w:pPr>
            <w:r>
              <w:rPr>
                <w:rFonts w:ascii="Calibri" w:eastAsia="Calibri" w:hAnsi="Calibri" w:cs="Calibri"/>
                <w:sz w:val="22"/>
              </w:rPr>
              <w:t xml:space="preserve">12 </w:t>
            </w:r>
          </w:p>
        </w:tc>
        <w:tc>
          <w:tcPr>
            <w:tcW w:w="1456" w:type="dxa"/>
            <w:tcBorders>
              <w:top w:val="single" w:sz="2" w:space="0" w:color="FFFFFF"/>
              <w:left w:val="single" w:sz="3" w:space="0" w:color="000000"/>
              <w:bottom w:val="single" w:sz="2" w:space="0" w:color="FFFFFF"/>
              <w:right w:val="single" w:sz="3" w:space="0" w:color="000000"/>
            </w:tcBorders>
          </w:tcPr>
          <w:p w14:paraId="4DE3BCA9" w14:textId="77777777" w:rsidR="003F0DB8" w:rsidRDefault="00000000">
            <w:pPr>
              <w:spacing w:after="0" w:line="259" w:lineRule="auto"/>
              <w:ind w:left="0" w:firstLine="0"/>
            </w:pPr>
            <w:r>
              <w:rPr>
                <w:rFonts w:ascii="Calibri" w:eastAsia="Calibri" w:hAnsi="Calibri" w:cs="Calibri"/>
                <w:sz w:val="22"/>
              </w:rPr>
              <w:t xml:space="preserve">  </w:t>
            </w:r>
          </w:p>
        </w:tc>
        <w:tc>
          <w:tcPr>
            <w:tcW w:w="6238" w:type="dxa"/>
            <w:tcBorders>
              <w:top w:val="single" w:sz="2" w:space="0" w:color="FFFFFF"/>
              <w:left w:val="single" w:sz="3" w:space="0" w:color="000000"/>
              <w:bottom w:val="single" w:sz="2" w:space="0" w:color="FFFFFF"/>
              <w:right w:val="single" w:sz="3" w:space="0" w:color="000000"/>
            </w:tcBorders>
          </w:tcPr>
          <w:p w14:paraId="34C97DBB" w14:textId="77777777" w:rsidR="003F0DB8" w:rsidRDefault="00000000">
            <w:pPr>
              <w:spacing w:after="0" w:line="259" w:lineRule="auto"/>
              <w:ind w:left="0" w:firstLine="0"/>
            </w:pPr>
            <w:r>
              <w:rPr>
                <w:rFonts w:ascii="Calibri" w:eastAsia="Calibri" w:hAnsi="Calibri" w:cs="Calibri"/>
                <w:sz w:val="22"/>
              </w:rPr>
              <w:t xml:space="preserve">Authenticate SQL/APIM/Functions, restrict exposure, and rationalise compute and App Service hosting. </w:t>
            </w:r>
          </w:p>
        </w:tc>
      </w:tr>
      <w:tr w:rsidR="003F0DB8" w14:paraId="636325C2" w14:textId="77777777">
        <w:trPr>
          <w:trHeight w:val="1084"/>
        </w:trPr>
        <w:tc>
          <w:tcPr>
            <w:tcW w:w="828" w:type="dxa"/>
            <w:tcBorders>
              <w:top w:val="single" w:sz="2" w:space="0" w:color="FFFFFF"/>
              <w:left w:val="single" w:sz="3" w:space="0" w:color="000000"/>
              <w:bottom w:val="single" w:sz="2" w:space="0" w:color="FFFFFF"/>
              <w:right w:val="single" w:sz="3" w:space="0" w:color="000000"/>
            </w:tcBorders>
          </w:tcPr>
          <w:p w14:paraId="7ECADA6B" w14:textId="77777777" w:rsidR="003F0DB8" w:rsidRDefault="00000000">
            <w:pPr>
              <w:spacing w:after="0" w:line="259" w:lineRule="auto"/>
              <w:ind w:left="0" w:firstLine="0"/>
            </w:pPr>
            <w:r>
              <w:rPr>
                <w:rFonts w:ascii="Calibri" w:eastAsia="Calibri" w:hAnsi="Calibri" w:cs="Calibri"/>
                <w:sz w:val="22"/>
              </w:rPr>
              <w:t xml:space="preserve">WP12 </w:t>
            </w:r>
          </w:p>
        </w:tc>
        <w:tc>
          <w:tcPr>
            <w:tcW w:w="1496" w:type="dxa"/>
            <w:tcBorders>
              <w:top w:val="single" w:sz="2" w:space="0" w:color="FFFFFF"/>
              <w:left w:val="single" w:sz="3" w:space="0" w:color="000000"/>
              <w:bottom w:val="single" w:sz="2" w:space="0" w:color="FFFFFF"/>
              <w:right w:val="single" w:sz="3" w:space="0" w:color="000000"/>
            </w:tcBorders>
          </w:tcPr>
          <w:p w14:paraId="472A45F0" w14:textId="77777777" w:rsidR="003F0DB8" w:rsidRDefault="00000000">
            <w:pPr>
              <w:spacing w:after="0" w:line="259" w:lineRule="auto"/>
              <w:ind w:left="0" w:firstLine="0"/>
            </w:pPr>
            <w:r>
              <w:rPr>
                <w:rFonts w:ascii="Calibri" w:eastAsia="Calibri" w:hAnsi="Calibri" w:cs="Calibri"/>
                <w:sz w:val="22"/>
              </w:rPr>
              <w:t xml:space="preserve">FinOps </w:t>
            </w:r>
          </w:p>
          <w:p w14:paraId="3BC9E6D3" w14:textId="77777777" w:rsidR="003F0DB8" w:rsidRDefault="00000000">
            <w:pPr>
              <w:spacing w:after="0" w:line="259" w:lineRule="auto"/>
              <w:ind w:left="0" w:firstLine="0"/>
            </w:pPr>
            <w:r>
              <w:rPr>
                <w:rFonts w:ascii="Calibri" w:eastAsia="Calibri" w:hAnsi="Calibri" w:cs="Calibri"/>
                <w:sz w:val="22"/>
              </w:rPr>
              <w:t xml:space="preserve">Operating </w:t>
            </w:r>
          </w:p>
          <w:p w14:paraId="4BA8EFF0" w14:textId="77777777" w:rsidR="003F0DB8" w:rsidRDefault="00000000">
            <w:pPr>
              <w:spacing w:after="0" w:line="259" w:lineRule="auto"/>
              <w:ind w:left="0" w:firstLine="0"/>
            </w:pPr>
            <w:r>
              <w:rPr>
                <w:rFonts w:ascii="Calibri" w:eastAsia="Calibri" w:hAnsi="Calibri" w:cs="Calibri"/>
                <w:sz w:val="22"/>
              </w:rPr>
              <w:t xml:space="preserve">Model &amp; Cost </w:t>
            </w:r>
          </w:p>
          <w:p w14:paraId="2B09A860" w14:textId="77777777" w:rsidR="003F0DB8" w:rsidRDefault="00000000">
            <w:pPr>
              <w:spacing w:after="0" w:line="259" w:lineRule="auto"/>
              <w:ind w:left="0" w:firstLine="0"/>
            </w:pPr>
            <w:r>
              <w:rPr>
                <w:rFonts w:ascii="Calibri" w:eastAsia="Calibri" w:hAnsi="Calibri" w:cs="Calibri"/>
                <w:sz w:val="22"/>
              </w:rPr>
              <w:t xml:space="preserve">Optimisation </w:t>
            </w:r>
          </w:p>
        </w:tc>
        <w:tc>
          <w:tcPr>
            <w:tcW w:w="1236" w:type="dxa"/>
            <w:tcBorders>
              <w:top w:val="single" w:sz="2" w:space="0" w:color="FFFFFF"/>
              <w:left w:val="single" w:sz="3" w:space="0" w:color="000000"/>
              <w:bottom w:val="single" w:sz="2" w:space="0" w:color="FFFFFF"/>
              <w:right w:val="single" w:sz="3" w:space="0" w:color="000000"/>
            </w:tcBorders>
          </w:tcPr>
          <w:p w14:paraId="2C8D2AB7" w14:textId="77777777" w:rsidR="003F0DB8" w:rsidRDefault="00000000">
            <w:pPr>
              <w:spacing w:after="0" w:line="259" w:lineRule="auto"/>
              <w:ind w:left="0" w:firstLine="0"/>
            </w:pPr>
            <w:r>
              <w:rPr>
                <w:rFonts w:ascii="Calibri" w:eastAsia="Calibri" w:hAnsi="Calibri" w:cs="Calibri"/>
                <w:sz w:val="22"/>
              </w:rPr>
              <w:t xml:space="preserve">FinOps </w:t>
            </w:r>
          </w:p>
        </w:tc>
        <w:tc>
          <w:tcPr>
            <w:tcW w:w="769" w:type="dxa"/>
            <w:tcBorders>
              <w:top w:val="single" w:sz="2" w:space="0" w:color="FFFFFF"/>
              <w:left w:val="single" w:sz="3" w:space="0" w:color="000000"/>
              <w:bottom w:val="single" w:sz="2" w:space="0" w:color="FFFFFF"/>
              <w:right w:val="single" w:sz="3" w:space="0" w:color="000000"/>
            </w:tcBorders>
          </w:tcPr>
          <w:p w14:paraId="3EAC7F07" w14:textId="77777777" w:rsidR="003F0DB8" w:rsidRDefault="00000000">
            <w:pPr>
              <w:spacing w:after="0" w:line="259" w:lineRule="auto"/>
              <w:ind w:left="0" w:firstLine="0"/>
            </w:pPr>
            <w:r>
              <w:rPr>
                <w:rFonts w:ascii="Calibri" w:eastAsia="Calibri" w:hAnsi="Calibri" w:cs="Calibri"/>
                <w:sz w:val="22"/>
              </w:rPr>
              <w:t xml:space="preserve">Phase 2 </w:t>
            </w:r>
          </w:p>
        </w:tc>
        <w:tc>
          <w:tcPr>
            <w:tcW w:w="1832" w:type="dxa"/>
            <w:tcBorders>
              <w:top w:val="single" w:sz="2" w:space="0" w:color="FFFFFF"/>
              <w:left w:val="single" w:sz="3" w:space="0" w:color="000000"/>
              <w:bottom w:val="single" w:sz="2" w:space="0" w:color="FFFFFF"/>
              <w:right w:val="single" w:sz="3" w:space="0" w:color="000000"/>
            </w:tcBorders>
          </w:tcPr>
          <w:p w14:paraId="7A92137E" w14:textId="77777777" w:rsidR="003F0DB8" w:rsidRDefault="00000000">
            <w:pPr>
              <w:spacing w:after="0" w:line="259" w:lineRule="auto"/>
              <w:ind w:left="0" w:right="50" w:firstLine="0"/>
              <w:jc w:val="right"/>
            </w:pPr>
            <w:r>
              <w:rPr>
                <w:rFonts w:ascii="Calibri" w:eastAsia="Calibri" w:hAnsi="Calibri" w:cs="Calibri"/>
                <w:sz w:val="22"/>
              </w:rPr>
              <w:t xml:space="preserve">12 </w:t>
            </w:r>
          </w:p>
        </w:tc>
        <w:tc>
          <w:tcPr>
            <w:tcW w:w="1456" w:type="dxa"/>
            <w:tcBorders>
              <w:top w:val="single" w:sz="2" w:space="0" w:color="FFFFFF"/>
              <w:left w:val="single" w:sz="3" w:space="0" w:color="000000"/>
              <w:bottom w:val="single" w:sz="2" w:space="0" w:color="FFFFFF"/>
              <w:right w:val="single" w:sz="3" w:space="0" w:color="000000"/>
            </w:tcBorders>
          </w:tcPr>
          <w:p w14:paraId="5102D4D0" w14:textId="77777777" w:rsidR="003F0DB8" w:rsidRDefault="00000000">
            <w:pPr>
              <w:spacing w:after="0" w:line="259" w:lineRule="auto"/>
              <w:ind w:left="0" w:firstLine="0"/>
            </w:pPr>
            <w:r>
              <w:rPr>
                <w:rFonts w:ascii="Calibri" w:eastAsia="Calibri" w:hAnsi="Calibri" w:cs="Calibri"/>
                <w:sz w:val="22"/>
              </w:rPr>
              <w:t xml:space="preserve">D3 </w:t>
            </w:r>
          </w:p>
        </w:tc>
        <w:tc>
          <w:tcPr>
            <w:tcW w:w="6238" w:type="dxa"/>
            <w:tcBorders>
              <w:top w:val="single" w:sz="2" w:space="0" w:color="FFFFFF"/>
              <w:left w:val="single" w:sz="3" w:space="0" w:color="000000"/>
              <w:bottom w:val="single" w:sz="2" w:space="0" w:color="FFFFFF"/>
              <w:right w:val="single" w:sz="3" w:space="0" w:color="000000"/>
            </w:tcBorders>
          </w:tcPr>
          <w:p w14:paraId="74AB1C21" w14:textId="77777777" w:rsidR="003F0DB8" w:rsidRDefault="00000000">
            <w:pPr>
              <w:spacing w:after="0" w:line="259" w:lineRule="auto"/>
              <w:ind w:left="0" w:firstLine="0"/>
            </w:pPr>
            <w:r>
              <w:rPr>
                <w:rFonts w:ascii="Calibri" w:eastAsia="Calibri" w:hAnsi="Calibri" w:cs="Calibri"/>
                <w:sz w:val="22"/>
              </w:rPr>
              <w:t xml:space="preserve">Tagging and chargeback, reservations, right-sizing, and a monthly FinOps cadence with cost as a design input. </w:t>
            </w:r>
          </w:p>
        </w:tc>
      </w:tr>
      <w:tr w:rsidR="003F0DB8" w14:paraId="052D56EE" w14:textId="77777777">
        <w:trPr>
          <w:trHeight w:val="816"/>
        </w:trPr>
        <w:tc>
          <w:tcPr>
            <w:tcW w:w="828" w:type="dxa"/>
            <w:tcBorders>
              <w:top w:val="single" w:sz="2" w:space="0" w:color="FFFFFF"/>
              <w:left w:val="single" w:sz="3" w:space="0" w:color="000000"/>
              <w:bottom w:val="single" w:sz="2" w:space="0" w:color="FFFFFF"/>
              <w:right w:val="single" w:sz="3" w:space="0" w:color="000000"/>
            </w:tcBorders>
          </w:tcPr>
          <w:p w14:paraId="6DAC6269" w14:textId="77777777" w:rsidR="003F0DB8" w:rsidRDefault="00000000">
            <w:pPr>
              <w:spacing w:after="0" w:line="259" w:lineRule="auto"/>
              <w:ind w:left="0" w:firstLine="0"/>
            </w:pPr>
            <w:r>
              <w:rPr>
                <w:rFonts w:ascii="Calibri" w:eastAsia="Calibri" w:hAnsi="Calibri" w:cs="Calibri"/>
                <w:sz w:val="22"/>
              </w:rPr>
              <w:lastRenderedPageBreak/>
              <w:t xml:space="preserve">WP13 </w:t>
            </w:r>
          </w:p>
        </w:tc>
        <w:tc>
          <w:tcPr>
            <w:tcW w:w="1496" w:type="dxa"/>
            <w:tcBorders>
              <w:top w:val="single" w:sz="2" w:space="0" w:color="FFFFFF"/>
              <w:left w:val="single" w:sz="3" w:space="0" w:color="000000"/>
              <w:bottom w:val="single" w:sz="2" w:space="0" w:color="FFFFFF"/>
              <w:right w:val="single" w:sz="3" w:space="0" w:color="000000"/>
            </w:tcBorders>
          </w:tcPr>
          <w:p w14:paraId="0948354F" w14:textId="77777777" w:rsidR="003F0DB8" w:rsidRDefault="00000000">
            <w:pPr>
              <w:spacing w:after="0" w:line="259" w:lineRule="auto"/>
              <w:ind w:left="0" w:firstLine="0"/>
            </w:pPr>
            <w:r>
              <w:rPr>
                <w:rFonts w:ascii="Calibri" w:eastAsia="Calibri" w:hAnsi="Calibri" w:cs="Calibri"/>
                <w:sz w:val="22"/>
              </w:rPr>
              <w:t xml:space="preserve">AIS </w:t>
            </w:r>
          </w:p>
          <w:p w14:paraId="3231BF30" w14:textId="77777777" w:rsidR="003F0DB8" w:rsidRDefault="00000000">
            <w:pPr>
              <w:spacing w:after="0" w:line="259" w:lineRule="auto"/>
              <w:ind w:left="0" w:right="11" w:firstLine="0"/>
            </w:pPr>
            <w:r>
              <w:rPr>
                <w:rFonts w:ascii="Calibri" w:eastAsia="Calibri" w:hAnsi="Calibri" w:cs="Calibri"/>
                <w:sz w:val="22"/>
              </w:rPr>
              <w:t xml:space="preserve">Modernisatio n </w:t>
            </w:r>
          </w:p>
        </w:tc>
        <w:tc>
          <w:tcPr>
            <w:tcW w:w="1236" w:type="dxa"/>
            <w:tcBorders>
              <w:top w:val="single" w:sz="2" w:space="0" w:color="FFFFFF"/>
              <w:left w:val="single" w:sz="3" w:space="0" w:color="000000"/>
              <w:bottom w:val="single" w:sz="2" w:space="0" w:color="FFFFFF"/>
              <w:right w:val="single" w:sz="3" w:space="0" w:color="000000"/>
            </w:tcBorders>
          </w:tcPr>
          <w:p w14:paraId="398063B6" w14:textId="77777777" w:rsidR="003F0DB8" w:rsidRDefault="00000000">
            <w:pPr>
              <w:spacing w:after="0" w:line="259" w:lineRule="auto"/>
              <w:ind w:left="0" w:firstLine="0"/>
            </w:pPr>
            <w:r>
              <w:rPr>
                <w:rFonts w:ascii="Calibri" w:eastAsia="Calibri" w:hAnsi="Calibri" w:cs="Calibri"/>
                <w:sz w:val="22"/>
              </w:rPr>
              <w:t xml:space="preserve">Integration </w:t>
            </w:r>
          </w:p>
        </w:tc>
        <w:tc>
          <w:tcPr>
            <w:tcW w:w="769" w:type="dxa"/>
            <w:tcBorders>
              <w:top w:val="single" w:sz="2" w:space="0" w:color="FFFFFF"/>
              <w:left w:val="single" w:sz="3" w:space="0" w:color="000000"/>
              <w:bottom w:val="single" w:sz="2" w:space="0" w:color="FFFFFF"/>
              <w:right w:val="single" w:sz="3" w:space="0" w:color="000000"/>
            </w:tcBorders>
          </w:tcPr>
          <w:p w14:paraId="0D7E1DB4" w14:textId="77777777" w:rsidR="003F0DB8" w:rsidRDefault="00000000">
            <w:pPr>
              <w:spacing w:after="0" w:line="259" w:lineRule="auto"/>
              <w:ind w:left="0" w:firstLine="0"/>
            </w:pPr>
            <w:r>
              <w:rPr>
                <w:rFonts w:ascii="Calibri" w:eastAsia="Calibri" w:hAnsi="Calibri" w:cs="Calibri"/>
                <w:sz w:val="22"/>
              </w:rPr>
              <w:t xml:space="preserve">Phase 2–3 </w:t>
            </w:r>
          </w:p>
        </w:tc>
        <w:tc>
          <w:tcPr>
            <w:tcW w:w="1832" w:type="dxa"/>
            <w:tcBorders>
              <w:top w:val="single" w:sz="2" w:space="0" w:color="FFFFFF"/>
              <w:left w:val="single" w:sz="3" w:space="0" w:color="000000"/>
              <w:bottom w:val="single" w:sz="2" w:space="0" w:color="FFFFFF"/>
              <w:right w:val="single" w:sz="3" w:space="0" w:color="000000"/>
            </w:tcBorders>
          </w:tcPr>
          <w:p w14:paraId="3A463B09" w14:textId="77777777" w:rsidR="003F0DB8" w:rsidRDefault="00000000">
            <w:pPr>
              <w:spacing w:after="0" w:line="259" w:lineRule="auto"/>
              <w:ind w:left="0" w:right="50" w:firstLine="0"/>
              <w:jc w:val="right"/>
            </w:pPr>
            <w:r>
              <w:rPr>
                <w:rFonts w:ascii="Calibri" w:eastAsia="Calibri" w:hAnsi="Calibri" w:cs="Calibri"/>
                <w:sz w:val="22"/>
              </w:rPr>
              <w:t xml:space="preserve">6 </w:t>
            </w:r>
          </w:p>
        </w:tc>
        <w:tc>
          <w:tcPr>
            <w:tcW w:w="1456" w:type="dxa"/>
            <w:tcBorders>
              <w:top w:val="single" w:sz="2" w:space="0" w:color="FFFFFF"/>
              <w:left w:val="single" w:sz="3" w:space="0" w:color="000000"/>
              <w:bottom w:val="single" w:sz="2" w:space="0" w:color="FFFFFF"/>
              <w:right w:val="single" w:sz="3" w:space="0" w:color="000000"/>
            </w:tcBorders>
          </w:tcPr>
          <w:p w14:paraId="3353AE66" w14:textId="77777777" w:rsidR="003F0DB8" w:rsidRDefault="00000000">
            <w:pPr>
              <w:spacing w:after="0" w:line="259" w:lineRule="auto"/>
              <w:ind w:left="0" w:firstLine="0"/>
            </w:pPr>
            <w:r>
              <w:rPr>
                <w:rFonts w:ascii="Calibri" w:eastAsia="Calibri" w:hAnsi="Calibri" w:cs="Calibri"/>
                <w:sz w:val="22"/>
              </w:rPr>
              <w:t xml:space="preserve">D6, D9 </w:t>
            </w:r>
          </w:p>
        </w:tc>
        <w:tc>
          <w:tcPr>
            <w:tcW w:w="6238" w:type="dxa"/>
            <w:tcBorders>
              <w:top w:val="single" w:sz="2" w:space="0" w:color="FFFFFF"/>
              <w:left w:val="single" w:sz="3" w:space="0" w:color="000000"/>
              <w:bottom w:val="single" w:sz="2" w:space="0" w:color="FFFFFF"/>
              <w:right w:val="single" w:sz="3" w:space="0" w:color="000000"/>
            </w:tcBorders>
          </w:tcPr>
          <w:p w14:paraId="2C5648A3" w14:textId="77777777" w:rsidR="003F0DB8" w:rsidRDefault="00000000">
            <w:pPr>
              <w:spacing w:after="0" w:line="259" w:lineRule="auto"/>
              <w:ind w:left="0" w:firstLine="0"/>
            </w:pPr>
            <w:r>
              <w:rPr>
                <w:rFonts w:ascii="Calibri" w:eastAsia="Calibri" w:hAnsi="Calibri" w:cs="Calibri"/>
                <w:sz w:val="22"/>
              </w:rPr>
              <w:t xml:space="preserve">Environment parity, the Five Patterns design authority, resourcegroup split, and AIS under code control. </w:t>
            </w:r>
          </w:p>
        </w:tc>
      </w:tr>
      <w:tr w:rsidR="003F0DB8" w14:paraId="08D07083" w14:textId="77777777">
        <w:trPr>
          <w:trHeight w:val="812"/>
        </w:trPr>
        <w:tc>
          <w:tcPr>
            <w:tcW w:w="828" w:type="dxa"/>
            <w:tcBorders>
              <w:top w:val="single" w:sz="2" w:space="0" w:color="FFFFFF"/>
              <w:left w:val="single" w:sz="3" w:space="0" w:color="000000"/>
              <w:bottom w:val="single" w:sz="2" w:space="0" w:color="FFFFFF"/>
              <w:right w:val="single" w:sz="3" w:space="0" w:color="000000"/>
            </w:tcBorders>
          </w:tcPr>
          <w:p w14:paraId="376CA767" w14:textId="77777777" w:rsidR="003F0DB8" w:rsidRDefault="00000000">
            <w:pPr>
              <w:spacing w:after="0" w:line="259" w:lineRule="auto"/>
              <w:ind w:left="0" w:firstLine="0"/>
            </w:pPr>
            <w:r>
              <w:rPr>
                <w:rFonts w:ascii="Calibri" w:eastAsia="Calibri" w:hAnsi="Calibri" w:cs="Calibri"/>
                <w:sz w:val="22"/>
              </w:rPr>
              <w:t xml:space="preserve">WP14 </w:t>
            </w:r>
          </w:p>
        </w:tc>
        <w:tc>
          <w:tcPr>
            <w:tcW w:w="1496" w:type="dxa"/>
            <w:tcBorders>
              <w:top w:val="single" w:sz="2" w:space="0" w:color="FFFFFF"/>
              <w:left w:val="single" w:sz="3" w:space="0" w:color="000000"/>
              <w:bottom w:val="single" w:sz="2" w:space="0" w:color="FFFFFF"/>
              <w:right w:val="single" w:sz="3" w:space="0" w:color="000000"/>
            </w:tcBorders>
          </w:tcPr>
          <w:p w14:paraId="5E5EE412" w14:textId="77777777" w:rsidR="003F0DB8" w:rsidRDefault="00000000">
            <w:pPr>
              <w:spacing w:after="0" w:line="259" w:lineRule="auto"/>
              <w:ind w:left="0" w:firstLine="0"/>
            </w:pPr>
            <w:r>
              <w:rPr>
                <w:rFonts w:ascii="Calibri" w:eastAsia="Calibri" w:hAnsi="Calibri" w:cs="Calibri"/>
                <w:sz w:val="22"/>
              </w:rPr>
              <w:t xml:space="preserve">Data </w:t>
            </w:r>
          </w:p>
          <w:p w14:paraId="79607594" w14:textId="77777777" w:rsidR="003F0DB8" w:rsidRDefault="00000000">
            <w:pPr>
              <w:spacing w:after="0" w:line="259" w:lineRule="auto"/>
              <w:ind w:left="0" w:firstLine="0"/>
            </w:pPr>
            <w:r>
              <w:rPr>
                <w:rFonts w:ascii="Calibri" w:eastAsia="Calibri" w:hAnsi="Calibri" w:cs="Calibri"/>
                <w:sz w:val="22"/>
              </w:rPr>
              <w:t xml:space="preserve">Governance &amp; </w:t>
            </w:r>
          </w:p>
          <w:p w14:paraId="048BB651" w14:textId="77777777" w:rsidR="003F0DB8" w:rsidRDefault="00000000">
            <w:pPr>
              <w:spacing w:after="0" w:line="259" w:lineRule="auto"/>
              <w:ind w:left="0" w:firstLine="0"/>
            </w:pPr>
            <w:r>
              <w:rPr>
                <w:rFonts w:ascii="Calibri" w:eastAsia="Calibri" w:hAnsi="Calibri" w:cs="Calibri"/>
                <w:sz w:val="22"/>
              </w:rPr>
              <w:t xml:space="preserve">Compliance </w:t>
            </w:r>
          </w:p>
        </w:tc>
        <w:tc>
          <w:tcPr>
            <w:tcW w:w="1236" w:type="dxa"/>
            <w:tcBorders>
              <w:top w:val="single" w:sz="2" w:space="0" w:color="FFFFFF"/>
              <w:left w:val="single" w:sz="3" w:space="0" w:color="000000"/>
              <w:bottom w:val="single" w:sz="2" w:space="0" w:color="FFFFFF"/>
              <w:right w:val="single" w:sz="3" w:space="0" w:color="000000"/>
            </w:tcBorders>
          </w:tcPr>
          <w:p w14:paraId="7EDDE52A" w14:textId="77777777" w:rsidR="003F0DB8" w:rsidRDefault="00000000">
            <w:pPr>
              <w:spacing w:after="0" w:line="259" w:lineRule="auto"/>
              <w:ind w:left="0" w:firstLine="0"/>
            </w:pPr>
            <w:r>
              <w:rPr>
                <w:rFonts w:ascii="Calibri" w:eastAsia="Calibri" w:hAnsi="Calibri" w:cs="Calibri"/>
                <w:sz w:val="22"/>
              </w:rPr>
              <w:t xml:space="preserve">Data </w:t>
            </w:r>
          </w:p>
        </w:tc>
        <w:tc>
          <w:tcPr>
            <w:tcW w:w="769" w:type="dxa"/>
            <w:tcBorders>
              <w:top w:val="single" w:sz="2" w:space="0" w:color="FFFFFF"/>
              <w:left w:val="single" w:sz="3" w:space="0" w:color="000000"/>
              <w:bottom w:val="single" w:sz="2" w:space="0" w:color="FFFFFF"/>
              <w:right w:val="single" w:sz="3" w:space="0" w:color="000000"/>
            </w:tcBorders>
          </w:tcPr>
          <w:p w14:paraId="21AD6EC0" w14:textId="77777777" w:rsidR="003F0DB8" w:rsidRDefault="00000000">
            <w:pPr>
              <w:spacing w:after="0" w:line="259" w:lineRule="auto"/>
              <w:ind w:left="0" w:firstLine="0"/>
            </w:pPr>
            <w:r>
              <w:rPr>
                <w:rFonts w:ascii="Calibri" w:eastAsia="Calibri" w:hAnsi="Calibri" w:cs="Calibri"/>
                <w:sz w:val="22"/>
              </w:rPr>
              <w:t xml:space="preserve">Phase 1–2 </w:t>
            </w:r>
          </w:p>
        </w:tc>
        <w:tc>
          <w:tcPr>
            <w:tcW w:w="1832" w:type="dxa"/>
            <w:tcBorders>
              <w:top w:val="single" w:sz="2" w:space="0" w:color="FFFFFF"/>
              <w:left w:val="single" w:sz="3" w:space="0" w:color="000000"/>
              <w:bottom w:val="single" w:sz="2" w:space="0" w:color="FFFFFF"/>
              <w:right w:val="single" w:sz="3" w:space="0" w:color="000000"/>
            </w:tcBorders>
          </w:tcPr>
          <w:p w14:paraId="157E8435" w14:textId="77777777" w:rsidR="003F0DB8" w:rsidRDefault="00000000">
            <w:pPr>
              <w:spacing w:after="0" w:line="259" w:lineRule="auto"/>
              <w:ind w:left="0" w:right="50" w:firstLine="0"/>
              <w:jc w:val="right"/>
            </w:pPr>
            <w:r>
              <w:rPr>
                <w:rFonts w:ascii="Calibri" w:eastAsia="Calibri" w:hAnsi="Calibri" w:cs="Calibri"/>
                <w:sz w:val="22"/>
              </w:rPr>
              <w:t xml:space="preserve">10 </w:t>
            </w:r>
          </w:p>
        </w:tc>
        <w:tc>
          <w:tcPr>
            <w:tcW w:w="1456" w:type="dxa"/>
            <w:tcBorders>
              <w:top w:val="single" w:sz="2" w:space="0" w:color="FFFFFF"/>
              <w:left w:val="single" w:sz="3" w:space="0" w:color="000000"/>
              <w:bottom w:val="single" w:sz="2" w:space="0" w:color="FFFFFF"/>
              <w:right w:val="single" w:sz="3" w:space="0" w:color="000000"/>
            </w:tcBorders>
          </w:tcPr>
          <w:p w14:paraId="31A2B188" w14:textId="77777777" w:rsidR="003F0DB8" w:rsidRDefault="00000000">
            <w:pPr>
              <w:spacing w:after="0" w:line="259" w:lineRule="auto"/>
              <w:ind w:left="0" w:firstLine="0"/>
            </w:pPr>
            <w:r>
              <w:rPr>
                <w:rFonts w:ascii="Calibri" w:eastAsia="Calibri" w:hAnsi="Calibri" w:cs="Calibri"/>
                <w:sz w:val="22"/>
              </w:rPr>
              <w:t xml:space="preserve">D7, D8 </w:t>
            </w:r>
          </w:p>
        </w:tc>
        <w:tc>
          <w:tcPr>
            <w:tcW w:w="6238" w:type="dxa"/>
            <w:tcBorders>
              <w:top w:val="single" w:sz="2" w:space="0" w:color="FFFFFF"/>
              <w:left w:val="single" w:sz="3" w:space="0" w:color="000000"/>
              <w:bottom w:val="single" w:sz="2" w:space="0" w:color="FFFFFF"/>
              <w:right w:val="single" w:sz="3" w:space="0" w:color="000000"/>
            </w:tcBorders>
          </w:tcPr>
          <w:p w14:paraId="498184CC" w14:textId="77777777" w:rsidR="003F0DB8" w:rsidRDefault="00000000">
            <w:pPr>
              <w:spacing w:after="0" w:line="259" w:lineRule="auto"/>
              <w:ind w:left="0" w:firstLine="0"/>
            </w:pPr>
            <w:r>
              <w:rPr>
                <w:rFonts w:ascii="Calibri" w:eastAsia="Calibri" w:hAnsi="Calibri" w:cs="Calibri"/>
                <w:sz w:val="22"/>
              </w:rPr>
              <w:t xml:space="preserve">Recover Purview, apply GDPR retention, embed classification, and standardise encryption across AI services. </w:t>
            </w:r>
          </w:p>
        </w:tc>
      </w:tr>
      <w:tr w:rsidR="003F0DB8" w14:paraId="36D2CF2D" w14:textId="77777777">
        <w:trPr>
          <w:trHeight w:val="1089"/>
        </w:trPr>
        <w:tc>
          <w:tcPr>
            <w:tcW w:w="828" w:type="dxa"/>
            <w:tcBorders>
              <w:top w:val="single" w:sz="2" w:space="0" w:color="FFFFFF"/>
              <w:left w:val="single" w:sz="3" w:space="0" w:color="000000"/>
              <w:bottom w:val="single" w:sz="2" w:space="0" w:color="FFFFFF"/>
              <w:right w:val="single" w:sz="3" w:space="0" w:color="000000"/>
            </w:tcBorders>
          </w:tcPr>
          <w:p w14:paraId="3F79025E" w14:textId="77777777" w:rsidR="003F0DB8" w:rsidRDefault="00000000">
            <w:pPr>
              <w:spacing w:after="0" w:line="259" w:lineRule="auto"/>
              <w:ind w:left="0" w:firstLine="0"/>
            </w:pPr>
            <w:r>
              <w:rPr>
                <w:rFonts w:ascii="Calibri" w:eastAsia="Calibri" w:hAnsi="Calibri" w:cs="Calibri"/>
                <w:sz w:val="22"/>
              </w:rPr>
              <w:t xml:space="preserve">WP15 </w:t>
            </w:r>
          </w:p>
        </w:tc>
        <w:tc>
          <w:tcPr>
            <w:tcW w:w="1496" w:type="dxa"/>
            <w:tcBorders>
              <w:top w:val="single" w:sz="2" w:space="0" w:color="FFFFFF"/>
              <w:left w:val="single" w:sz="3" w:space="0" w:color="000000"/>
              <w:bottom w:val="single" w:sz="2" w:space="0" w:color="FFFFFF"/>
              <w:right w:val="single" w:sz="3" w:space="0" w:color="000000"/>
            </w:tcBorders>
          </w:tcPr>
          <w:p w14:paraId="205CB381" w14:textId="77777777" w:rsidR="003F0DB8" w:rsidRDefault="00000000">
            <w:pPr>
              <w:spacing w:after="0" w:line="259" w:lineRule="auto"/>
              <w:ind w:left="0" w:firstLine="0"/>
            </w:pPr>
            <w:r>
              <w:rPr>
                <w:rFonts w:ascii="Calibri" w:eastAsia="Calibri" w:hAnsi="Calibri" w:cs="Calibri"/>
                <w:sz w:val="22"/>
              </w:rPr>
              <w:t xml:space="preserve">Data &amp; AI </w:t>
            </w:r>
          </w:p>
          <w:p w14:paraId="1F5F3029" w14:textId="77777777" w:rsidR="003F0DB8" w:rsidRDefault="00000000">
            <w:pPr>
              <w:spacing w:after="0" w:line="259" w:lineRule="auto"/>
              <w:ind w:left="0" w:right="11" w:firstLine="0"/>
            </w:pPr>
            <w:r>
              <w:rPr>
                <w:rFonts w:ascii="Calibri" w:eastAsia="Calibri" w:hAnsi="Calibri" w:cs="Calibri"/>
                <w:sz w:val="22"/>
              </w:rPr>
              <w:t xml:space="preserve">Platform Modernisatio n </w:t>
            </w:r>
          </w:p>
        </w:tc>
        <w:tc>
          <w:tcPr>
            <w:tcW w:w="1236" w:type="dxa"/>
            <w:tcBorders>
              <w:top w:val="single" w:sz="2" w:space="0" w:color="FFFFFF"/>
              <w:left w:val="single" w:sz="3" w:space="0" w:color="000000"/>
              <w:bottom w:val="single" w:sz="2" w:space="0" w:color="FFFFFF"/>
              <w:right w:val="single" w:sz="3" w:space="0" w:color="000000"/>
            </w:tcBorders>
          </w:tcPr>
          <w:p w14:paraId="21C755A2" w14:textId="77777777" w:rsidR="003F0DB8" w:rsidRDefault="00000000">
            <w:pPr>
              <w:spacing w:after="0" w:line="259" w:lineRule="auto"/>
              <w:ind w:left="0" w:firstLine="0"/>
            </w:pPr>
            <w:r>
              <w:rPr>
                <w:rFonts w:ascii="Calibri" w:eastAsia="Calibri" w:hAnsi="Calibri" w:cs="Calibri"/>
                <w:sz w:val="22"/>
              </w:rPr>
              <w:t xml:space="preserve">Data </w:t>
            </w:r>
          </w:p>
        </w:tc>
        <w:tc>
          <w:tcPr>
            <w:tcW w:w="769" w:type="dxa"/>
            <w:tcBorders>
              <w:top w:val="single" w:sz="2" w:space="0" w:color="FFFFFF"/>
              <w:left w:val="single" w:sz="3" w:space="0" w:color="000000"/>
              <w:bottom w:val="single" w:sz="2" w:space="0" w:color="FFFFFF"/>
              <w:right w:val="single" w:sz="3" w:space="0" w:color="000000"/>
            </w:tcBorders>
          </w:tcPr>
          <w:p w14:paraId="772CFF4A" w14:textId="77777777" w:rsidR="003F0DB8" w:rsidRDefault="00000000">
            <w:pPr>
              <w:spacing w:after="0" w:line="259" w:lineRule="auto"/>
              <w:ind w:left="0" w:firstLine="0"/>
            </w:pPr>
            <w:r>
              <w:rPr>
                <w:rFonts w:ascii="Calibri" w:eastAsia="Calibri" w:hAnsi="Calibri" w:cs="Calibri"/>
                <w:sz w:val="22"/>
              </w:rPr>
              <w:t xml:space="preserve">Phase 2–3 </w:t>
            </w:r>
          </w:p>
        </w:tc>
        <w:tc>
          <w:tcPr>
            <w:tcW w:w="1832" w:type="dxa"/>
            <w:tcBorders>
              <w:top w:val="single" w:sz="2" w:space="0" w:color="FFFFFF"/>
              <w:left w:val="single" w:sz="3" w:space="0" w:color="000000"/>
              <w:bottom w:val="single" w:sz="2" w:space="0" w:color="FFFFFF"/>
              <w:right w:val="single" w:sz="3" w:space="0" w:color="000000"/>
            </w:tcBorders>
          </w:tcPr>
          <w:p w14:paraId="144AB91D" w14:textId="77777777" w:rsidR="003F0DB8" w:rsidRDefault="00000000">
            <w:pPr>
              <w:spacing w:after="0" w:line="259" w:lineRule="auto"/>
              <w:ind w:left="0" w:right="50" w:firstLine="0"/>
              <w:jc w:val="right"/>
            </w:pPr>
            <w:r>
              <w:rPr>
                <w:rFonts w:ascii="Calibri" w:eastAsia="Calibri" w:hAnsi="Calibri" w:cs="Calibri"/>
                <w:sz w:val="22"/>
              </w:rPr>
              <w:t xml:space="preserve">20 </w:t>
            </w:r>
          </w:p>
        </w:tc>
        <w:tc>
          <w:tcPr>
            <w:tcW w:w="1456" w:type="dxa"/>
            <w:tcBorders>
              <w:top w:val="single" w:sz="2" w:space="0" w:color="FFFFFF"/>
              <w:left w:val="single" w:sz="3" w:space="0" w:color="000000"/>
              <w:bottom w:val="single" w:sz="2" w:space="0" w:color="FFFFFF"/>
              <w:right w:val="single" w:sz="3" w:space="0" w:color="000000"/>
            </w:tcBorders>
          </w:tcPr>
          <w:p w14:paraId="11AC5180" w14:textId="77777777" w:rsidR="003F0DB8" w:rsidRDefault="00000000">
            <w:pPr>
              <w:spacing w:after="0" w:line="259" w:lineRule="auto"/>
              <w:ind w:left="0" w:firstLine="0"/>
            </w:pPr>
            <w:r>
              <w:rPr>
                <w:rFonts w:ascii="Calibri" w:eastAsia="Calibri" w:hAnsi="Calibri" w:cs="Calibri"/>
                <w:sz w:val="22"/>
              </w:rPr>
              <w:t xml:space="preserve">D11, D12 </w:t>
            </w:r>
          </w:p>
        </w:tc>
        <w:tc>
          <w:tcPr>
            <w:tcW w:w="6238" w:type="dxa"/>
            <w:tcBorders>
              <w:top w:val="single" w:sz="2" w:space="0" w:color="FFFFFF"/>
              <w:left w:val="single" w:sz="3" w:space="0" w:color="000000"/>
              <w:bottom w:val="single" w:sz="2" w:space="0" w:color="FFFFFF"/>
              <w:right w:val="single" w:sz="3" w:space="0" w:color="000000"/>
            </w:tcBorders>
          </w:tcPr>
          <w:p w14:paraId="1ABF4550" w14:textId="77777777" w:rsidR="003F0DB8" w:rsidRDefault="00000000">
            <w:pPr>
              <w:spacing w:after="0" w:line="259" w:lineRule="auto"/>
              <w:ind w:left="0" w:firstLine="0"/>
            </w:pPr>
            <w:r>
              <w:rPr>
                <w:rFonts w:ascii="Calibri" w:eastAsia="Calibri" w:hAnsi="Calibri" w:cs="Calibri"/>
                <w:sz w:val="22"/>
              </w:rPr>
              <w:t xml:space="preserve">Target-state architecture, pipeline rationalisation, MLOps, AI exposure strategy, and legacy platform exit. </w:t>
            </w:r>
          </w:p>
        </w:tc>
      </w:tr>
      <w:tr w:rsidR="003F0DB8" w14:paraId="4EB1C211" w14:textId="77777777">
        <w:trPr>
          <w:trHeight w:val="1078"/>
        </w:trPr>
        <w:tc>
          <w:tcPr>
            <w:tcW w:w="828" w:type="dxa"/>
            <w:tcBorders>
              <w:top w:val="single" w:sz="2" w:space="0" w:color="FFFFFF"/>
              <w:left w:val="single" w:sz="3" w:space="0" w:color="000000"/>
              <w:bottom w:val="single" w:sz="3" w:space="0" w:color="000000"/>
              <w:right w:val="single" w:sz="3" w:space="0" w:color="000000"/>
            </w:tcBorders>
          </w:tcPr>
          <w:p w14:paraId="5062C544" w14:textId="77777777" w:rsidR="003F0DB8" w:rsidRDefault="00000000">
            <w:pPr>
              <w:spacing w:after="0" w:line="259" w:lineRule="auto"/>
              <w:ind w:left="0" w:firstLine="0"/>
            </w:pPr>
            <w:r>
              <w:rPr>
                <w:rFonts w:ascii="Calibri" w:eastAsia="Calibri" w:hAnsi="Calibri" w:cs="Calibri"/>
                <w:sz w:val="22"/>
              </w:rPr>
              <w:t xml:space="preserve">WP16 </w:t>
            </w:r>
          </w:p>
        </w:tc>
        <w:tc>
          <w:tcPr>
            <w:tcW w:w="1496" w:type="dxa"/>
            <w:tcBorders>
              <w:top w:val="single" w:sz="2" w:space="0" w:color="FFFFFF"/>
              <w:left w:val="single" w:sz="3" w:space="0" w:color="000000"/>
              <w:bottom w:val="single" w:sz="3" w:space="0" w:color="000000"/>
              <w:right w:val="single" w:sz="3" w:space="0" w:color="000000"/>
            </w:tcBorders>
          </w:tcPr>
          <w:p w14:paraId="7836AC53" w14:textId="77777777" w:rsidR="003F0DB8" w:rsidRDefault="00000000">
            <w:pPr>
              <w:spacing w:after="0" w:line="259" w:lineRule="auto"/>
              <w:ind w:left="0" w:firstLine="0"/>
            </w:pPr>
            <w:r>
              <w:rPr>
                <w:rFonts w:ascii="Calibri" w:eastAsia="Calibri" w:hAnsi="Calibri" w:cs="Calibri"/>
                <w:sz w:val="22"/>
              </w:rPr>
              <w:t xml:space="preserve">Legacy </w:t>
            </w:r>
          </w:p>
          <w:p w14:paraId="647DD832" w14:textId="77777777" w:rsidR="003F0DB8" w:rsidRDefault="00000000">
            <w:pPr>
              <w:spacing w:after="0" w:line="259" w:lineRule="auto"/>
              <w:ind w:left="0" w:firstLine="0"/>
            </w:pPr>
            <w:r>
              <w:rPr>
                <w:rFonts w:ascii="Calibri" w:eastAsia="Calibri" w:hAnsi="Calibri" w:cs="Calibri"/>
                <w:sz w:val="22"/>
              </w:rPr>
              <w:t xml:space="preserve">Workload </w:t>
            </w:r>
          </w:p>
          <w:p w14:paraId="4ADBF3AB" w14:textId="77777777" w:rsidR="003F0DB8" w:rsidRDefault="00000000">
            <w:pPr>
              <w:spacing w:after="0" w:line="259" w:lineRule="auto"/>
              <w:ind w:left="0" w:firstLine="0"/>
            </w:pPr>
            <w:r>
              <w:rPr>
                <w:rFonts w:ascii="Calibri" w:eastAsia="Calibri" w:hAnsi="Calibri" w:cs="Calibri"/>
                <w:sz w:val="22"/>
              </w:rPr>
              <w:t xml:space="preserve">Migration &amp; </w:t>
            </w:r>
          </w:p>
        </w:tc>
        <w:tc>
          <w:tcPr>
            <w:tcW w:w="1236" w:type="dxa"/>
            <w:tcBorders>
              <w:top w:val="single" w:sz="2" w:space="0" w:color="FFFFFF"/>
              <w:left w:val="single" w:sz="3" w:space="0" w:color="000000"/>
              <w:bottom w:val="single" w:sz="3" w:space="0" w:color="000000"/>
              <w:right w:val="single" w:sz="3" w:space="0" w:color="000000"/>
            </w:tcBorders>
          </w:tcPr>
          <w:p w14:paraId="731FCA79" w14:textId="77777777" w:rsidR="003F0DB8" w:rsidRDefault="00000000">
            <w:pPr>
              <w:spacing w:after="0" w:line="259" w:lineRule="auto"/>
              <w:ind w:left="0" w:firstLine="0"/>
            </w:pPr>
            <w:r>
              <w:rPr>
                <w:rFonts w:ascii="Calibri" w:eastAsia="Calibri" w:hAnsi="Calibri" w:cs="Calibri"/>
                <w:sz w:val="22"/>
              </w:rPr>
              <w:t xml:space="preserve">Platform / Workload teams </w:t>
            </w:r>
          </w:p>
        </w:tc>
        <w:tc>
          <w:tcPr>
            <w:tcW w:w="769" w:type="dxa"/>
            <w:tcBorders>
              <w:top w:val="single" w:sz="2" w:space="0" w:color="FFFFFF"/>
              <w:left w:val="single" w:sz="3" w:space="0" w:color="000000"/>
              <w:bottom w:val="single" w:sz="3" w:space="0" w:color="000000"/>
              <w:right w:val="single" w:sz="3" w:space="0" w:color="000000"/>
            </w:tcBorders>
          </w:tcPr>
          <w:p w14:paraId="25A77E9E" w14:textId="77777777" w:rsidR="003F0DB8" w:rsidRDefault="00000000">
            <w:pPr>
              <w:spacing w:after="0" w:line="259" w:lineRule="auto"/>
              <w:ind w:left="0" w:firstLine="0"/>
            </w:pPr>
            <w:r>
              <w:rPr>
                <w:rFonts w:ascii="Calibri" w:eastAsia="Calibri" w:hAnsi="Calibri" w:cs="Calibri"/>
                <w:sz w:val="22"/>
              </w:rPr>
              <w:t xml:space="preserve">Phase 3 </w:t>
            </w:r>
          </w:p>
        </w:tc>
        <w:tc>
          <w:tcPr>
            <w:tcW w:w="1832" w:type="dxa"/>
            <w:tcBorders>
              <w:top w:val="single" w:sz="2" w:space="0" w:color="FFFFFF"/>
              <w:left w:val="single" w:sz="3" w:space="0" w:color="000000"/>
              <w:bottom w:val="single" w:sz="3" w:space="0" w:color="000000"/>
              <w:right w:val="single" w:sz="3" w:space="0" w:color="000000"/>
            </w:tcBorders>
          </w:tcPr>
          <w:p w14:paraId="25B13437" w14:textId="77777777" w:rsidR="003F0DB8" w:rsidRDefault="00000000">
            <w:pPr>
              <w:spacing w:after="0" w:line="259" w:lineRule="auto"/>
              <w:ind w:left="0" w:right="50" w:firstLine="0"/>
              <w:jc w:val="right"/>
            </w:pPr>
            <w:r>
              <w:rPr>
                <w:rFonts w:ascii="Calibri" w:eastAsia="Calibri" w:hAnsi="Calibri" w:cs="Calibri"/>
                <w:sz w:val="22"/>
              </w:rPr>
              <w:t xml:space="preserve">1 </w:t>
            </w:r>
          </w:p>
        </w:tc>
        <w:tc>
          <w:tcPr>
            <w:tcW w:w="1456" w:type="dxa"/>
            <w:tcBorders>
              <w:top w:val="single" w:sz="2" w:space="0" w:color="FFFFFF"/>
              <w:left w:val="single" w:sz="3" w:space="0" w:color="000000"/>
              <w:bottom w:val="single" w:sz="3" w:space="0" w:color="000000"/>
              <w:right w:val="single" w:sz="3" w:space="0" w:color="000000"/>
            </w:tcBorders>
          </w:tcPr>
          <w:p w14:paraId="1A2CDA08" w14:textId="77777777" w:rsidR="003F0DB8" w:rsidRDefault="00000000">
            <w:pPr>
              <w:spacing w:after="0" w:line="259" w:lineRule="auto"/>
              <w:ind w:left="0" w:firstLine="0"/>
            </w:pPr>
            <w:r>
              <w:rPr>
                <w:rFonts w:ascii="Calibri" w:eastAsia="Calibri" w:hAnsi="Calibri" w:cs="Calibri"/>
                <w:sz w:val="22"/>
              </w:rPr>
              <w:t xml:space="preserve">Clears D14 </w:t>
            </w:r>
          </w:p>
        </w:tc>
        <w:tc>
          <w:tcPr>
            <w:tcW w:w="6238" w:type="dxa"/>
            <w:tcBorders>
              <w:top w:val="single" w:sz="2" w:space="0" w:color="FFFFFF"/>
              <w:left w:val="single" w:sz="3" w:space="0" w:color="000000"/>
              <w:bottom w:val="single" w:sz="3" w:space="0" w:color="000000"/>
              <w:right w:val="single" w:sz="3" w:space="0" w:color="000000"/>
            </w:tcBorders>
          </w:tcPr>
          <w:p w14:paraId="45B51349" w14:textId="77777777" w:rsidR="003F0DB8" w:rsidRDefault="00000000">
            <w:pPr>
              <w:spacing w:after="0" w:line="259" w:lineRule="auto"/>
              <w:ind w:left="0" w:right="33" w:firstLine="0"/>
            </w:pPr>
            <w:r>
              <w:rPr>
                <w:rFonts w:ascii="Calibri" w:eastAsia="Calibri" w:hAnsi="Calibri" w:cs="Calibri"/>
                <w:sz w:val="22"/>
              </w:rPr>
              <w:t xml:space="preserve">Migrate or recreate the legacy spokes and workloads onto the new CAF hub and retire the legacy hierarchies. Sequencing ramps: plan and prioritise the runway in Phase 1, run pilots as platform patterns prove out in Phase 2, then execute the bulk migration and </w:t>
            </w:r>
          </w:p>
        </w:tc>
      </w:tr>
      <w:tr w:rsidR="003F0DB8" w14:paraId="4101EF99" w14:textId="77777777">
        <w:trPr>
          <w:trHeight w:val="1886"/>
        </w:trPr>
        <w:tc>
          <w:tcPr>
            <w:tcW w:w="828" w:type="dxa"/>
            <w:tcBorders>
              <w:top w:val="single" w:sz="3" w:space="0" w:color="000000"/>
              <w:left w:val="single" w:sz="3" w:space="0" w:color="000000"/>
              <w:bottom w:val="single" w:sz="3" w:space="0" w:color="000000"/>
              <w:right w:val="single" w:sz="3" w:space="0" w:color="000000"/>
            </w:tcBorders>
          </w:tcPr>
          <w:p w14:paraId="146EEB42" w14:textId="77777777" w:rsidR="003F0DB8" w:rsidRDefault="003F0DB8">
            <w:pPr>
              <w:spacing w:after="160" w:line="259" w:lineRule="auto"/>
              <w:ind w:left="0" w:firstLine="0"/>
            </w:pPr>
          </w:p>
        </w:tc>
        <w:tc>
          <w:tcPr>
            <w:tcW w:w="1496" w:type="dxa"/>
            <w:tcBorders>
              <w:top w:val="single" w:sz="3" w:space="0" w:color="000000"/>
              <w:left w:val="single" w:sz="3" w:space="0" w:color="000000"/>
              <w:bottom w:val="single" w:sz="3" w:space="0" w:color="000000"/>
              <w:right w:val="single" w:sz="3" w:space="0" w:color="000000"/>
            </w:tcBorders>
          </w:tcPr>
          <w:p w14:paraId="7E43F7B9" w14:textId="77777777" w:rsidR="003F0DB8" w:rsidRDefault="00000000">
            <w:pPr>
              <w:spacing w:after="0" w:line="259" w:lineRule="auto"/>
              <w:ind w:left="0" w:firstLine="0"/>
            </w:pPr>
            <w:r>
              <w:rPr>
                <w:rFonts w:ascii="Calibri" w:eastAsia="Calibri" w:hAnsi="Calibri" w:cs="Calibri"/>
                <w:sz w:val="22"/>
              </w:rPr>
              <w:t xml:space="preserve">Estate </w:t>
            </w:r>
          </w:p>
          <w:p w14:paraId="10836F9E" w14:textId="77777777" w:rsidR="003F0DB8" w:rsidRDefault="00000000">
            <w:pPr>
              <w:spacing w:after="0" w:line="259" w:lineRule="auto"/>
              <w:ind w:left="0" w:firstLine="0"/>
            </w:pPr>
            <w:r>
              <w:rPr>
                <w:rFonts w:ascii="Calibri" w:eastAsia="Calibri" w:hAnsi="Calibri" w:cs="Calibri"/>
                <w:sz w:val="22"/>
              </w:rPr>
              <w:t xml:space="preserve">Transition </w:t>
            </w:r>
          </w:p>
        </w:tc>
        <w:tc>
          <w:tcPr>
            <w:tcW w:w="1236" w:type="dxa"/>
            <w:tcBorders>
              <w:top w:val="single" w:sz="3" w:space="0" w:color="000000"/>
              <w:left w:val="single" w:sz="3" w:space="0" w:color="000000"/>
              <w:bottom w:val="single" w:sz="3" w:space="0" w:color="000000"/>
              <w:right w:val="single" w:sz="3" w:space="0" w:color="000000"/>
            </w:tcBorders>
          </w:tcPr>
          <w:p w14:paraId="1D5DBA2C" w14:textId="77777777" w:rsidR="003F0DB8" w:rsidRDefault="003F0DB8">
            <w:pPr>
              <w:spacing w:after="160" w:line="259" w:lineRule="auto"/>
              <w:ind w:left="0" w:firstLine="0"/>
            </w:pPr>
          </w:p>
        </w:tc>
        <w:tc>
          <w:tcPr>
            <w:tcW w:w="769" w:type="dxa"/>
            <w:tcBorders>
              <w:top w:val="single" w:sz="3" w:space="0" w:color="000000"/>
              <w:left w:val="single" w:sz="3" w:space="0" w:color="000000"/>
              <w:bottom w:val="single" w:sz="3" w:space="0" w:color="000000"/>
              <w:right w:val="single" w:sz="3" w:space="0" w:color="000000"/>
            </w:tcBorders>
          </w:tcPr>
          <w:p w14:paraId="2FBBDF2F" w14:textId="77777777" w:rsidR="003F0DB8" w:rsidRDefault="003F0DB8">
            <w:pPr>
              <w:spacing w:after="160" w:line="259" w:lineRule="auto"/>
              <w:ind w:left="0" w:firstLine="0"/>
            </w:pPr>
          </w:p>
        </w:tc>
        <w:tc>
          <w:tcPr>
            <w:tcW w:w="1832" w:type="dxa"/>
            <w:tcBorders>
              <w:top w:val="single" w:sz="3" w:space="0" w:color="000000"/>
              <w:left w:val="single" w:sz="3" w:space="0" w:color="000000"/>
              <w:bottom w:val="single" w:sz="3" w:space="0" w:color="000000"/>
              <w:right w:val="single" w:sz="3" w:space="0" w:color="000000"/>
            </w:tcBorders>
          </w:tcPr>
          <w:p w14:paraId="556DE690" w14:textId="77777777" w:rsidR="003F0DB8" w:rsidRDefault="003F0DB8">
            <w:pPr>
              <w:spacing w:after="160" w:line="259" w:lineRule="auto"/>
              <w:ind w:left="0" w:firstLine="0"/>
            </w:pPr>
          </w:p>
        </w:tc>
        <w:tc>
          <w:tcPr>
            <w:tcW w:w="1456" w:type="dxa"/>
            <w:tcBorders>
              <w:top w:val="single" w:sz="3" w:space="0" w:color="000000"/>
              <w:left w:val="single" w:sz="3" w:space="0" w:color="000000"/>
              <w:bottom w:val="single" w:sz="3" w:space="0" w:color="000000"/>
              <w:right w:val="single" w:sz="3" w:space="0" w:color="000000"/>
            </w:tcBorders>
          </w:tcPr>
          <w:p w14:paraId="74331001" w14:textId="77777777" w:rsidR="003F0DB8" w:rsidRDefault="003F0DB8">
            <w:pPr>
              <w:spacing w:after="160" w:line="259" w:lineRule="auto"/>
              <w:ind w:left="0" w:firstLine="0"/>
            </w:pPr>
          </w:p>
        </w:tc>
        <w:tc>
          <w:tcPr>
            <w:tcW w:w="6238" w:type="dxa"/>
            <w:tcBorders>
              <w:top w:val="single" w:sz="3" w:space="0" w:color="000000"/>
              <w:left w:val="single" w:sz="3" w:space="0" w:color="000000"/>
              <w:bottom w:val="single" w:sz="3" w:space="0" w:color="000000"/>
              <w:right w:val="single" w:sz="3" w:space="0" w:color="000000"/>
            </w:tcBorders>
          </w:tcPr>
          <w:p w14:paraId="65F9F391" w14:textId="77777777" w:rsidR="003F0DB8" w:rsidRDefault="00000000">
            <w:pPr>
              <w:spacing w:after="0" w:line="259" w:lineRule="auto"/>
              <w:ind w:left="0" w:right="11" w:firstLine="0"/>
            </w:pPr>
            <w:r>
              <w:rPr>
                <w:rFonts w:ascii="Calibri" w:eastAsia="Calibri" w:hAnsi="Calibri" w:cs="Calibri"/>
                <w:sz w:val="22"/>
              </w:rPr>
              <w:t xml:space="preserve">legacy retirement in Phase 3. Cannot begin in earnest until the landing zone (WP03), CAF hub (WP07), identity (WP05) and proven hosting patterns (WP11) are in place - which is why execution lands in Phase 3. Clears legacy hub retirement (D14). Note: underrepresented in the 129 recommendations because a health check enumerates findings, not a migration backlog - that backlog is produced in the Design and Implement phase. </w:t>
            </w:r>
          </w:p>
        </w:tc>
      </w:tr>
    </w:tbl>
    <w:p w14:paraId="025185F8" w14:textId="77777777" w:rsidR="003F0DB8" w:rsidRDefault="00000000">
      <w:pPr>
        <w:spacing w:after="229" w:line="259" w:lineRule="auto"/>
        <w:ind w:left="0" w:firstLine="0"/>
      </w:pPr>
      <w:r>
        <w:rPr>
          <w:b/>
          <w:sz w:val="24"/>
        </w:rPr>
        <w:t xml:space="preserve"> </w:t>
      </w:r>
    </w:p>
    <w:p w14:paraId="0C8D3637" w14:textId="77777777" w:rsidR="003F0DB8" w:rsidRDefault="00000000">
      <w:pPr>
        <w:pStyle w:val="Heading1"/>
        <w:ind w:left="-5"/>
      </w:pPr>
      <w:bookmarkStart w:id="94" w:name="_Toc96876"/>
      <w:r>
        <w:t xml:space="preserve">Cross-Workstream Dependencies </w:t>
      </w:r>
      <w:bookmarkEnd w:id="94"/>
    </w:p>
    <w:p w14:paraId="20659B86" w14:textId="77777777" w:rsidR="003F0DB8" w:rsidRDefault="00000000">
      <w:pPr>
        <w:spacing w:after="110" w:line="269" w:lineRule="auto"/>
        <w:ind w:left="10" w:right="3" w:hanging="10"/>
      </w:pPr>
      <w:r>
        <w:rPr>
          <w:sz w:val="24"/>
        </w:rPr>
        <w:t xml:space="preserve">The map below consolidates the dependencies referenced across the three phases into a single sequencing view. These are not sequential steps. Many run in parallel, but each row describes a condition where one activity cannot complete, or should not start, until another is resolved, and the phase in which it is expected to resolve. This is the programme ownership group's primary sequencing tool. </w:t>
      </w:r>
    </w:p>
    <w:p w14:paraId="750C2F58" w14:textId="77777777" w:rsidR="003F0DB8" w:rsidRDefault="00000000">
      <w:pPr>
        <w:spacing w:after="110" w:line="269" w:lineRule="auto"/>
        <w:ind w:left="10" w:right="3" w:hanging="10"/>
      </w:pPr>
      <w:r>
        <w:rPr>
          <w:sz w:val="24"/>
        </w:rPr>
        <w:lastRenderedPageBreak/>
        <w:t xml:space="preserve">Each dependency has two ends, and both are named. The blocked work package, whose activity cannot proceed, and the clearing work package, whose work removes the constraint. Where both ends sit in the same package, the dependency is sequencing within a package. Where they sit in different packages, it is a cross-package dependency, and these are the links drawn between bars on the plan on a page. One dependency, D13, is triggered by an external event, the data centre closure, rather than by another package. </w:t>
      </w:r>
    </w:p>
    <w:p w14:paraId="6F814574" w14:textId="77777777" w:rsidR="003F0DB8" w:rsidRDefault="00000000">
      <w:pPr>
        <w:spacing w:after="172" w:line="269" w:lineRule="auto"/>
        <w:ind w:left="10" w:right="3" w:hanging="10"/>
      </w:pPr>
      <w:r>
        <w:rPr>
          <w:sz w:val="24"/>
        </w:rPr>
        <w:t xml:space="preserve">Of the seventeen dependencies, seven are cross-package, nine resolve within a single package, and one is externally triggered. </w:t>
      </w:r>
    </w:p>
    <w:p w14:paraId="4D526CC0" w14:textId="77777777" w:rsidR="003F0DB8" w:rsidRDefault="00000000">
      <w:pPr>
        <w:pStyle w:val="Heading3"/>
        <w:spacing w:after="0"/>
        <w:ind w:left="-5"/>
      </w:pPr>
      <w:r>
        <w:t xml:space="preserve">Cross-workstream dependency map </w:t>
      </w:r>
    </w:p>
    <w:tbl>
      <w:tblPr>
        <w:tblStyle w:val="TableGrid"/>
        <w:tblW w:w="13851" w:type="dxa"/>
        <w:tblInd w:w="7" w:type="dxa"/>
        <w:tblCellMar>
          <w:top w:w="166" w:type="dxa"/>
          <w:left w:w="105" w:type="dxa"/>
          <w:bottom w:w="0" w:type="dxa"/>
          <w:right w:w="57" w:type="dxa"/>
        </w:tblCellMar>
        <w:tblLook w:val="04A0" w:firstRow="1" w:lastRow="0" w:firstColumn="1" w:lastColumn="0" w:noHBand="0" w:noVBand="1"/>
      </w:tblPr>
      <w:tblGrid>
        <w:gridCol w:w="535"/>
        <w:gridCol w:w="4531"/>
        <w:gridCol w:w="6701"/>
        <w:gridCol w:w="1377"/>
        <w:gridCol w:w="707"/>
      </w:tblGrid>
      <w:tr w:rsidR="003F0DB8" w14:paraId="432CA190" w14:textId="77777777">
        <w:trPr>
          <w:trHeight w:val="483"/>
        </w:trPr>
        <w:tc>
          <w:tcPr>
            <w:tcW w:w="535" w:type="dxa"/>
            <w:tcBorders>
              <w:top w:val="single" w:sz="3" w:space="0" w:color="000000"/>
              <w:left w:val="single" w:sz="3" w:space="0" w:color="000000"/>
              <w:bottom w:val="single" w:sz="2" w:space="0" w:color="FFFFFF"/>
              <w:right w:val="single" w:sz="3" w:space="0" w:color="000000"/>
            </w:tcBorders>
            <w:shd w:val="clear" w:color="auto" w:fill="1F3864"/>
            <w:vAlign w:val="center"/>
          </w:tcPr>
          <w:p w14:paraId="6E22D418" w14:textId="77777777" w:rsidR="003F0DB8" w:rsidRDefault="00000000">
            <w:pPr>
              <w:spacing w:after="0" w:line="259" w:lineRule="auto"/>
              <w:ind w:left="0" w:firstLine="0"/>
            </w:pPr>
            <w:r>
              <w:rPr>
                <w:b/>
                <w:color w:val="FFFFFF"/>
                <w:sz w:val="18"/>
              </w:rPr>
              <w:t xml:space="preserve">Ref </w:t>
            </w:r>
          </w:p>
        </w:tc>
        <w:tc>
          <w:tcPr>
            <w:tcW w:w="4531" w:type="dxa"/>
            <w:tcBorders>
              <w:top w:val="single" w:sz="3" w:space="0" w:color="000000"/>
              <w:left w:val="single" w:sz="3" w:space="0" w:color="000000"/>
              <w:bottom w:val="single" w:sz="2" w:space="0" w:color="FFFFFF"/>
              <w:right w:val="single" w:sz="3" w:space="0" w:color="000000"/>
            </w:tcBorders>
            <w:shd w:val="clear" w:color="auto" w:fill="1F3864"/>
            <w:vAlign w:val="center"/>
          </w:tcPr>
          <w:p w14:paraId="492F8E76" w14:textId="77777777" w:rsidR="003F0DB8" w:rsidRDefault="00000000">
            <w:pPr>
              <w:spacing w:after="0" w:line="259" w:lineRule="auto"/>
              <w:ind w:left="5" w:firstLine="0"/>
            </w:pPr>
            <w:r>
              <w:rPr>
                <w:b/>
                <w:color w:val="FFFFFF"/>
                <w:sz w:val="18"/>
              </w:rPr>
              <w:t xml:space="preserve">Blocked activity (package) </w:t>
            </w:r>
          </w:p>
        </w:tc>
        <w:tc>
          <w:tcPr>
            <w:tcW w:w="6701" w:type="dxa"/>
            <w:tcBorders>
              <w:top w:val="single" w:sz="3" w:space="0" w:color="000000"/>
              <w:left w:val="single" w:sz="3" w:space="0" w:color="000000"/>
              <w:bottom w:val="single" w:sz="2" w:space="0" w:color="FFFFFF"/>
              <w:right w:val="single" w:sz="3" w:space="0" w:color="000000"/>
            </w:tcBorders>
            <w:shd w:val="clear" w:color="auto" w:fill="1F3864"/>
            <w:vAlign w:val="center"/>
          </w:tcPr>
          <w:p w14:paraId="40791484" w14:textId="77777777" w:rsidR="003F0DB8" w:rsidRDefault="00000000">
            <w:pPr>
              <w:spacing w:after="0" w:line="259" w:lineRule="auto"/>
              <w:ind w:left="3" w:firstLine="0"/>
            </w:pPr>
            <w:r>
              <w:rPr>
                <w:b/>
                <w:color w:val="FFFFFF"/>
                <w:sz w:val="18"/>
              </w:rPr>
              <w:t xml:space="preserve">Depends on or trigger (package) </w:t>
            </w:r>
          </w:p>
        </w:tc>
        <w:tc>
          <w:tcPr>
            <w:tcW w:w="1377" w:type="dxa"/>
            <w:tcBorders>
              <w:top w:val="single" w:sz="3" w:space="0" w:color="000000"/>
              <w:left w:val="single" w:sz="3" w:space="0" w:color="000000"/>
              <w:bottom w:val="single" w:sz="2" w:space="0" w:color="FFFFFF"/>
              <w:right w:val="single" w:sz="3" w:space="0" w:color="000000"/>
            </w:tcBorders>
            <w:shd w:val="clear" w:color="auto" w:fill="1F3864"/>
            <w:vAlign w:val="center"/>
          </w:tcPr>
          <w:p w14:paraId="0014E905" w14:textId="77777777" w:rsidR="003F0DB8" w:rsidRDefault="00000000">
            <w:pPr>
              <w:spacing w:after="0" w:line="259" w:lineRule="auto"/>
              <w:ind w:left="3" w:firstLine="0"/>
            </w:pPr>
            <w:r>
              <w:rPr>
                <w:b/>
                <w:color w:val="FFFFFF"/>
                <w:sz w:val="18"/>
              </w:rPr>
              <w:t xml:space="preserve">Type </w:t>
            </w:r>
          </w:p>
        </w:tc>
        <w:tc>
          <w:tcPr>
            <w:tcW w:w="707" w:type="dxa"/>
            <w:tcBorders>
              <w:top w:val="single" w:sz="3" w:space="0" w:color="000000"/>
              <w:left w:val="single" w:sz="3" w:space="0" w:color="000000"/>
              <w:bottom w:val="single" w:sz="2" w:space="0" w:color="FFFFFF"/>
              <w:right w:val="single" w:sz="3" w:space="0" w:color="000000"/>
            </w:tcBorders>
            <w:shd w:val="clear" w:color="auto" w:fill="1F3864"/>
            <w:vAlign w:val="center"/>
          </w:tcPr>
          <w:p w14:paraId="3D3C08DB" w14:textId="77777777" w:rsidR="003F0DB8" w:rsidRDefault="00000000">
            <w:pPr>
              <w:spacing w:after="0" w:line="259" w:lineRule="auto"/>
              <w:ind w:left="3" w:firstLine="0"/>
            </w:pPr>
            <w:r>
              <w:rPr>
                <w:b/>
                <w:color w:val="FFFFFF"/>
                <w:sz w:val="18"/>
              </w:rPr>
              <w:t xml:space="preserve">Phase </w:t>
            </w:r>
          </w:p>
        </w:tc>
      </w:tr>
      <w:tr w:rsidR="003F0DB8" w14:paraId="1268055B" w14:textId="77777777">
        <w:trPr>
          <w:trHeight w:val="769"/>
        </w:trPr>
        <w:tc>
          <w:tcPr>
            <w:tcW w:w="535" w:type="dxa"/>
            <w:tcBorders>
              <w:top w:val="single" w:sz="2" w:space="0" w:color="FFFFFF"/>
              <w:left w:val="single" w:sz="3" w:space="0" w:color="000000"/>
              <w:bottom w:val="single" w:sz="2" w:space="0" w:color="FFFFFF"/>
              <w:right w:val="single" w:sz="3" w:space="0" w:color="000000"/>
            </w:tcBorders>
          </w:tcPr>
          <w:p w14:paraId="223ED6EC" w14:textId="77777777" w:rsidR="003F0DB8" w:rsidRDefault="00000000">
            <w:pPr>
              <w:spacing w:after="0" w:line="259" w:lineRule="auto"/>
              <w:ind w:left="0" w:firstLine="0"/>
            </w:pPr>
            <w:r>
              <w:rPr>
                <w:sz w:val="18"/>
              </w:rPr>
              <w:t xml:space="preserve">D1 </w:t>
            </w:r>
          </w:p>
        </w:tc>
        <w:tc>
          <w:tcPr>
            <w:tcW w:w="4531" w:type="dxa"/>
            <w:tcBorders>
              <w:top w:val="single" w:sz="2" w:space="0" w:color="FFFFFF"/>
              <w:left w:val="single" w:sz="3" w:space="0" w:color="000000"/>
              <w:bottom w:val="single" w:sz="2" w:space="0" w:color="FFFFFF"/>
              <w:right w:val="single" w:sz="3" w:space="0" w:color="000000"/>
            </w:tcBorders>
          </w:tcPr>
          <w:p w14:paraId="5FC7EBC2" w14:textId="77777777" w:rsidR="003F0DB8" w:rsidRDefault="00000000">
            <w:pPr>
              <w:spacing w:after="0" w:line="259" w:lineRule="auto"/>
              <w:ind w:left="5" w:firstLine="0"/>
            </w:pPr>
            <w:r>
              <w:rPr>
                <w:sz w:val="18"/>
              </w:rPr>
              <w:t xml:space="preserve">Tenant-wide policy enforcement (WP04) </w:t>
            </w:r>
          </w:p>
        </w:tc>
        <w:tc>
          <w:tcPr>
            <w:tcW w:w="6701" w:type="dxa"/>
            <w:tcBorders>
              <w:top w:val="single" w:sz="2" w:space="0" w:color="FFFFFF"/>
              <w:left w:val="single" w:sz="3" w:space="0" w:color="000000"/>
              <w:bottom w:val="single" w:sz="2" w:space="0" w:color="FFFFFF"/>
              <w:right w:val="single" w:sz="3" w:space="0" w:color="000000"/>
            </w:tcBorders>
            <w:vAlign w:val="center"/>
          </w:tcPr>
          <w:p w14:paraId="13AC4B05" w14:textId="77777777" w:rsidR="003F0DB8" w:rsidRDefault="00000000">
            <w:pPr>
              <w:spacing w:after="16" w:line="259" w:lineRule="auto"/>
              <w:ind w:left="3" w:firstLine="0"/>
            </w:pPr>
            <w:r>
              <w:rPr>
                <w:sz w:val="18"/>
              </w:rPr>
              <w:t xml:space="preserve">Move the two bootstrap subscriptions into the Platform and Management group </w:t>
            </w:r>
          </w:p>
          <w:p w14:paraId="53C6B49D" w14:textId="77777777" w:rsidR="003F0DB8" w:rsidRDefault="00000000">
            <w:pPr>
              <w:spacing w:after="0" w:line="259" w:lineRule="auto"/>
              <w:ind w:left="3" w:firstLine="0"/>
            </w:pPr>
            <w:r>
              <w:rPr>
                <w:sz w:val="18"/>
              </w:rPr>
              <w:t xml:space="preserve">(WP03) </w:t>
            </w:r>
          </w:p>
        </w:tc>
        <w:tc>
          <w:tcPr>
            <w:tcW w:w="1377" w:type="dxa"/>
            <w:tcBorders>
              <w:top w:val="single" w:sz="2" w:space="0" w:color="FFFFFF"/>
              <w:left w:val="single" w:sz="3" w:space="0" w:color="000000"/>
              <w:bottom w:val="single" w:sz="2" w:space="0" w:color="FFFFFF"/>
              <w:right w:val="single" w:sz="3" w:space="0" w:color="000000"/>
            </w:tcBorders>
            <w:vAlign w:val="center"/>
          </w:tcPr>
          <w:p w14:paraId="090BD4EA" w14:textId="77777777" w:rsidR="003F0DB8" w:rsidRDefault="00000000">
            <w:pPr>
              <w:spacing w:after="0" w:line="259" w:lineRule="auto"/>
              <w:ind w:left="3" w:right="49" w:firstLine="0"/>
            </w:pPr>
            <w:r>
              <w:rPr>
                <w:sz w:val="18"/>
              </w:rPr>
              <w:t xml:space="preserve">Crosspackage </w:t>
            </w:r>
          </w:p>
        </w:tc>
        <w:tc>
          <w:tcPr>
            <w:tcW w:w="707" w:type="dxa"/>
            <w:tcBorders>
              <w:top w:val="single" w:sz="2" w:space="0" w:color="FFFFFF"/>
              <w:left w:val="single" w:sz="3" w:space="0" w:color="000000"/>
              <w:bottom w:val="single" w:sz="2" w:space="0" w:color="FFFFFF"/>
              <w:right w:val="single" w:sz="3" w:space="0" w:color="000000"/>
            </w:tcBorders>
          </w:tcPr>
          <w:p w14:paraId="25F3BB5F" w14:textId="77777777" w:rsidR="003F0DB8" w:rsidRDefault="00000000">
            <w:pPr>
              <w:spacing w:after="0" w:line="259" w:lineRule="auto"/>
              <w:ind w:left="3" w:firstLine="0"/>
            </w:pPr>
            <w:r>
              <w:rPr>
                <w:sz w:val="18"/>
              </w:rPr>
              <w:t xml:space="preserve">1 </w:t>
            </w:r>
          </w:p>
        </w:tc>
      </w:tr>
      <w:tr w:rsidR="003F0DB8" w14:paraId="0D1F63CB" w14:textId="77777777">
        <w:trPr>
          <w:trHeight w:val="758"/>
        </w:trPr>
        <w:tc>
          <w:tcPr>
            <w:tcW w:w="535" w:type="dxa"/>
            <w:tcBorders>
              <w:top w:val="single" w:sz="2" w:space="0" w:color="FFFFFF"/>
              <w:left w:val="single" w:sz="3" w:space="0" w:color="000000"/>
              <w:bottom w:val="single" w:sz="3" w:space="0" w:color="000000"/>
              <w:right w:val="single" w:sz="3" w:space="0" w:color="000000"/>
            </w:tcBorders>
          </w:tcPr>
          <w:p w14:paraId="3BA21F5E" w14:textId="77777777" w:rsidR="003F0DB8" w:rsidRDefault="00000000">
            <w:pPr>
              <w:spacing w:after="0" w:line="259" w:lineRule="auto"/>
              <w:ind w:left="0" w:firstLine="0"/>
            </w:pPr>
            <w:r>
              <w:rPr>
                <w:sz w:val="18"/>
              </w:rPr>
              <w:t xml:space="preserve">D2 </w:t>
            </w:r>
          </w:p>
        </w:tc>
        <w:tc>
          <w:tcPr>
            <w:tcW w:w="4531" w:type="dxa"/>
            <w:tcBorders>
              <w:top w:val="single" w:sz="2" w:space="0" w:color="FFFFFF"/>
              <w:left w:val="single" w:sz="3" w:space="0" w:color="000000"/>
              <w:bottom w:val="single" w:sz="3" w:space="0" w:color="000000"/>
              <w:right w:val="single" w:sz="3" w:space="0" w:color="000000"/>
            </w:tcBorders>
            <w:vAlign w:val="center"/>
          </w:tcPr>
          <w:p w14:paraId="559A3289" w14:textId="77777777" w:rsidR="003F0DB8" w:rsidRDefault="00000000">
            <w:pPr>
              <w:spacing w:after="16" w:line="259" w:lineRule="auto"/>
              <w:ind w:left="5" w:firstLine="0"/>
            </w:pPr>
            <w:r>
              <w:rPr>
                <w:sz w:val="18"/>
              </w:rPr>
              <w:t xml:space="preserve">Subscription migration into the new CAF hierarchy </w:t>
            </w:r>
          </w:p>
          <w:p w14:paraId="1791A65C" w14:textId="77777777" w:rsidR="003F0DB8" w:rsidRDefault="00000000">
            <w:pPr>
              <w:spacing w:after="0" w:line="259" w:lineRule="auto"/>
              <w:ind w:left="5" w:firstLine="0"/>
            </w:pPr>
            <w:r>
              <w:rPr>
                <w:sz w:val="18"/>
              </w:rPr>
              <w:t xml:space="preserve">(WP03) </w:t>
            </w:r>
          </w:p>
        </w:tc>
        <w:tc>
          <w:tcPr>
            <w:tcW w:w="6701" w:type="dxa"/>
            <w:tcBorders>
              <w:top w:val="single" w:sz="2" w:space="0" w:color="FFFFFF"/>
              <w:left w:val="single" w:sz="3" w:space="0" w:color="000000"/>
              <w:bottom w:val="single" w:sz="3" w:space="0" w:color="000000"/>
              <w:right w:val="single" w:sz="3" w:space="0" w:color="000000"/>
            </w:tcBorders>
          </w:tcPr>
          <w:p w14:paraId="49A7E32D" w14:textId="77777777" w:rsidR="003F0DB8" w:rsidRDefault="00000000">
            <w:pPr>
              <w:spacing w:after="0" w:line="259" w:lineRule="auto"/>
              <w:ind w:left="3" w:firstLine="0"/>
            </w:pPr>
            <w:r>
              <w:rPr>
                <w:sz w:val="18"/>
              </w:rPr>
              <w:t xml:space="preserve">Freeze new placement under the legacy and old-CAF hierarchies (WP03) </w:t>
            </w:r>
          </w:p>
        </w:tc>
        <w:tc>
          <w:tcPr>
            <w:tcW w:w="1377" w:type="dxa"/>
            <w:tcBorders>
              <w:top w:val="single" w:sz="2" w:space="0" w:color="FFFFFF"/>
              <w:left w:val="single" w:sz="3" w:space="0" w:color="000000"/>
              <w:bottom w:val="single" w:sz="3" w:space="0" w:color="000000"/>
              <w:right w:val="single" w:sz="3" w:space="0" w:color="000000"/>
            </w:tcBorders>
            <w:vAlign w:val="center"/>
          </w:tcPr>
          <w:p w14:paraId="48C30153" w14:textId="77777777" w:rsidR="003F0DB8" w:rsidRDefault="00000000">
            <w:pPr>
              <w:spacing w:after="0" w:line="259" w:lineRule="auto"/>
              <w:ind w:left="3" w:firstLine="0"/>
            </w:pPr>
            <w:r>
              <w:rPr>
                <w:sz w:val="18"/>
              </w:rPr>
              <w:t xml:space="preserve">Within package </w:t>
            </w:r>
          </w:p>
        </w:tc>
        <w:tc>
          <w:tcPr>
            <w:tcW w:w="707" w:type="dxa"/>
            <w:tcBorders>
              <w:top w:val="single" w:sz="2" w:space="0" w:color="FFFFFF"/>
              <w:left w:val="single" w:sz="3" w:space="0" w:color="000000"/>
              <w:bottom w:val="single" w:sz="3" w:space="0" w:color="000000"/>
              <w:right w:val="single" w:sz="3" w:space="0" w:color="000000"/>
            </w:tcBorders>
          </w:tcPr>
          <w:p w14:paraId="7C16AE08" w14:textId="77777777" w:rsidR="003F0DB8" w:rsidRDefault="00000000">
            <w:pPr>
              <w:spacing w:after="0" w:line="259" w:lineRule="auto"/>
              <w:ind w:left="3" w:firstLine="0"/>
            </w:pPr>
            <w:r>
              <w:rPr>
                <w:sz w:val="18"/>
              </w:rPr>
              <w:t xml:space="preserve">1 </w:t>
            </w:r>
          </w:p>
        </w:tc>
      </w:tr>
    </w:tbl>
    <w:p w14:paraId="08441208" w14:textId="77777777" w:rsidR="003F0DB8" w:rsidRDefault="003F0DB8">
      <w:pPr>
        <w:spacing w:after="0" w:line="259" w:lineRule="auto"/>
        <w:ind w:left="-1441" w:right="15298" w:firstLine="0"/>
      </w:pPr>
    </w:p>
    <w:tbl>
      <w:tblPr>
        <w:tblStyle w:val="TableGrid"/>
        <w:tblW w:w="13855" w:type="dxa"/>
        <w:tblInd w:w="4" w:type="dxa"/>
        <w:tblCellMar>
          <w:top w:w="166" w:type="dxa"/>
          <w:left w:w="108" w:type="dxa"/>
          <w:bottom w:w="0" w:type="dxa"/>
          <w:right w:w="63" w:type="dxa"/>
        </w:tblCellMar>
        <w:tblLook w:val="04A0" w:firstRow="1" w:lastRow="0" w:firstColumn="1" w:lastColumn="0" w:noHBand="0" w:noVBand="1"/>
      </w:tblPr>
      <w:tblGrid>
        <w:gridCol w:w="540"/>
        <w:gridCol w:w="4529"/>
        <w:gridCol w:w="6701"/>
        <w:gridCol w:w="1377"/>
        <w:gridCol w:w="708"/>
      </w:tblGrid>
      <w:tr w:rsidR="003F0DB8" w14:paraId="579D5B08" w14:textId="77777777">
        <w:trPr>
          <w:trHeight w:val="764"/>
        </w:trPr>
        <w:tc>
          <w:tcPr>
            <w:tcW w:w="540" w:type="dxa"/>
            <w:tcBorders>
              <w:top w:val="single" w:sz="3" w:space="0" w:color="000000"/>
              <w:left w:val="single" w:sz="3" w:space="0" w:color="000000"/>
              <w:bottom w:val="single" w:sz="2" w:space="0" w:color="FFFFFF"/>
              <w:right w:val="single" w:sz="3" w:space="0" w:color="000000"/>
            </w:tcBorders>
          </w:tcPr>
          <w:p w14:paraId="3674619F" w14:textId="77777777" w:rsidR="003F0DB8" w:rsidRDefault="00000000">
            <w:pPr>
              <w:spacing w:after="0" w:line="259" w:lineRule="auto"/>
              <w:ind w:left="0" w:firstLine="0"/>
            </w:pPr>
            <w:r>
              <w:rPr>
                <w:sz w:val="18"/>
              </w:rPr>
              <w:t xml:space="preserve">D3 </w:t>
            </w:r>
          </w:p>
        </w:tc>
        <w:tc>
          <w:tcPr>
            <w:tcW w:w="4529" w:type="dxa"/>
            <w:tcBorders>
              <w:top w:val="single" w:sz="3" w:space="0" w:color="000000"/>
              <w:left w:val="single" w:sz="3" w:space="0" w:color="000000"/>
              <w:bottom w:val="single" w:sz="2" w:space="0" w:color="FFFFFF"/>
              <w:right w:val="single" w:sz="3" w:space="0" w:color="000000"/>
            </w:tcBorders>
          </w:tcPr>
          <w:p w14:paraId="29D1EAC1" w14:textId="77777777" w:rsidR="003F0DB8" w:rsidRDefault="00000000">
            <w:pPr>
              <w:spacing w:after="0" w:line="259" w:lineRule="auto"/>
              <w:ind w:left="0" w:firstLine="0"/>
            </w:pPr>
            <w:r>
              <w:rPr>
                <w:sz w:val="18"/>
              </w:rPr>
              <w:t xml:space="preserve">FinOps showback model (WP12) </w:t>
            </w:r>
          </w:p>
        </w:tc>
        <w:tc>
          <w:tcPr>
            <w:tcW w:w="6701" w:type="dxa"/>
            <w:tcBorders>
              <w:top w:val="single" w:sz="3" w:space="0" w:color="000000"/>
              <w:left w:val="single" w:sz="3" w:space="0" w:color="000000"/>
              <w:bottom w:val="single" w:sz="2" w:space="0" w:color="FFFFFF"/>
              <w:right w:val="single" w:sz="3" w:space="0" w:color="000000"/>
            </w:tcBorders>
          </w:tcPr>
          <w:p w14:paraId="7527A75B" w14:textId="77777777" w:rsidR="003F0DB8" w:rsidRDefault="00000000">
            <w:pPr>
              <w:spacing w:after="0" w:line="259" w:lineRule="auto"/>
              <w:ind w:left="0" w:firstLine="0"/>
            </w:pPr>
            <w:r>
              <w:rPr>
                <w:sz w:val="18"/>
              </w:rPr>
              <w:t xml:space="preserve">Rename tag keys to the canonical names via Modify policy (WP03) </w:t>
            </w:r>
          </w:p>
        </w:tc>
        <w:tc>
          <w:tcPr>
            <w:tcW w:w="1377" w:type="dxa"/>
            <w:tcBorders>
              <w:top w:val="single" w:sz="3" w:space="0" w:color="000000"/>
              <w:left w:val="single" w:sz="3" w:space="0" w:color="000000"/>
              <w:bottom w:val="single" w:sz="2" w:space="0" w:color="FFFFFF"/>
              <w:right w:val="single" w:sz="3" w:space="0" w:color="000000"/>
            </w:tcBorders>
            <w:vAlign w:val="center"/>
          </w:tcPr>
          <w:p w14:paraId="0D4C4593" w14:textId="77777777" w:rsidR="003F0DB8" w:rsidRDefault="00000000">
            <w:pPr>
              <w:spacing w:after="0" w:line="259" w:lineRule="auto"/>
              <w:ind w:left="0" w:right="44" w:firstLine="0"/>
            </w:pPr>
            <w:r>
              <w:rPr>
                <w:sz w:val="18"/>
              </w:rPr>
              <w:t xml:space="preserve">Crosspackage </w:t>
            </w:r>
          </w:p>
        </w:tc>
        <w:tc>
          <w:tcPr>
            <w:tcW w:w="708" w:type="dxa"/>
            <w:tcBorders>
              <w:top w:val="single" w:sz="3" w:space="0" w:color="000000"/>
              <w:left w:val="single" w:sz="3" w:space="0" w:color="000000"/>
              <w:bottom w:val="single" w:sz="2" w:space="0" w:color="FFFFFF"/>
              <w:right w:val="single" w:sz="3" w:space="0" w:color="000000"/>
            </w:tcBorders>
          </w:tcPr>
          <w:p w14:paraId="4215C117" w14:textId="77777777" w:rsidR="003F0DB8" w:rsidRDefault="00000000">
            <w:pPr>
              <w:spacing w:after="0" w:line="259" w:lineRule="auto"/>
              <w:ind w:left="0" w:firstLine="0"/>
            </w:pPr>
            <w:r>
              <w:rPr>
                <w:sz w:val="18"/>
              </w:rPr>
              <w:t xml:space="preserve">1 </w:t>
            </w:r>
          </w:p>
        </w:tc>
      </w:tr>
      <w:tr w:rsidR="003F0DB8" w14:paraId="4DBD920A" w14:textId="77777777">
        <w:trPr>
          <w:trHeight w:val="769"/>
        </w:trPr>
        <w:tc>
          <w:tcPr>
            <w:tcW w:w="540" w:type="dxa"/>
            <w:tcBorders>
              <w:top w:val="single" w:sz="2" w:space="0" w:color="FFFFFF"/>
              <w:left w:val="single" w:sz="3" w:space="0" w:color="000000"/>
              <w:bottom w:val="single" w:sz="2" w:space="0" w:color="FFFFFF"/>
              <w:right w:val="single" w:sz="3" w:space="0" w:color="000000"/>
            </w:tcBorders>
          </w:tcPr>
          <w:p w14:paraId="4ABA2D47" w14:textId="77777777" w:rsidR="003F0DB8" w:rsidRDefault="00000000">
            <w:pPr>
              <w:spacing w:after="0" w:line="259" w:lineRule="auto"/>
              <w:ind w:left="0" w:firstLine="0"/>
            </w:pPr>
            <w:r>
              <w:rPr>
                <w:sz w:val="18"/>
              </w:rPr>
              <w:t xml:space="preserve">D4 </w:t>
            </w:r>
          </w:p>
        </w:tc>
        <w:tc>
          <w:tcPr>
            <w:tcW w:w="4529" w:type="dxa"/>
            <w:tcBorders>
              <w:top w:val="single" w:sz="2" w:space="0" w:color="FFFFFF"/>
              <w:left w:val="single" w:sz="3" w:space="0" w:color="000000"/>
              <w:bottom w:val="single" w:sz="2" w:space="0" w:color="FFFFFF"/>
              <w:right w:val="single" w:sz="3" w:space="0" w:color="000000"/>
            </w:tcBorders>
          </w:tcPr>
          <w:p w14:paraId="6367E1CB" w14:textId="77777777" w:rsidR="003F0DB8" w:rsidRDefault="00000000">
            <w:pPr>
              <w:spacing w:after="0" w:line="259" w:lineRule="auto"/>
              <w:ind w:left="0" w:firstLine="0"/>
            </w:pPr>
            <w:r>
              <w:rPr>
                <w:sz w:val="18"/>
              </w:rPr>
              <w:t xml:space="preserve">Stale account cleanup (WP05) </w:t>
            </w:r>
          </w:p>
        </w:tc>
        <w:tc>
          <w:tcPr>
            <w:tcW w:w="6701" w:type="dxa"/>
            <w:tcBorders>
              <w:top w:val="single" w:sz="2" w:space="0" w:color="FFFFFF"/>
              <w:left w:val="single" w:sz="3" w:space="0" w:color="000000"/>
              <w:bottom w:val="single" w:sz="2" w:space="0" w:color="FFFFFF"/>
              <w:right w:val="single" w:sz="3" w:space="0" w:color="000000"/>
            </w:tcBorders>
            <w:vAlign w:val="center"/>
          </w:tcPr>
          <w:p w14:paraId="234E2342" w14:textId="77777777" w:rsidR="003F0DB8" w:rsidRDefault="00000000">
            <w:pPr>
              <w:spacing w:after="16" w:line="259" w:lineRule="auto"/>
              <w:ind w:left="0" w:firstLine="0"/>
            </w:pPr>
            <w:r>
              <w:rPr>
                <w:sz w:val="18"/>
              </w:rPr>
              <w:t xml:space="preserve">Migrate user-identity flows to managed identities and complete access reviews </w:t>
            </w:r>
          </w:p>
          <w:p w14:paraId="07AB4DC8" w14:textId="77777777" w:rsidR="003F0DB8" w:rsidRDefault="00000000">
            <w:pPr>
              <w:spacing w:after="0" w:line="259" w:lineRule="auto"/>
              <w:ind w:left="0" w:firstLine="0"/>
            </w:pPr>
            <w:r>
              <w:rPr>
                <w:sz w:val="18"/>
              </w:rPr>
              <w:t xml:space="preserve">(WP05) </w:t>
            </w:r>
          </w:p>
        </w:tc>
        <w:tc>
          <w:tcPr>
            <w:tcW w:w="1377" w:type="dxa"/>
            <w:tcBorders>
              <w:top w:val="single" w:sz="2" w:space="0" w:color="FFFFFF"/>
              <w:left w:val="single" w:sz="3" w:space="0" w:color="000000"/>
              <w:bottom w:val="single" w:sz="2" w:space="0" w:color="FFFFFF"/>
              <w:right w:val="single" w:sz="3" w:space="0" w:color="000000"/>
            </w:tcBorders>
            <w:vAlign w:val="center"/>
          </w:tcPr>
          <w:p w14:paraId="51D3AAFA" w14:textId="77777777" w:rsidR="003F0DB8" w:rsidRDefault="00000000">
            <w:pPr>
              <w:spacing w:after="0" w:line="259" w:lineRule="auto"/>
              <w:ind w:left="0" w:firstLine="0"/>
            </w:pPr>
            <w:r>
              <w:rPr>
                <w:sz w:val="18"/>
              </w:rPr>
              <w:t xml:space="preserve">Within package </w:t>
            </w:r>
          </w:p>
        </w:tc>
        <w:tc>
          <w:tcPr>
            <w:tcW w:w="708" w:type="dxa"/>
            <w:tcBorders>
              <w:top w:val="single" w:sz="2" w:space="0" w:color="FFFFFF"/>
              <w:left w:val="single" w:sz="3" w:space="0" w:color="000000"/>
              <w:bottom w:val="single" w:sz="2" w:space="0" w:color="FFFFFF"/>
              <w:right w:val="single" w:sz="3" w:space="0" w:color="000000"/>
            </w:tcBorders>
          </w:tcPr>
          <w:p w14:paraId="405310F0" w14:textId="77777777" w:rsidR="003F0DB8" w:rsidRDefault="00000000">
            <w:pPr>
              <w:spacing w:after="0" w:line="259" w:lineRule="auto"/>
              <w:ind w:left="0" w:firstLine="0"/>
            </w:pPr>
            <w:r>
              <w:rPr>
                <w:sz w:val="18"/>
              </w:rPr>
              <w:t xml:space="preserve">1-2 </w:t>
            </w:r>
          </w:p>
        </w:tc>
      </w:tr>
      <w:tr w:rsidR="003F0DB8" w14:paraId="5C2FED01" w14:textId="77777777">
        <w:trPr>
          <w:trHeight w:val="764"/>
        </w:trPr>
        <w:tc>
          <w:tcPr>
            <w:tcW w:w="540" w:type="dxa"/>
            <w:tcBorders>
              <w:top w:val="single" w:sz="2" w:space="0" w:color="FFFFFF"/>
              <w:left w:val="single" w:sz="3" w:space="0" w:color="000000"/>
              <w:bottom w:val="single" w:sz="2" w:space="0" w:color="FFFFFF"/>
              <w:right w:val="single" w:sz="3" w:space="0" w:color="000000"/>
            </w:tcBorders>
          </w:tcPr>
          <w:p w14:paraId="7C987514" w14:textId="77777777" w:rsidR="003F0DB8" w:rsidRDefault="00000000">
            <w:pPr>
              <w:spacing w:after="0" w:line="259" w:lineRule="auto"/>
              <w:ind w:left="0" w:firstLine="0"/>
            </w:pPr>
            <w:r>
              <w:rPr>
                <w:sz w:val="18"/>
              </w:rPr>
              <w:t xml:space="preserve">D5 </w:t>
            </w:r>
          </w:p>
        </w:tc>
        <w:tc>
          <w:tcPr>
            <w:tcW w:w="4529" w:type="dxa"/>
            <w:tcBorders>
              <w:top w:val="single" w:sz="2" w:space="0" w:color="FFFFFF"/>
              <w:left w:val="single" w:sz="3" w:space="0" w:color="000000"/>
              <w:bottom w:val="single" w:sz="2" w:space="0" w:color="FFFFFF"/>
              <w:right w:val="single" w:sz="3" w:space="0" w:color="000000"/>
            </w:tcBorders>
          </w:tcPr>
          <w:p w14:paraId="7FD06C3C" w14:textId="77777777" w:rsidR="003F0DB8" w:rsidRDefault="00000000">
            <w:pPr>
              <w:spacing w:after="0" w:line="259" w:lineRule="auto"/>
              <w:ind w:left="0" w:firstLine="0"/>
            </w:pPr>
            <w:r>
              <w:rPr>
                <w:sz w:val="18"/>
              </w:rPr>
              <w:t xml:space="preserve">Removal of KPMG access from AIS Production (WP02) </w:t>
            </w:r>
          </w:p>
        </w:tc>
        <w:tc>
          <w:tcPr>
            <w:tcW w:w="6701" w:type="dxa"/>
            <w:tcBorders>
              <w:top w:val="single" w:sz="2" w:space="0" w:color="FFFFFF"/>
              <w:left w:val="single" w:sz="3" w:space="0" w:color="000000"/>
              <w:bottom w:val="single" w:sz="2" w:space="0" w:color="FFFFFF"/>
              <w:right w:val="single" w:sz="3" w:space="0" w:color="000000"/>
            </w:tcBorders>
          </w:tcPr>
          <w:p w14:paraId="79D53041" w14:textId="77777777" w:rsidR="003F0DB8" w:rsidRDefault="00000000">
            <w:pPr>
              <w:spacing w:after="0" w:line="259" w:lineRule="auto"/>
              <w:ind w:left="0" w:firstLine="0"/>
            </w:pPr>
            <w:r>
              <w:rPr>
                <w:sz w:val="18"/>
              </w:rPr>
              <w:t xml:space="preserve">Map dependencies on the legacy KPMG Entra ID group and NSG rules (WP02) </w:t>
            </w:r>
          </w:p>
        </w:tc>
        <w:tc>
          <w:tcPr>
            <w:tcW w:w="1377" w:type="dxa"/>
            <w:tcBorders>
              <w:top w:val="single" w:sz="2" w:space="0" w:color="FFFFFF"/>
              <w:left w:val="single" w:sz="3" w:space="0" w:color="000000"/>
              <w:bottom w:val="single" w:sz="2" w:space="0" w:color="FFFFFF"/>
              <w:right w:val="single" w:sz="3" w:space="0" w:color="000000"/>
            </w:tcBorders>
            <w:vAlign w:val="center"/>
          </w:tcPr>
          <w:p w14:paraId="02A93490" w14:textId="77777777" w:rsidR="003F0DB8" w:rsidRDefault="00000000">
            <w:pPr>
              <w:spacing w:after="0" w:line="259" w:lineRule="auto"/>
              <w:ind w:left="0" w:firstLine="0"/>
            </w:pPr>
            <w:r>
              <w:rPr>
                <w:sz w:val="18"/>
              </w:rPr>
              <w:t xml:space="preserve">Within package </w:t>
            </w:r>
          </w:p>
        </w:tc>
        <w:tc>
          <w:tcPr>
            <w:tcW w:w="708" w:type="dxa"/>
            <w:tcBorders>
              <w:top w:val="single" w:sz="2" w:space="0" w:color="FFFFFF"/>
              <w:left w:val="single" w:sz="3" w:space="0" w:color="000000"/>
              <w:bottom w:val="single" w:sz="2" w:space="0" w:color="FFFFFF"/>
              <w:right w:val="single" w:sz="3" w:space="0" w:color="000000"/>
            </w:tcBorders>
          </w:tcPr>
          <w:p w14:paraId="30523109" w14:textId="77777777" w:rsidR="003F0DB8" w:rsidRDefault="00000000">
            <w:pPr>
              <w:spacing w:after="0" w:line="259" w:lineRule="auto"/>
              <w:ind w:left="0" w:firstLine="0"/>
            </w:pPr>
            <w:r>
              <w:rPr>
                <w:sz w:val="18"/>
              </w:rPr>
              <w:t xml:space="preserve">1 </w:t>
            </w:r>
          </w:p>
        </w:tc>
      </w:tr>
      <w:tr w:rsidR="003F0DB8" w14:paraId="441F7FBE" w14:textId="77777777">
        <w:trPr>
          <w:trHeight w:val="764"/>
        </w:trPr>
        <w:tc>
          <w:tcPr>
            <w:tcW w:w="540" w:type="dxa"/>
            <w:tcBorders>
              <w:top w:val="single" w:sz="2" w:space="0" w:color="FFFFFF"/>
              <w:left w:val="single" w:sz="3" w:space="0" w:color="000000"/>
              <w:bottom w:val="single" w:sz="2" w:space="0" w:color="FFFFFF"/>
              <w:right w:val="single" w:sz="3" w:space="0" w:color="000000"/>
            </w:tcBorders>
          </w:tcPr>
          <w:p w14:paraId="35A41BD3" w14:textId="77777777" w:rsidR="003F0DB8" w:rsidRDefault="00000000">
            <w:pPr>
              <w:spacing w:after="0" w:line="259" w:lineRule="auto"/>
              <w:ind w:left="0" w:firstLine="0"/>
            </w:pPr>
            <w:r>
              <w:rPr>
                <w:sz w:val="18"/>
              </w:rPr>
              <w:lastRenderedPageBreak/>
              <w:t xml:space="preserve">D6 </w:t>
            </w:r>
          </w:p>
        </w:tc>
        <w:tc>
          <w:tcPr>
            <w:tcW w:w="4529" w:type="dxa"/>
            <w:tcBorders>
              <w:top w:val="single" w:sz="2" w:space="0" w:color="FFFFFF"/>
              <w:left w:val="single" w:sz="3" w:space="0" w:color="000000"/>
              <w:bottom w:val="single" w:sz="2" w:space="0" w:color="FFFFFF"/>
              <w:right w:val="single" w:sz="3" w:space="0" w:color="000000"/>
            </w:tcBorders>
          </w:tcPr>
          <w:p w14:paraId="73CC4D09" w14:textId="77777777" w:rsidR="003F0DB8" w:rsidRDefault="00000000">
            <w:pPr>
              <w:spacing w:after="0" w:line="259" w:lineRule="auto"/>
              <w:ind w:left="0" w:firstLine="0"/>
            </w:pPr>
            <w:r>
              <w:rPr>
                <w:sz w:val="18"/>
              </w:rPr>
              <w:t xml:space="preserve">Reduction of Defender for API cost (WP12) </w:t>
            </w:r>
          </w:p>
        </w:tc>
        <w:tc>
          <w:tcPr>
            <w:tcW w:w="6701" w:type="dxa"/>
            <w:tcBorders>
              <w:top w:val="single" w:sz="2" w:space="0" w:color="FFFFFF"/>
              <w:left w:val="single" w:sz="3" w:space="0" w:color="000000"/>
              <w:bottom w:val="single" w:sz="2" w:space="0" w:color="FFFFFF"/>
              <w:right w:val="single" w:sz="3" w:space="0" w:color="000000"/>
            </w:tcBorders>
          </w:tcPr>
          <w:p w14:paraId="7FB434DF" w14:textId="77777777" w:rsidR="003F0DB8" w:rsidRDefault="00000000">
            <w:pPr>
              <w:spacing w:after="0" w:line="259" w:lineRule="auto"/>
              <w:ind w:left="0" w:firstLine="0"/>
            </w:pPr>
            <w:r>
              <w:rPr>
                <w:sz w:val="18"/>
              </w:rPr>
              <w:t xml:space="preserve">Fix the APIM rate-limiting condition (WP13) </w:t>
            </w:r>
          </w:p>
        </w:tc>
        <w:tc>
          <w:tcPr>
            <w:tcW w:w="1377" w:type="dxa"/>
            <w:tcBorders>
              <w:top w:val="single" w:sz="2" w:space="0" w:color="FFFFFF"/>
              <w:left w:val="single" w:sz="3" w:space="0" w:color="000000"/>
              <w:bottom w:val="single" w:sz="2" w:space="0" w:color="FFFFFF"/>
              <w:right w:val="single" w:sz="3" w:space="0" w:color="000000"/>
            </w:tcBorders>
            <w:vAlign w:val="center"/>
          </w:tcPr>
          <w:p w14:paraId="3F5D50B7" w14:textId="77777777" w:rsidR="003F0DB8" w:rsidRDefault="00000000">
            <w:pPr>
              <w:spacing w:after="0" w:line="259" w:lineRule="auto"/>
              <w:ind w:left="0" w:right="44" w:firstLine="0"/>
            </w:pPr>
            <w:r>
              <w:rPr>
                <w:sz w:val="18"/>
              </w:rPr>
              <w:t xml:space="preserve">Crosspackage </w:t>
            </w:r>
          </w:p>
        </w:tc>
        <w:tc>
          <w:tcPr>
            <w:tcW w:w="708" w:type="dxa"/>
            <w:tcBorders>
              <w:top w:val="single" w:sz="2" w:space="0" w:color="FFFFFF"/>
              <w:left w:val="single" w:sz="3" w:space="0" w:color="000000"/>
              <w:bottom w:val="single" w:sz="2" w:space="0" w:color="FFFFFF"/>
              <w:right w:val="single" w:sz="3" w:space="0" w:color="000000"/>
            </w:tcBorders>
          </w:tcPr>
          <w:p w14:paraId="79EE4023" w14:textId="77777777" w:rsidR="003F0DB8" w:rsidRDefault="00000000">
            <w:pPr>
              <w:spacing w:after="0" w:line="259" w:lineRule="auto"/>
              <w:ind w:left="0" w:firstLine="0"/>
            </w:pPr>
            <w:r>
              <w:rPr>
                <w:sz w:val="18"/>
              </w:rPr>
              <w:t xml:space="preserve">2 </w:t>
            </w:r>
          </w:p>
        </w:tc>
      </w:tr>
      <w:tr w:rsidR="003F0DB8" w14:paraId="78CD24B4" w14:textId="77777777">
        <w:trPr>
          <w:trHeight w:val="764"/>
        </w:trPr>
        <w:tc>
          <w:tcPr>
            <w:tcW w:w="540" w:type="dxa"/>
            <w:tcBorders>
              <w:top w:val="single" w:sz="2" w:space="0" w:color="FFFFFF"/>
              <w:left w:val="single" w:sz="3" w:space="0" w:color="000000"/>
              <w:bottom w:val="single" w:sz="2" w:space="0" w:color="FFFFFF"/>
              <w:right w:val="single" w:sz="3" w:space="0" w:color="000000"/>
            </w:tcBorders>
          </w:tcPr>
          <w:p w14:paraId="07746DC6" w14:textId="77777777" w:rsidR="003F0DB8" w:rsidRDefault="00000000">
            <w:pPr>
              <w:spacing w:after="0" w:line="259" w:lineRule="auto"/>
              <w:ind w:left="0" w:firstLine="0"/>
            </w:pPr>
            <w:r>
              <w:rPr>
                <w:sz w:val="18"/>
              </w:rPr>
              <w:t xml:space="preserve">D7 </w:t>
            </w:r>
          </w:p>
        </w:tc>
        <w:tc>
          <w:tcPr>
            <w:tcW w:w="4529" w:type="dxa"/>
            <w:tcBorders>
              <w:top w:val="single" w:sz="2" w:space="0" w:color="FFFFFF"/>
              <w:left w:val="single" w:sz="3" w:space="0" w:color="000000"/>
              <w:bottom w:val="single" w:sz="2" w:space="0" w:color="FFFFFF"/>
              <w:right w:val="single" w:sz="3" w:space="0" w:color="000000"/>
            </w:tcBorders>
          </w:tcPr>
          <w:p w14:paraId="18A3FEED" w14:textId="77777777" w:rsidR="003F0DB8" w:rsidRDefault="00000000">
            <w:pPr>
              <w:spacing w:after="0" w:line="259" w:lineRule="auto"/>
              <w:ind w:left="0" w:firstLine="0"/>
            </w:pPr>
            <w:r>
              <w:rPr>
                <w:sz w:val="18"/>
              </w:rPr>
              <w:t xml:space="preserve">Sensitivity label propagation into Fabric (WP15) </w:t>
            </w:r>
          </w:p>
        </w:tc>
        <w:tc>
          <w:tcPr>
            <w:tcW w:w="6701" w:type="dxa"/>
            <w:tcBorders>
              <w:top w:val="single" w:sz="2" w:space="0" w:color="FFFFFF"/>
              <w:left w:val="single" w:sz="3" w:space="0" w:color="000000"/>
              <w:bottom w:val="single" w:sz="2" w:space="0" w:color="FFFFFF"/>
              <w:right w:val="single" w:sz="3" w:space="0" w:color="000000"/>
            </w:tcBorders>
          </w:tcPr>
          <w:p w14:paraId="66779433" w14:textId="77777777" w:rsidR="003F0DB8" w:rsidRDefault="00000000">
            <w:pPr>
              <w:spacing w:after="0" w:line="259" w:lineRule="auto"/>
              <w:ind w:left="0" w:firstLine="0"/>
            </w:pPr>
            <w:r>
              <w:rPr>
                <w:sz w:val="18"/>
              </w:rPr>
              <w:t xml:space="preserve">Recover Purview production access and migrate to the new portal (WP14) </w:t>
            </w:r>
          </w:p>
        </w:tc>
        <w:tc>
          <w:tcPr>
            <w:tcW w:w="1377" w:type="dxa"/>
            <w:tcBorders>
              <w:top w:val="single" w:sz="2" w:space="0" w:color="FFFFFF"/>
              <w:left w:val="single" w:sz="3" w:space="0" w:color="000000"/>
              <w:bottom w:val="single" w:sz="2" w:space="0" w:color="FFFFFF"/>
              <w:right w:val="single" w:sz="3" w:space="0" w:color="000000"/>
            </w:tcBorders>
            <w:vAlign w:val="center"/>
          </w:tcPr>
          <w:p w14:paraId="147D5B05" w14:textId="77777777" w:rsidR="003F0DB8" w:rsidRDefault="00000000">
            <w:pPr>
              <w:spacing w:after="0" w:line="259" w:lineRule="auto"/>
              <w:ind w:left="0" w:right="44" w:firstLine="0"/>
            </w:pPr>
            <w:r>
              <w:rPr>
                <w:sz w:val="18"/>
              </w:rPr>
              <w:t xml:space="preserve">Crosspackage </w:t>
            </w:r>
          </w:p>
        </w:tc>
        <w:tc>
          <w:tcPr>
            <w:tcW w:w="708" w:type="dxa"/>
            <w:tcBorders>
              <w:top w:val="single" w:sz="2" w:space="0" w:color="FFFFFF"/>
              <w:left w:val="single" w:sz="3" w:space="0" w:color="000000"/>
              <w:bottom w:val="single" w:sz="2" w:space="0" w:color="FFFFFF"/>
              <w:right w:val="single" w:sz="3" w:space="0" w:color="000000"/>
            </w:tcBorders>
          </w:tcPr>
          <w:p w14:paraId="28199746" w14:textId="77777777" w:rsidR="003F0DB8" w:rsidRDefault="00000000">
            <w:pPr>
              <w:spacing w:after="0" w:line="259" w:lineRule="auto"/>
              <w:ind w:left="0" w:firstLine="0"/>
            </w:pPr>
            <w:r>
              <w:rPr>
                <w:sz w:val="18"/>
              </w:rPr>
              <w:t xml:space="preserve">1 </w:t>
            </w:r>
          </w:p>
        </w:tc>
      </w:tr>
      <w:tr w:rsidR="003F0DB8" w14:paraId="4ECF4CAC" w14:textId="77777777">
        <w:trPr>
          <w:trHeight w:val="765"/>
        </w:trPr>
        <w:tc>
          <w:tcPr>
            <w:tcW w:w="540" w:type="dxa"/>
            <w:tcBorders>
              <w:top w:val="single" w:sz="2" w:space="0" w:color="FFFFFF"/>
              <w:left w:val="single" w:sz="3" w:space="0" w:color="000000"/>
              <w:bottom w:val="single" w:sz="2" w:space="0" w:color="FFFFFF"/>
              <w:right w:val="single" w:sz="3" w:space="0" w:color="000000"/>
            </w:tcBorders>
          </w:tcPr>
          <w:p w14:paraId="71060A25" w14:textId="77777777" w:rsidR="003F0DB8" w:rsidRDefault="00000000">
            <w:pPr>
              <w:spacing w:after="0" w:line="259" w:lineRule="auto"/>
              <w:ind w:left="0" w:firstLine="0"/>
            </w:pPr>
            <w:r>
              <w:rPr>
                <w:sz w:val="18"/>
              </w:rPr>
              <w:t xml:space="preserve">D8 </w:t>
            </w:r>
          </w:p>
        </w:tc>
        <w:tc>
          <w:tcPr>
            <w:tcW w:w="4529" w:type="dxa"/>
            <w:tcBorders>
              <w:top w:val="single" w:sz="2" w:space="0" w:color="FFFFFF"/>
              <w:left w:val="single" w:sz="3" w:space="0" w:color="000000"/>
              <w:bottom w:val="single" w:sz="2" w:space="0" w:color="FFFFFF"/>
              <w:right w:val="single" w:sz="3" w:space="0" w:color="000000"/>
            </w:tcBorders>
          </w:tcPr>
          <w:p w14:paraId="0FC017EB" w14:textId="77777777" w:rsidR="003F0DB8" w:rsidRDefault="00000000">
            <w:pPr>
              <w:spacing w:after="0" w:line="259" w:lineRule="auto"/>
              <w:ind w:left="0" w:firstLine="0"/>
            </w:pPr>
            <w:r>
              <w:rPr>
                <w:sz w:val="18"/>
              </w:rPr>
              <w:t xml:space="preserve">Interim SA retention compliance (WP14) </w:t>
            </w:r>
          </w:p>
        </w:tc>
        <w:tc>
          <w:tcPr>
            <w:tcW w:w="6701" w:type="dxa"/>
            <w:tcBorders>
              <w:top w:val="single" w:sz="2" w:space="0" w:color="FFFFFF"/>
              <w:left w:val="single" w:sz="3" w:space="0" w:color="000000"/>
              <w:bottom w:val="single" w:sz="2" w:space="0" w:color="FFFFFF"/>
              <w:right w:val="single" w:sz="3" w:space="0" w:color="000000"/>
            </w:tcBorders>
          </w:tcPr>
          <w:p w14:paraId="57624A31" w14:textId="77777777" w:rsidR="003F0DB8" w:rsidRDefault="00000000">
            <w:pPr>
              <w:spacing w:after="0" w:line="259" w:lineRule="auto"/>
              <w:ind w:left="0" w:firstLine="0"/>
            </w:pPr>
            <w:r>
              <w:rPr>
                <w:sz w:val="18"/>
              </w:rPr>
              <w:t xml:space="preserve">Apply retention policies to the Interim SA and ESR-bearing storage (WP14) </w:t>
            </w:r>
          </w:p>
        </w:tc>
        <w:tc>
          <w:tcPr>
            <w:tcW w:w="1377" w:type="dxa"/>
            <w:tcBorders>
              <w:top w:val="single" w:sz="2" w:space="0" w:color="FFFFFF"/>
              <w:left w:val="single" w:sz="3" w:space="0" w:color="000000"/>
              <w:bottom w:val="single" w:sz="2" w:space="0" w:color="FFFFFF"/>
              <w:right w:val="single" w:sz="3" w:space="0" w:color="000000"/>
            </w:tcBorders>
            <w:vAlign w:val="center"/>
          </w:tcPr>
          <w:p w14:paraId="70C52000" w14:textId="77777777" w:rsidR="003F0DB8" w:rsidRDefault="00000000">
            <w:pPr>
              <w:spacing w:after="0" w:line="259" w:lineRule="auto"/>
              <w:ind w:left="0" w:firstLine="0"/>
            </w:pPr>
            <w:r>
              <w:rPr>
                <w:sz w:val="18"/>
              </w:rPr>
              <w:t xml:space="preserve">Within package </w:t>
            </w:r>
          </w:p>
        </w:tc>
        <w:tc>
          <w:tcPr>
            <w:tcW w:w="708" w:type="dxa"/>
            <w:tcBorders>
              <w:top w:val="single" w:sz="2" w:space="0" w:color="FFFFFF"/>
              <w:left w:val="single" w:sz="3" w:space="0" w:color="000000"/>
              <w:bottom w:val="single" w:sz="2" w:space="0" w:color="FFFFFF"/>
              <w:right w:val="single" w:sz="3" w:space="0" w:color="000000"/>
            </w:tcBorders>
          </w:tcPr>
          <w:p w14:paraId="556996E9" w14:textId="77777777" w:rsidR="003F0DB8" w:rsidRDefault="00000000">
            <w:pPr>
              <w:spacing w:after="0" w:line="259" w:lineRule="auto"/>
              <w:ind w:left="0" w:firstLine="0"/>
            </w:pPr>
            <w:r>
              <w:rPr>
                <w:sz w:val="18"/>
              </w:rPr>
              <w:t xml:space="preserve">1 </w:t>
            </w:r>
          </w:p>
        </w:tc>
      </w:tr>
      <w:tr w:rsidR="003F0DB8" w14:paraId="3FF857CC" w14:textId="77777777">
        <w:trPr>
          <w:trHeight w:val="764"/>
        </w:trPr>
        <w:tc>
          <w:tcPr>
            <w:tcW w:w="540" w:type="dxa"/>
            <w:tcBorders>
              <w:top w:val="single" w:sz="2" w:space="0" w:color="FFFFFF"/>
              <w:left w:val="single" w:sz="3" w:space="0" w:color="000000"/>
              <w:bottom w:val="single" w:sz="2" w:space="0" w:color="FFFFFF"/>
              <w:right w:val="single" w:sz="3" w:space="0" w:color="000000"/>
            </w:tcBorders>
          </w:tcPr>
          <w:p w14:paraId="01BD4F22" w14:textId="77777777" w:rsidR="003F0DB8" w:rsidRDefault="00000000">
            <w:pPr>
              <w:spacing w:after="0" w:line="259" w:lineRule="auto"/>
              <w:ind w:left="0" w:firstLine="0"/>
            </w:pPr>
            <w:r>
              <w:rPr>
                <w:sz w:val="18"/>
              </w:rPr>
              <w:t xml:space="preserve">D9 </w:t>
            </w:r>
          </w:p>
        </w:tc>
        <w:tc>
          <w:tcPr>
            <w:tcW w:w="4529" w:type="dxa"/>
            <w:tcBorders>
              <w:top w:val="single" w:sz="2" w:space="0" w:color="FFFFFF"/>
              <w:left w:val="single" w:sz="3" w:space="0" w:color="000000"/>
              <w:bottom w:val="single" w:sz="2" w:space="0" w:color="FFFFFF"/>
              <w:right w:val="single" w:sz="3" w:space="0" w:color="000000"/>
            </w:tcBorders>
          </w:tcPr>
          <w:p w14:paraId="56918D5D" w14:textId="77777777" w:rsidR="003F0DB8" w:rsidRDefault="00000000">
            <w:pPr>
              <w:spacing w:after="0" w:line="259" w:lineRule="auto"/>
              <w:ind w:left="0" w:firstLine="0"/>
            </w:pPr>
            <w:r>
              <w:rPr>
                <w:sz w:val="18"/>
              </w:rPr>
              <w:t xml:space="preserve">AIS environment parity (WP13) </w:t>
            </w:r>
          </w:p>
        </w:tc>
        <w:tc>
          <w:tcPr>
            <w:tcW w:w="6701" w:type="dxa"/>
            <w:tcBorders>
              <w:top w:val="single" w:sz="2" w:space="0" w:color="FFFFFF"/>
              <w:left w:val="single" w:sz="3" w:space="0" w:color="000000"/>
              <w:bottom w:val="single" w:sz="2" w:space="0" w:color="FFFFFF"/>
              <w:right w:val="single" w:sz="3" w:space="0" w:color="000000"/>
            </w:tcBorders>
          </w:tcPr>
          <w:p w14:paraId="28E9039A" w14:textId="77777777" w:rsidR="003F0DB8" w:rsidRDefault="00000000">
            <w:pPr>
              <w:spacing w:after="0" w:line="259" w:lineRule="auto"/>
              <w:ind w:left="0" w:firstLine="0"/>
            </w:pPr>
            <w:r>
              <w:rPr>
                <w:sz w:val="18"/>
              </w:rPr>
              <w:t xml:space="preserve">Close the V1 and V2 code-base divergence as part of the AIS rebuild (WP13) </w:t>
            </w:r>
          </w:p>
        </w:tc>
        <w:tc>
          <w:tcPr>
            <w:tcW w:w="1377" w:type="dxa"/>
            <w:tcBorders>
              <w:top w:val="single" w:sz="2" w:space="0" w:color="FFFFFF"/>
              <w:left w:val="single" w:sz="3" w:space="0" w:color="000000"/>
              <w:bottom w:val="single" w:sz="2" w:space="0" w:color="FFFFFF"/>
              <w:right w:val="single" w:sz="3" w:space="0" w:color="000000"/>
            </w:tcBorders>
            <w:vAlign w:val="center"/>
          </w:tcPr>
          <w:p w14:paraId="0E3BFB1F" w14:textId="77777777" w:rsidR="003F0DB8" w:rsidRDefault="00000000">
            <w:pPr>
              <w:spacing w:after="0" w:line="259" w:lineRule="auto"/>
              <w:ind w:left="0" w:firstLine="0"/>
            </w:pPr>
            <w:r>
              <w:rPr>
                <w:sz w:val="18"/>
              </w:rPr>
              <w:t xml:space="preserve">Within package </w:t>
            </w:r>
          </w:p>
        </w:tc>
        <w:tc>
          <w:tcPr>
            <w:tcW w:w="708" w:type="dxa"/>
            <w:tcBorders>
              <w:top w:val="single" w:sz="2" w:space="0" w:color="FFFFFF"/>
              <w:left w:val="single" w:sz="3" w:space="0" w:color="000000"/>
              <w:bottom w:val="single" w:sz="2" w:space="0" w:color="FFFFFF"/>
              <w:right w:val="single" w:sz="3" w:space="0" w:color="000000"/>
            </w:tcBorders>
          </w:tcPr>
          <w:p w14:paraId="2E1D9560" w14:textId="77777777" w:rsidR="003F0DB8" w:rsidRDefault="00000000">
            <w:pPr>
              <w:spacing w:after="0" w:line="259" w:lineRule="auto"/>
              <w:ind w:left="0" w:firstLine="0"/>
            </w:pPr>
            <w:r>
              <w:rPr>
                <w:sz w:val="18"/>
              </w:rPr>
              <w:t xml:space="preserve">2 </w:t>
            </w:r>
          </w:p>
        </w:tc>
      </w:tr>
      <w:tr w:rsidR="003F0DB8" w14:paraId="3EE7D95D" w14:textId="77777777">
        <w:trPr>
          <w:trHeight w:val="768"/>
        </w:trPr>
        <w:tc>
          <w:tcPr>
            <w:tcW w:w="540" w:type="dxa"/>
            <w:tcBorders>
              <w:top w:val="single" w:sz="2" w:space="0" w:color="FFFFFF"/>
              <w:left w:val="single" w:sz="3" w:space="0" w:color="000000"/>
              <w:bottom w:val="single" w:sz="2" w:space="0" w:color="FFFFFF"/>
              <w:right w:val="single" w:sz="3" w:space="0" w:color="000000"/>
            </w:tcBorders>
          </w:tcPr>
          <w:p w14:paraId="354CF15F" w14:textId="77777777" w:rsidR="003F0DB8" w:rsidRDefault="00000000">
            <w:pPr>
              <w:spacing w:after="0" w:line="259" w:lineRule="auto"/>
              <w:ind w:left="0" w:firstLine="0"/>
            </w:pPr>
            <w:r>
              <w:rPr>
                <w:sz w:val="18"/>
              </w:rPr>
              <w:t xml:space="preserve">D10 </w:t>
            </w:r>
          </w:p>
        </w:tc>
        <w:tc>
          <w:tcPr>
            <w:tcW w:w="4529" w:type="dxa"/>
            <w:tcBorders>
              <w:top w:val="single" w:sz="2" w:space="0" w:color="FFFFFF"/>
              <w:left w:val="single" w:sz="3" w:space="0" w:color="000000"/>
              <w:bottom w:val="single" w:sz="2" w:space="0" w:color="FFFFFF"/>
              <w:right w:val="single" w:sz="3" w:space="0" w:color="000000"/>
            </w:tcBorders>
            <w:vAlign w:val="center"/>
          </w:tcPr>
          <w:p w14:paraId="63D48F31" w14:textId="77777777" w:rsidR="003F0DB8" w:rsidRDefault="00000000">
            <w:pPr>
              <w:spacing w:after="16" w:line="259" w:lineRule="auto"/>
              <w:ind w:left="0" w:firstLine="0"/>
            </w:pPr>
            <w:r>
              <w:rPr>
                <w:sz w:val="18"/>
              </w:rPr>
              <w:t xml:space="preserve">Retirement of the DevOps vending request route </w:t>
            </w:r>
          </w:p>
          <w:p w14:paraId="6C864827" w14:textId="77777777" w:rsidR="003F0DB8" w:rsidRDefault="00000000">
            <w:pPr>
              <w:spacing w:after="0" w:line="259" w:lineRule="auto"/>
              <w:ind w:left="0" w:firstLine="0"/>
            </w:pPr>
            <w:r>
              <w:rPr>
                <w:sz w:val="18"/>
              </w:rPr>
              <w:t xml:space="preserve">(WP03) </w:t>
            </w:r>
          </w:p>
        </w:tc>
        <w:tc>
          <w:tcPr>
            <w:tcW w:w="6701" w:type="dxa"/>
            <w:tcBorders>
              <w:top w:val="single" w:sz="2" w:space="0" w:color="FFFFFF"/>
              <w:left w:val="single" w:sz="3" w:space="0" w:color="000000"/>
              <w:bottom w:val="single" w:sz="2" w:space="0" w:color="FFFFFF"/>
              <w:right w:val="single" w:sz="3" w:space="0" w:color="000000"/>
            </w:tcBorders>
          </w:tcPr>
          <w:p w14:paraId="768AFBF2" w14:textId="77777777" w:rsidR="003F0DB8" w:rsidRDefault="00000000">
            <w:pPr>
              <w:spacing w:after="0" w:line="259" w:lineRule="auto"/>
              <w:ind w:left="0" w:firstLine="0"/>
            </w:pPr>
            <w:r>
              <w:rPr>
                <w:sz w:val="18"/>
              </w:rPr>
              <w:t xml:space="preserve">ServiceNow vending intake form live and tested (WP03) </w:t>
            </w:r>
          </w:p>
        </w:tc>
        <w:tc>
          <w:tcPr>
            <w:tcW w:w="1377" w:type="dxa"/>
            <w:tcBorders>
              <w:top w:val="single" w:sz="2" w:space="0" w:color="FFFFFF"/>
              <w:left w:val="single" w:sz="3" w:space="0" w:color="000000"/>
              <w:bottom w:val="single" w:sz="2" w:space="0" w:color="FFFFFF"/>
              <w:right w:val="single" w:sz="3" w:space="0" w:color="000000"/>
            </w:tcBorders>
            <w:vAlign w:val="center"/>
          </w:tcPr>
          <w:p w14:paraId="4CF075D0" w14:textId="77777777" w:rsidR="003F0DB8" w:rsidRDefault="00000000">
            <w:pPr>
              <w:spacing w:after="0" w:line="259" w:lineRule="auto"/>
              <w:ind w:left="0" w:firstLine="0"/>
            </w:pPr>
            <w:r>
              <w:rPr>
                <w:sz w:val="18"/>
              </w:rPr>
              <w:t xml:space="preserve">Within package </w:t>
            </w:r>
          </w:p>
        </w:tc>
        <w:tc>
          <w:tcPr>
            <w:tcW w:w="708" w:type="dxa"/>
            <w:tcBorders>
              <w:top w:val="single" w:sz="2" w:space="0" w:color="FFFFFF"/>
              <w:left w:val="single" w:sz="3" w:space="0" w:color="000000"/>
              <w:bottom w:val="single" w:sz="2" w:space="0" w:color="FFFFFF"/>
              <w:right w:val="single" w:sz="3" w:space="0" w:color="000000"/>
            </w:tcBorders>
          </w:tcPr>
          <w:p w14:paraId="3FE492FD" w14:textId="77777777" w:rsidR="003F0DB8" w:rsidRDefault="00000000">
            <w:pPr>
              <w:spacing w:after="0" w:line="259" w:lineRule="auto"/>
              <w:ind w:left="0" w:firstLine="0"/>
            </w:pPr>
            <w:r>
              <w:rPr>
                <w:sz w:val="18"/>
              </w:rPr>
              <w:t xml:space="preserve">1-2 </w:t>
            </w:r>
          </w:p>
        </w:tc>
      </w:tr>
      <w:tr w:rsidR="003F0DB8" w14:paraId="11F277F1" w14:textId="77777777">
        <w:trPr>
          <w:trHeight w:val="764"/>
        </w:trPr>
        <w:tc>
          <w:tcPr>
            <w:tcW w:w="540" w:type="dxa"/>
            <w:tcBorders>
              <w:top w:val="single" w:sz="2" w:space="0" w:color="FFFFFF"/>
              <w:left w:val="single" w:sz="3" w:space="0" w:color="000000"/>
              <w:bottom w:val="single" w:sz="2" w:space="0" w:color="FFFFFF"/>
              <w:right w:val="single" w:sz="3" w:space="0" w:color="000000"/>
            </w:tcBorders>
          </w:tcPr>
          <w:p w14:paraId="5F8A9C60" w14:textId="77777777" w:rsidR="003F0DB8" w:rsidRDefault="00000000">
            <w:pPr>
              <w:spacing w:after="0" w:line="259" w:lineRule="auto"/>
              <w:ind w:left="0" w:firstLine="0"/>
            </w:pPr>
            <w:r>
              <w:rPr>
                <w:sz w:val="18"/>
              </w:rPr>
              <w:t xml:space="preserve">D11 </w:t>
            </w:r>
          </w:p>
        </w:tc>
        <w:tc>
          <w:tcPr>
            <w:tcW w:w="4529" w:type="dxa"/>
            <w:tcBorders>
              <w:top w:val="single" w:sz="2" w:space="0" w:color="FFFFFF"/>
              <w:left w:val="single" w:sz="3" w:space="0" w:color="000000"/>
              <w:bottom w:val="single" w:sz="2" w:space="0" w:color="FFFFFF"/>
              <w:right w:val="single" w:sz="3" w:space="0" w:color="000000"/>
            </w:tcBorders>
          </w:tcPr>
          <w:p w14:paraId="639DF5AD" w14:textId="77777777" w:rsidR="003F0DB8" w:rsidRDefault="00000000">
            <w:pPr>
              <w:spacing w:after="0" w:line="259" w:lineRule="auto"/>
              <w:ind w:left="0" w:firstLine="0"/>
            </w:pPr>
            <w:r>
              <w:rPr>
                <w:sz w:val="18"/>
              </w:rPr>
              <w:t xml:space="preserve">Synapse decommissioning (WP15) </w:t>
            </w:r>
          </w:p>
        </w:tc>
        <w:tc>
          <w:tcPr>
            <w:tcW w:w="6701" w:type="dxa"/>
            <w:tcBorders>
              <w:top w:val="single" w:sz="2" w:space="0" w:color="FFFFFF"/>
              <w:left w:val="single" w:sz="3" w:space="0" w:color="000000"/>
              <w:bottom w:val="single" w:sz="2" w:space="0" w:color="FFFFFF"/>
              <w:right w:val="single" w:sz="3" w:space="0" w:color="000000"/>
            </w:tcBorders>
          </w:tcPr>
          <w:p w14:paraId="3DE6CFC8" w14:textId="77777777" w:rsidR="003F0DB8" w:rsidRDefault="00000000">
            <w:pPr>
              <w:spacing w:after="0" w:line="259" w:lineRule="auto"/>
              <w:ind w:left="0" w:firstLine="0"/>
            </w:pPr>
            <w:r>
              <w:rPr>
                <w:sz w:val="18"/>
              </w:rPr>
              <w:t xml:space="preserve">Migrate the Finance workload from Synapse Link to Fabric Link (WP15) </w:t>
            </w:r>
          </w:p>
        </w:tc>
        <w:tc>
          <w:tcPr>
            <w:tcW w:w="1377" w:type="dxa"/>
            <w:tcBorders>
              <w:top w:val="single" w:sz="2" w:space="0" w:color="FFFFFF"/>
              <w:left w:val="single" w:sz="3" w:space="0" w:color="000000"/>
              <w:bottom w:val="single" w:sz="2" w:space="0" w:color="FFFFFF"/>
              <w:right w:val="single" w:sz="3" w:space="0" w:color="000000"/>
            </w:tcBorders>
            <w:vAlign w:val="center"/>
          </w:tcPr>
          <w:p w14:paraId="5ABDEEA4" w14:textId="77777777" w:rsidR="003F0DB8" w:rsidRDefault="00000000">
            <w:pPr>
              <w:spacing w:after="0" w:line="259" w:lineRule="auto"/>
              <w:ind w:left="0" w:firstLine="0"/>
            </w:pPr>
            <w:r>
              <w:rPr>
                <w:sz w:val="18"/>
              </w:rPr>
              <w:t xml:space="preserve">Within package </w:t>
            </w:r>
          </w:p>
        </w:tc>
        <w:tc>
          <w:tcPr>
            <w:tcW w:w="708" w:type="dxa"/>
            <w:tcBorders>
              <w:top w:val="single" w:sz="2" w:space="0" w:color="FFFFFF"/>
              <w:left w:val="single" w:sz="3" w:space="0" w:color="000000"/>
              <w:bottom w:val="single" w:sz="2" w:space="0" w:color="FFFFFF"/>
              <w:right w:val="single" w:sz="3" w:space="0" w:color="000000"/>
            </w:tcBorders>
          </w:tcPr>
          <w:p w14:paraId="4378F241" w14:textId="77777777" w:rsidR="003F0DB8" w:rsidRDefault="00000000">
            <w:pPr>
              <w:spacing w:after="0" w:line="259" w:lineRule="auto"/>
              <w:ind w:left="0" w:firstLine="0"/>
            </w:pPr>
            <w:r>
              <w:rPr>
                <w:sz w:val="18"/>
              </w:rPr>
              <w:t xml:space="preserve">2 </w:t>
            </w:r>
          </w:p>
        </w:tc>
      </w:tr>
      <w:tr w:rsidR="003F0DB8" w14:paraId="17A898F6" w14:textId="77777777">
        <w:trPr>
          <w:trHeight w:val="765"/>
        </w:trPr>
        <w:tc>
          <w:tcPr>
            <w:tcW w:w="540" w:type="dxa"/>
            <w:tcBorders>
              <w:top w:val="single" w:sz="2" w:space="0" w:color="FFFFFF"/>
              <w:left w:val="single" w:sz="3" w:space="0" w:color="000000"/>
              <w:bottom w:val="single" w:sz="2" w:space="0" w:color="FFFFFF"/>
              <w:right w:val="single" w:sz="3" w:space="0" w:color="000000"/>
            </w:tcBorders>
          </w:tcPr>
          <w:p w14:paraId="1DF0013D" w14:textId="77777777" w:rsidR="003F0DB8" w:rsidRDefault="00000000">
            <w:pPr>
              <w:spacing w:after="0" w:line="259" w:lineRule="auto"/>
              <w:ind w:left="0" w:firstLine="0"/>
            </w:pPr>
            <w:r>
              <w:rPr>
                <w:sz w:val="18"/>
              </w:rPr>
              <w:t xml:space="preserve">D12 </w:t>
            </w:r>
          </w:p>
        </w:tc>
        <w:tc>
          <w:tcPr>
            <w:tcW w:w="4529" w:type="dxa"/>
            <w:tcBorders>
              <w:top w:val="single" w:sz="2" w:space="0" w:color="FFFFFF"/>
              <w:left w:val="single" w:sz="3" w:space="0" w:color="000000"/>
              <w:bottom w:val="single" w:sz="2" w:space="0" w:color="FFFFFF"/>
              <w:right w:val="single" w:sz="3" w:space="0" w:color="000000"/>
            </w:tcBorders>
          </w:tcPr>
          <w:p w14:paraId="1B6C4CD7" w14:textId="77777777" w:rsidR="003F0DB8" w:rsidRDefault="00000000">
            <w:pPr>
              <w:spacing w:after="0" w:line="259" w:lineRule="auto"/>
              <w:ind w:left="0" w:firstLine="0"/>
            </w:pPr>
            <w:r>
              <w:rPr>
                <w:sz w:val="18"/>
              </w:rPr>
              <w:t xml:space="preserve">Removal of the Node 4 EDP support contract (WP15) </w:t>
            </w:r>
          </w:p>
        </w:tc>
        <w:tc>
          <w:tcPr>
            <w:tcW w:w="6701" w:type="dxa"/>
            <w:tcBorders>
              <w:top w:val="single" w:sz="2" w:space="0" w:color="FFFFFF"/>
              <w:left w:val="single" w:sz="3" w:space="0" w:color="000000"/>
              <w:bottom w:val="single" w:sz="2" w:space="0" w:color="FFFFFF"/>
              <w:right w:val="single" w:sz="3" w:space="0" w:color="000000"/>
            </w:tcBorders>
          </w:tcPr>
          <w:p w14:paraId="24CC991E" w14:textId="77777777" w:rsidR="003F0DB8" w:rsidRDefault="00000000">
            <w:pPr>
              <w:spacing w:after="0" w:line="259" w:lineRule="auto"/>
              <w:ind w:left="0" w:firstLine="0"/>
            </w:pPr>
            <w:r>
              <w:rPr>
                <w:sz w:val="18"/>
              </w:rPr>
              <w:t xml:space="preserve">Pilot and prove a Fabric-native alternative to ARA (WP15) </w:t>
            </w:r>
          </w:p>
        </w:tc>
        <w:tc>
          <w:tcPr>
            <w:tcW w:w="1377" w:type="dxa"/>
            <w:tcBorders>
              <w:top w:val="single" w:sz="2" w:space="0" w:color="FFFFFF"/>
              <w:left w:val="single" w:sz="3" w:space="0" w:color="000000"/>
              <w:bottom w:val="single" w:sz="2" w:space="0" w:color="FFFFFF"/>
              <w:right w:val="single" w:sz="3" w:space="0" w:color="000000"/>
            </w:tcBorders>
            <w:vAlign w:val="center"/>
          </w:tcPr>
          <w:p w14:paraId="581AD28A" w14:textId="77777777" w:rsidR="003F0DB8" w:rsidRDefault="00000000">
            <w:pPr>
              <w:spacing w:after="0" w:line="259" w:lineRule="auto"/>
              <w:ind w:left="0" w:firstLine="0"/>
            </w:pPr>
            <w:r>
              <w:rPr>
                <w:sz w:val="18"/>
              </w:rPr>
              <w:t xml:space="preserve">Within package </w:t>
            </w:r>
          </w:p>
        </w:tc>
        <w:tc>
          <w:tcPr>
            <w:tcW w:w="708" w:type="dxa"/>
            <w:tcBorders>
              <w:top w:val="single" w:sz="2" w:space="0" w:color="FFFFFF"/>
              <w:left w:val="single" w:sz="3" w:space="0" w:color="000000"/>
              <w:bottom w:val="single" w:sz="2" w:space="0" w:color="FFFFFF"/>
              <w:right w:val="single" w:sz="3" w:space="0" w:color="000000"/>
            </w:tcBorders>
          </w:tcPr>
          <w:p w14:paraId="180BCC48" w14:textId="77777777" w:rsidR="003F0DB8" w:rsidRDefault="00000000">
            <w:pPr>
              <w:spacing w:after="0" w:line="259" w:lineRule="auto"/>
              <w:ind w:left="0" w:firstLine="0"/>
            </w:pPr>
            <w:r>
              <w:rPr>
                <w:sz w:val="18"/>
              </w:rPr>
              <w:t xml:space="preserve">2-3 </w:t>
            </w:r>
          </w:p>
        </w:tc>
      </w:tr>
      <w:tr w:rsidR="003F0DB8" w14:paraId="0D8CE7AE" w14:textId="77777777">
        <w:trPr>
          <w:trHeight w:val="764"/>
        </w:trPr>
        <w:tc>
          <w:tcPr>
            <w:tcW w:w="540" w:type="dxa"/>
            <w:tcBorders>
              <w:top w:val="single" w:sz="2" w:space="0" w:color="FFFFFF"/>
              <w:left w:val="single" w:sz="3" w:space="0" w:color="000000"/>
              <w:bottom w:val="single" w:sz="2" w:space="0" w:color="FFFFFF"/>
              <w:right w:val="single" w:sz="3" w:space="0" w:color="000000"/>
            </w:tcBorders>
          </w:tcPr>
          <w:p w14:paraId="3A00CEB0" w14:textId="77777777" w:rsidR="003F0DB8" w:rsidRDefault="00000000">
            <w:pPr>
              <w:spacing w:after="0" w:line="259" w:lineRule="auto"/>
              <w:ind w:left="0" w:firstLine="0"/>
            </w:pPr>
            <w:r>
              <w:rPr>
                <w:sz w:val="18"/>
              </w:rPr>
              <w:t xml:space="preserve">D13 </w:t>
            </w:r>
          </w:p>
        </w:tc>
        <w:tc>
          <w:tcPr>
            <w:tcW w:w="4529" w:type="dxa"/>
            <w:tcBorders>
              <w:top w:val="single" w:sz="2" w:space="0" w:color="FFFFFF"/>
              <w:left w:val="single" w:sz="3" w:space="0" w:color="000000"/>
              <w:bottom w:val="single" w:sz="2" w:space="0" w:color="FFFFFF"/>
              <w:right w:val="single" w:sz="3" w:space="0" w:color="000000"/>
            </w:tcBorders>
          </w:tcPr>
          <w:p w14:paraId="4C060E0E" w14:textId="77777777" w:rsidR="003F0DB8" w:rsidRDefault="00000000">
            <w:pPr>
              <w:spacing w:after="0" w:line="259" w:lineRule="auto"/>
              <w:ind w:left="0" w:firstLine="0"/>
            </w:pPr>
            <w:r>
              <w:rPr>
                <w:sz w:val="18"/>
              </w:rPr>
              <w:t xml:space="preserve">ExpressRoute circuit 1 decommissioning (WP07) </w:t>
            </w:r>
          </w:p>
        </w:tc>
        <w:tc>
          <w:tcPr>
            <w:tcW w:w="6701" w:type="dxa"/>
            <w:tcBorders>
              <w:top w:val="single" w:sz="2" w:space="0" w:color="FFFFFF"/>
              <w:left w:val="single" w:sz="3" w:space="0" w:color="000000"/>
              <w:bottom w:val="single" w:sz="2" w:space="0" w:color="FFFFFF"/>
              <w:right w:val="single" w:sz="3" w:space="0" w:color="000000"/>
            </w:tcBorders>
          </w:tcPr>
          <w:p w14:paraId="1F55F9F1" w14:textId="77777777" w:rsidR="003F0DB8" w:rsidRDefault="00000000">
            <w:pPr>
              <w:spacing w:after="0" w:line="259" w:lineRule="auto"/>
              <w:ind w:left="0" w:firstLine="0"/>
            </w:pPr>
            <w:r>
              <w:rPr>
                <w:sz w:val="18"/>
              </w:rPr>
              <w:t xml:space="preserve">Data centre closure, a hard deadline at end of year (external event) </w:t>
            </w:r>
          </w:p>
        </w:tc>
        <w:tc>
          <w:tcPr>
            <w:tcW w:w="1377" w:type="dxa"/>
            <w:tcBorders>
              <w:top w:val="single" w:sz="2" w:space="0" w:color="FFFFFF"/>
              <w:left w:val="single" w:sz="3" w:space="0" w:color="000000"/>
              <w:bottom w:val="single" w:sz="2" w:space="0" w:color="FFFFFF"/>
              <w:right w:val="single" w:sz="3" w:space="0" w:color="000000"/>
            </w:tcBorders>
            <w:vAlign w:val="center"/>
          </w:tcPr>
          <w:p w14:paraId="406257A3" w14:textId="77777777" w:rsidR="003F0DB8" w:rsidRDefault="00000000">
            <w:pPr>
              <w:spacing w:after="0" w:line="259" w:lineRule="auto"/>
              <w:ind w:left="0" w:firstLine="0"/>
            </w:pPr>
            <w:r>
              <w:rPr>
                <w:sz w:val="18"/>
              </w:rPr>
              <w:t xml:space="preserve">External trigger </w:t>
            </w:r>
          </w:p>
        </w:tc>
        <w:tc>
          <w:tcPr>
            <w:tcW w:w="708" w:type="dxa"/>
            <w:tcBorders>
              <w:top w:val="single" w:sz="2" w:space="0" w:color="FFFFFF"/>
              <w:left w:val="single" w:sz="3" w:space="0" w:color="000000"/>
              <w:bottom w:val="single" w:sz="2" w:space="0" w:color="FFFFFF"/>
              <w:right w:val="single" w:sz="3" w:space="0" w:color="000000"/>
            </w:tcBorders>
          </w:tcPr>
          <w:p w14:paraId="17C8CDD3" w14:textId="77777777" w:rsidR="003F0DB8" w:rsidRDefault="00000000">
            <w:pPr>
              <w:spacing w:after="0" w:line="259" w:lineRule="auto"/>
              <w:ind w:left="0" w:firstLine="0"/>
            </w:pPr>
            <w:r>
              <w:rPr>
                <w:sz w:val="18"/>
              </w:rPr>
              <w:t xml:space="preserve">1 </w:t>
            </w:r>
          </w:p>
        </w:tc>
      </w:tr>
      <w:tr w:rsidR="003F0DB8" w14:paraId="6C430976" w14:textId="77777777">
        <w:trPr>
          <w:trHeight w:val="762"/>
        </w:trPr>
        <w:tc>
          <w:tcPr>
            <w:tcW w:w="540" w:type="dxa"/>
            <w:tcBorders>
              <w:top w:val="single" w:sz="2" w:space="0" w:color="FFFFFF"/>
              <w:left w:val="single" w:sz="3" w:space="0" w:color="000000"/>
              <w:bottom w:val="single" w:sz="3" w:space="0" w:color="000000"/>
              <w:right w:val="single" w:sz="3" w:space="0" w:color="000000"/>
            </w:tcBorders>
          </w:tcPr>
          <w:p w14:paraId="71A0B162" w14:textId="77777777" w:rsidR="003F0DB8" w:rsidRDefault="00000000">
            <w:pPr>
              <w:spacing w:after="0" w:line="259" w:lineRule="auto"/>
              <w:ind w:left="0" w:firstLine="0"/>
            </w:pPr>
            <w:r>
              <w:rPr>
                <w:sz w:val="18"/>
              </w:rPr>
              <w:t xml:space="preserve">D14 </w:t>
            </w:r>
          </w:p>
        </w:tc>
        <w:tc>
          <w:tcPr>
            <w:tcW w:w="4529" w:type="dxa"/>
            <w:tcBorders>
              <w:top w:val="single" w:sz="2" w:space="0" w:color="FFFFFF"/>
              <w:left w:val="single" w:sz="3" w:space="0" w:color="000000"/>
              <w:bottom w:val="single" w:sz="3" w:space="0" w:color="000000"/>
              <w:right w:val="single" w:sz="3" w:space="0" w:color="000000"/>
            </w:tcBorders>
          </w:tcPr>
          <w:p w14:paraId="3CC1FF21" w14:textId="77777777" w:rsidR="003F0DB8" w:rsidRDefault="00000000">
            <w:pPr>
              <w:spacing w:after="0" w:line="259" w:lineRule="auto"/>
              <w:ind w:left="0" w:firstLine="0"/>
            </w:pPr>
            <w:r>
              <w:rPr>
                <w:sz w:val="18"/>
              </w:rPr>
              <w:t xml:space="preserve">Legacy hub retirement (WP07) </w:t>
            </w:r>
          </w:p>
        </w:tc>
        <w:tc>
          <w:tcPr>
            <w:tcW w:w="6701" w:type="dxa"/>
            <w:tcBorders>
              <w:top w:val="single" w:sz="2" w:space="0" w:color="FFFFFF"/>
              <w:left w:val="single" w:sz="3" w:space="0" w:color="000000"/>
              <w:bottom w:val="single" w:sz="3" w:space="0" w:color="000000"/>
              <w:right w:val="single" w:sz="3" w:space="0" w:color="000000"/>
            </w:tcBorders>
          </w:tcPr>
          <w:p w14:paraId="796558A5" w14:textId="77777777" w:rsidR="003F0DB8" w:rsidRDefault="00000000">
            <w:pPr>
              <w:spacing w:after="0" w:line="259" w:lineRule="auto"/>
              <w:ind w:left="0" w:firstLine="0"/>
            </w:pPr>
            <w:r>
              <w:rPr>
                <w:sz w:val="18"/>
              </w:rPr>
              <w:t xml:space="preserve">All spokes and workloads migrated or recreated on the new CAF hub (WP16) </w:t>
            </w:r>
          </w:p>
        </w:tc>
        <w:tc>
          <w:tcPr>
            <w:tcW w:w="1377" w:type="dxa"/>
            <w:tcBorders>
              <w:top w:val="single" w:sz="2" w:space="0" w:color="FFFFFF"/>
              <w:left w:val="single" w:sz="3" w:space="0" w:color="000000"/>
              <w:bottom w:val="single" w:sz="3" w:space="0" w:color="000000"/>
              <w:right w:val="single" w:sz="3" w:space="0" w:color="000000"/>
            </w:tcBorders>
            <w:vAlign w:val="center"/>
          </w:tcPr>
          <w:p w14:paraId="4006B2F8" w14:textId="77777777" w:rsidR="003F0DB8" w:rsidRDefault="00000000">
            <w:pPr>
              <w:spacing w:after="0" w:line="259" w:lineRule="auto"/>
              <w:ind w:left="0" w:right="44" w:firstLine="0"/>
            </w:pPr>
            <w:r>
              <w:rPr>
                <w:sz w:val="18"/>
              </w:rPr>
              <w:t xml:space="preserve">Crosspackage </w:t>
            </w:r>
          </w:p>
        </w:tc>
        <w:tc>
          <w:tcPr>
            <w:tcW w:w="708" w:type="dxa"/>
            <w:tcBorders>
              <w:top w:val="single" w:sz="2" w:space="0" w:color="FFFFFF"/>
              <w:left w:val="single" w:sz="3" w:space="0" w:color="000000"/>
              <w:bottom w:val="single" w:sz="3" w:space="0" w:color="000000"/>
              <w:right w:val="single" w:sz="3" w:space="0" w:color="000000"/>
            </w:tcBorders>
          </w:tcPr>
          <w:p w14:paraId="5C0CA5D7" w14:textId="77777777" w:rsidR="003F0DB8" w:rsidRDefault="00000000">
            <w:pPr>
              <w:spacing w:after="0" w:line="259" w:lineRule="auto"/>
              <w:ind w:left="0" w:firstLine="0"/>
            </w:pPr>
            <w:r>
              <w:rPr>
                <w:sz w:val="18"/>
              </w:rPr>
              <w:t xml:space="preserve">2-3 </w:t>
            </w:r>
          </w:p>
        </w:tc>
      </w:tr>
      <w:tr w:rsidR="003F0DB8" w14:paraId="6B2B16AF" w14:textId="77777777">
        <w:trPr>
          <w:trHeight w:val="764"/>
        </w:trPr>
        <w:tc>
          <w:tcPr>
            <w:tcW w:w="540" w:type="dxa"/>
            <w:tcBorders>
              <w:top w:val="single" w:sz="3" w:space="0" w:color="000000"/>
              <w:left w:val="single" w:sz="3" w:space="0" w:color="000000"/>
              <w:bottom w:val="single" w:sz="2" w:space="0" w:color="FFFFFF"/>
              <w:right w:val="single" w:sz="3" w:space="0" w:color="000000"/>
            </w:tcBorders>
          </w:tcPr>
          <w:p w14:paraId="62CEE455" w14:textId="77777777" w:rsidR="003F0DB8" w:rsidRDefault="00000000">
            <w:pPr>
              <w:spacing w:after="0" w:line="259" w:lineRule="auto"/>
              <w:ind w:left="0" w:firstLine="0"/>
            </w:pPr>
            <w:r>
              <w:rPr>
                <w:sz w:val="18"/>
              </w:rPr>
              <w:lastRenderedPageBreak/>
              <w:t xml:space="preserve">D15 </w:t>
            </w:r>
          </w:p>
        </w:tc>
        <w:tc>
          <w:tcPr>
            <w:tcW w:w="4529" w:type="dxa"/>
            <w:tcBorders>
              <w:top w:val="single" w:sz="3" w:space="0" w:color="000000"/>
              <w:left w:val="single" w:sz="3" w:space="0" w:color="000000"/>
              <w:bottom w:val="single" w:sz="2" w:space="0" w:color="FFFFFF"/>
              <w:right w:val="single" w:sz="3" w:space="0" w:color="000000"/>
            </w:tcBorders>
          </w:tcPr>
          <w:p w14:paraId="361A8372" w14:textId="77777777" w:rsidR="003F0DB8" w:rsidRDefault="00000000">
            <w:pPr>
              <w:spacing w:after="0" w:line="259" w:lineRule="auto"/>
              <w:ind w:left="0" w:firstLine="0"/>
            </w:pPr>
            <w:r>
              <w:rPr>
                <w:sz w:val="18"/>
              </w:rPr>
              <w:t xml:space="preserve">Legacy DNS retirement (WP07) </w:t>
            </w:r>
          </w:p>
        </w:tc>
        <w:tc>
          <w:tcPr>
            <w:tcW w:w="6701" w:type="dxa"/>
            <w:tcBorders>
              <w:top w:val="single" w:sz="3" w:space="0" w:color="000000"/>
              <w:left w:val="single" w:sz="3" w:space="0" w:color="000000"/>
              <w:bottom w:val="single" w:sz="2" w:space="0" w:color="FFFFFF"/>
              <w:right w:val="single" w:sz="3" w:space="0" w:color="000000"/>
            </w:tcBorders>
          </w:tcPr>
          <w:p w14:paraId="32317BD7" w14:textId="77777777" w:rsidR="003F0DB8" w:rsidRDefault="00000000">
            <w:pPr>
              <w:spacing w:after="0" w:line="259" w:lineRule="auto"/>
              <w:ind w:left="0" w:firstLine="0"/>
            </w:pPr>
            <w:r>
              <w:rPr>
                <w:sz w:val="18"/>
              </w:rPr>
              <w:t xml:space="preserve">Internal name resolution moved to Azure DNS (WP07) </w:t>
            </w:r>
          </w:p>
        </w:tc>
        <w:tc>
          <w:tcPr>
            <w:tcW w:w="1377" w:type="dxa"/>
            <w:tcBorders>
              <w:top w:val="single" w:sz="3" w:space="0" w:color="000000"/>
              <w:left w:val="single" w:sz="3" w:space="0" w:color="000000"/>
              <w:bottom w:val="single" w:sz="2" w:space="0" w:color="FFFFFF"/>
              <w:right w:val="single" w:sz="3" w:space="0" w:color="000000"/>
            </w:tcBorders>
            <w:vAlign w:val="center"/>
          </w:tcPr>
          <w:p w14:paraId="2F68AF43" w14:textId="77777777" w:rsidR="003F0DB8" w:rsidRDefault="00000000">
            <w:pPr>
              <w:spacing w:after="0" w:line="259" w:lineRule="auto"/>
              <w:ind w:left="0" w:firstLine="0"/>
            </w:pPr>
            <w:r>
              <w:rPr>
                <w:sz w:val="18"/>
              </w:rPr>
              <w:t xml:space="preserve">Within package </w:t>
            </w:r>
          </w:p>
        </w:tc>
        <w:tc>
          <w:tcPr>
            <w:tcW w:w="708" w:type="dxa"/>
            <w:tcBorders>
              <w:top w:val="single" w:sz="3" w:space="0" w:color="000000"/>
              <w:left w:val="single" w:sz="3" w:space="0" w:color="000000"/>
              <w:bottom w:val="single" w:sz="2" w:space="0" w:color="FFFFFF"/>
              <w:right w:val="single" w:sz="3" w:space="0" w:color="000000"/>
            </w:tcBorders>
          </w:tcPr>
          <w:p w14:paraId="5E18741B" w14:textId="77777777" w:rsidR="003F0DB8" w:rsidRDefault="00000000">
            <w:pPr>
              <w:spacing w:after="0" w:line="259" w:lineRule="auto"/>
              <w:ind w:left="0" w:firstLine="0"/>
            </w:pPr>
            <w:r>
              <w:rPr>
                <w:sz w:val="18"/>
              </w:rPr>
              <w:t xml:space="preserve">2 </w:t>
            </w:r>
          </w:p>
        </w:tc>
      </w:tr>
      <w:tr w:rsidR="003F0DB8" w14:paraId="1182C48A" w14:textId="77777777">
        <w:trPr>
          <w:trHeight w:val="769"/>
        </w:trPr>
        <w:tc>
          <w:tcPr>
            <w:tcW w:w="540" w:type="dxa"/>
            <w:tcBorders>
              <w:top w:val="single" w:sz="2" w:space="0" w:color="FFFFFF"/>
              <w:left w:val="single" w:sz="3" w:space="0" w:color="000000"/>
              <w:bottom w:val="single" w:sz="2" w:space="0" w:color="FFFFFF"/>
              <w:right w:val="single" w:sz="3" w:space="0" w:color="000000"/>
            </w:tcBorders>
          </w:tcPr>
          <w:p w14:paraId="6F122079" w14:textId="77777777" w:rsidR="003F0DB8" w:rsidRDefault="00000000">
            <w:pPr>
              <w:spacing w:after="0" w:line="259" w:lineRule="auto"/>
              <w:ind w:left="0" w:firstLine="0"/>
            </w:pPr>
            <w:r>
              <w:rPr>
                <w:sz w:val="18"/>
              </w:rPr>
              <w:t xml:space="preserve">D16 </w:t>
            </w:r>
          </w:p>
        </w:tc>
        <w:tc>
          <w:tcPr>
            <w:tcW w:w="4529" w:type="dxa"/>
            <w:tcBorders>
              <w:top w:val="single" w:sz="2" w:space="0" w:color="FFFFFF"/>
              <w:left w:val="single" w:sz="3" w:space="0" w:color="000000"/>
              <w:bottom w:val="single" w:sz="2" w:space="0" w:color="FFFFFF"/>
              <w:right w:val="single" w:sz="3" w:space="0" w:color="000000"/>
            </w:tcBorders>
          </w:tcPr>
          <w:p w14:paraId="2574A730" w14:textId="77777777" w:rsidR="003F0DB8" w:rsidRDefault="00000000">
            <w:pPr>
              <w:spacing w:after="0" w:line="259" w:lineRule="auto"/>
              <w:ind w:left="0" w:firstLine="0"/>
            </w:pPr>
            <w:r>
              <w:rPr>
                <w:sz w:val="18"/>
              </w:rPr>
              <w:t xml:space="preserve">Click-Ops freeze in AIS (WP13) </w:t>
            </w:r>
          </w:p>
        </w:tc>
        <w:tc>
          <w:tcPr>
            <w:tcW w:w="6701" w:type="dxa"/>
            <w:tcBorders>
              <w:top w:val="single" w:sz="2" w:space="0" w:color="FFFFFF"/>
              <w:left w:val="single" w:sz="3" w:space="0" w:color="000000"/>
              <w:bottom w:val="single" w:sz="2" w:space="0" w:color="FFFFFF"/>
              <w:right w:val="single" w:sz="3" w:space="0" w:color="000000"/>
            </w:tcBorders>
          </w:tcPr>
          <w:p w14:paraId="073E9F34" w14:textId="77777777" w:rsidR="003F0DB8" w:rsidRDefault="00000000">
            <w:pPr>
              <w:spacing w:after="0" w:line="259" w:lineRule="auto"/>
              <w:ind w:left="0" w:firstLine="0"/>
            </w:pPr>
            <w:r>
              <w:rPr>
                <w:sz w:val="18"/>
              </w:rPr>
              <w:t xml:space="preserve">Convert standing Contributor on AIS Production to PIM-eligible (WP05) </w:t>
            </w:r>
          </w:p>
        </w:tc>
        <w:tc>
          <w:tcPr>
            <w:tcW w:w="1377" w:type="dxa"/>
            <w:tcBorders>
              <w:top w:val="single" w:sz="2" w:space="0" w:color="FFFFFF"/>
              <w:left w:val="single" w:sz="3" w:space="0" w:color="000000"/>
              <w:bottom w:val="single" w:sz="2" w:space="0" w:color="FFFFFF"/>
              <w:right w:val="single" w:sz="3" w:space="0" w:color="000000"/>
            </w:tcBorders>
            <w:vAlign w:val="center"/>
          </w:tcPr>
          <w:p w14:paraId="086E3B4D" w14:textId="77777777" w:rsidR="003F0DB8" w:rsidRDefault="00000000">
            <w:pPr>
              <w:spacing w:after="0" w:line="259" w:lineRule="auto"/>
              <w:ind w:left="0" w:right="44" w:firstLine="0"/>
            </w:pPr>
            <w:r>
              <w:rPr>
                <w:sz w:val="18"/>
              </w:rPr>
              <w:t xml:space="preserve">Crosspackage </w:t>
            </w:r>
          </w:p>
        </w:tc>
        <w:tc>
          <w:tcPr>
            <w:tcW w:w="708" w:type="dxa"/>
            <w:tcBorders>
              <w:top w:val="single" w:sz="2" w:space="0" w:color="FFFFFF"/>
              <w:left w:val="single" w:sz="3" w:space="0" w:color="000000"/>
              <w:bottom w:val="single" w:sz="2" w:space="0" w:color="FFFFFF"/>
              <w:right w:val="single" w:sz="3" w:space="0" w:color="000000"/>
            </w:tcBorders>
          </w:tcPr>
          <w:p w14:paraId="07E5AF4D" w14:textId="77777777" w:rsidR="003F0DB8" w:rsidRDefault="00000000">
            <w:pPr>
              <w:spacing w:after="0" w:line="259" w:lineRule="auto"/>
              <w:ind w:left="0" w:firstLine="0"/>
            </w:pPr>
            <w:r>
              <w:rPr>
                <w:sz w:val="18"/>
              </w:rPr>
              <w:t xml:space="preserve">1 </w:t>
            </w:r>
          </w:p>
        </w:tc>
      </w:tr>
      <w:tr w:rsidR="003F0DB8" w14:paraId="1718E4D0" w14:textId="77777777">
        <w:trPr>
          <w:trHeight w:val="757"/>
        </w:trPr>
        <w:tc>
          <w:tcPr>
            <w:tcW w:w="540" w:type="dxa"/>
            <w:tcBorders>
              <w:top w:val="single" w:sz="2" w:space="0" w:color="FFFFFF"/>
              <w:left w:val="single" w:sz="3" w:space="0" w:color="000000"/>
              <w:bottom w:val="single" w:sz="3" w:space="0" w:color="000000"/>
              <w:right w:val="single" w:sz="3" w:space="0" w:color="000000"/>
            </w:tcBorders>
          </w:tcPr>
          <w:p w14:paraId="60BA9203" w14:textId="77777777" w:rsidR="003F0DB8" w:rsidRDefault="00000000">
            <w:pPr>
              <w:spacing w:after="0" w:line="259" w:lineRule="auto"/>
              <w:ind w:left="0" w:firstLine="0"/>
            </w:pPr>
            <w:r>
              <w:rPr>
                <w:sz w:val="18"/>
              </w:rPr>
              <w:t xml:space="preserve">D17 </w:t>
            </w:r>
          </w:p>
        </w:tc>
        <w:tc>
          <w:tcPr>
            <w:tcW w:w="4529" w:type="dxa"/>
            <w:tcBorders>
              <w:top w:val="single" w:sz="2" w:space="0" w:color="FFFFFF"/>
              <w:left w:val="single" w:sz="3" w:space="0" w:color="000000"/>
              <w:bottom w:val="single" w:sz="3" w:space="0" w:color="000000"/>
              <w:right w:val="single" w:sz="3" w:space="0" w:color="000000"/>
            </w:tcBorders>
          </w:tcPr>
          <w:p w14:paraId="7080598C" w14:textId="77777777" w:rsidR="003F0DB8" w:rsidRDefault="00000000">
            <w:pPr>
              <w:spacing w:after="0" w:line="259" w:lineRule="auto"/>
              <w:ind w:left="0" w:firstLine="0"/>
            </w:pPr>
            <w:r>
              <w:rPr>
                <w:sz w:val="18"/>
              </w:rPr>
              <w:t xml:space="preserve">Orphaned resource decommissioning at scale (WP03) </w:t>
            </w:r>
          </w:p>
        </w:tc>
        <w:tc>
          <w:tcPr>
            <w:tcW w:w="6701" w:type="dxa"/>
            <w:tcBorders>
              <w:top w:val="single" w:sz="2" w:space="0" w:color="FFFFFF"/>
              <w:left w:val="single" w:sz="3" w:space="0" w:color="000000"/>
              <w:bottom w:val="single" w:sz="3" w:space="0" w:color="000000"/>
              <w:right w:val="single" w:sz="3" w:space="0" w:color="000000"/>
            </w:tcBorders>
          </w:tcPr>
          <w:p w14:paraId="06F8559C" w14:textId="77777777" w:rsidR="003F0DB8" w:rsidRDefault="00000000">
            <w:pPr>
              <w:spacing w:after="0" w:line="259" w:lineRule="auto"/>
              <w:ind w:left="0" w:firstLine="0"/>
            </w:pPr>
            <w:r>
              <w:rPr>
                <w:sz w:val="18"/>
              </w:rPr>
              <w:t xml:space="preserve">Agree and resource a published decommissioning cadence (WP01) </w:t>
            </w:r>
          </w:p>
        </w:tc>
        <w:tc>
          <w:tcPr>
            <w:tcW w:w="1377" w:type="dxa"/>
            <w:tcBorders>
              <w:top w:val="single" w:sz="2" w:space="0" w:color="FFFFFF"/>
              <w:left w:val="single" w:sz="3" w:space="0" w:color="000000"/>
              <w:bottom w:val="single" w:sz="3" w:space="0" w:color="000000"/>
              <w:right w:val="single" w:sz="3" w:space="0" w:color="000000"/>
            </w:tcBorders>
            <w:vAlign w:val="center"/>
          </w:tcPr>
          <w:p w14:paraId="7FF8FDFC" w14:textId="77777777" w:rsidR="003F0DB8" w:rsidRDefault="00000000">
            <w:pPr>
              <w:spacing w:after="0" w:line="259" w:lineRule="auto"/>
              <w:ind w:left="0" w:right="44" w:firstLine="0"/>
            </w:pPr>
            <w:r>
              <w:rPr>
                <w:sz w:val="18"/>
              </w:rPr>
              <w:t xml:space="preserve">Crosspackage </w:t>
            </w:r>
          </w:p>
        </w:tc>
        <w:tc>
          <w:tcPr>
            <w:tcW w:w="708" w:type="dxa"/>
            <w:tcBorders>
              <w:top w:val="single" w:sz="2" w:space="0" w:color="FFFFFF"/>
              <w:left w:val="single" w:sz="3" w:space="0" w:color="000000"/>
              <w:bottom w:val="single" w:sz="3" w:space="0" w:color="000000"/>
              <w:right w:val="single" w:sz="3" w:space="0" w:color="000000"/>
            </w:tcBorders>
          </w:tcPr>
          <w:p w14:paraId="0E34B538" w14:textId="77777777" w:rsidR="003F0DB8" w:rsidRDefault="00000000">
            <w:pPr>
              <w:spacing w:after="0" w:line="259" w:lineRule="auto"/>
              <w:ind w:left="0" w:firstLine="0"/>
            </w:pPr>
            <w:r>
              <w:rPr>
                <w:sz w:val="18"/>
              </w:rPr>
              <w:t xml:space="preserve">1-2 </w:t>
            </w:r>
          </w:p>
        </w:tc>
      </w:tr>
    </w:tbl>
    <w:p w14:paraId="310EAD45" w14:textId="77777777" w:rsidR="003F0DB8" w:rsidRDefault="00000000">
      <w:pPr>
        <w:spacing w:after="219" w:line="269" w:lineRule="auto"/>
        <w:ind w:left="10" w:right="3" w:hanging="10"/>
      </w:pPr>
      <w:r>
        <w:rPr>
          <w:sz w:val="24"/>
        </w:rPr>
        <w:t xml:space="preserve">Ownership of the order, the trade-offs and the cross-team blockers sits with the Technical Programme Ownership group, led by a single accountable owner, whose remit is set out in the Technical Programme Ownership chapter. Day-to-day delivery remains with the Platform, Security and workload teams throughout. </w:t>
      </w:r>
    </w:p>
    <w:p w14:paraId="1B1A0244" w14:textId="77777777" w:rsidR="003F0DB8" w:rsidRDefault="00000000">
      <w:pPr>
        <w:spacing w:after="0" w:line="259" w:lineRule="auto"/>
        <w:ind w:left="0" w:firstLine="0"/>
      </w:pPr>
      <w:r>
        <w:rPr>
          <w:sz w:val="24"/>
        </w:rPr>
        <w:t xml:space="preserve"> </w:t>
      </w:r>
      <w:r>
        <w:rPr>
          <w:sz w:val="24"/>
        </w:rPr>
        <w:tab/>
      </w:r>
      <w:r>
        <w:rPr>
          <w:sz w:val="32"/>
        </w:rPr>
        <w:t xml:space="preserve"> </w:t>
      </w:r>
      <w:r>
        <w:br w:type="page"/>
      </w:r>
    </w:p>
    <w:p w14:paraId="4FD5A825" w14:textId="77777777" w:rsidR="003F0DB8" w:rsidRDefault="00000000">
      <w:pPr>
        <w:pStyle w:val="Heading1"/>
        <w:spacing w:after="0"/>
        <w:ind w:left="-5"/>
      </w:pPr>
      <w:bookmarkStart w:id="95" w:name="_Toc96877"/>
      <w:r>
        <w:rPr>
          <w:sz w:val="32"/>
        </w:rPr>
        <w:lastRenderedPageBreak/>
        <w:t xml:space="preserve">Glossary of Terms </w:t>
      </w:r>
      <w:bookmarkEnd w:id="95"/>
    </w:p>
    <w:tbl>
      <w:tblPr>
        <w:tblStyle w:val="TableGrid"/>
        <w:tblW w:w="9916" w:type="dxa"/>
        <w:tblInd w:w="7" w:type="dxa"/>
        <w:tblCellMar>
          <w:top w:w="172" w:type="dxa"/>
          <w:left w:w="104" w:type="dxa"/>
          <w:bottom w:w="0" w:type="dxa"/>
          <w:right w:w="57" w:type="dxa"/>
        </w:tblCellMar>
        <w:tblLook w:val="04A0" w:firstRow="1" w:lastRow="0" w:firstColumn="1" w:lastColumn="0" w:noHBand="0" w:noVBand="1"/>
      </w:tblPr>
      <w:tblGrid>
        <w:gridCol w:w="1151"/>
        <w:gridCol w:w="8765"/>
      </w:tblGrid>
      <w:tr w:rsidR="003F0DB8" w14:paraId="077CED78" w14:textId="77777777">
        <w:trPr>
          <w:trHeight w:val="519"/>
        </w:trPr>
        <w:tc>
          <w:tcPr>
            <w:tcW w:w="1151" w:type="dxa"/>
            <w:tcBorders>
              <w:top w:val="single" w:sz="3" w:space="0" w:color="000000"/>
              <w:left w:val="single" w:sz="3" w:space="0" w:color="000000"/>
              <w:bottom w:val="single" w:sz="2" w:space="0" w:color="FFFFFF"/>
              <w:right w:val="single" w:sz="3" w:space="0" w:color="000000"/>
            </w:tcBorders>
            <w:shd w:val="clear" w:color="auto" w:fill="1F3864"/>
            <w:vAlign w:val="center"/>
          </w:tcPr>
          <w:p w14:paraId="52A06B2E" w14:textId="77777777" w:rsidR="003F0DB8" w:rsidRDefault="00000000">
            <w:pPr>
              <w:spacing w:after="0" w:line="259" w:lineRule="auto"/>
              <w:ind w:left="0" w:firstLine="0"/>
            </w:pPr>
            <w:r>
              <w:rPr>
                <w:b/>
                <w:color w:val="FFFFFF"/>
              </w:rPr>
              <w:t xml:space="preserve">Term </w:t>
            </w:r>
          </w:p>
        </w:tc>
        <w:tc>
          <w:tcPr>
            <w:tcW w:w="8765" w:type="dxa"/>
            <w:tcBorders>
              <w:top w:val="single" w:sz="3" w:space="0" w:color="000000"/>
              <w:left w:val="single" w:sz="3" w:space="0" w:color="000000"/>
              <w:bottom w:val="single" w:sz="2" w:space="0" w:color="FFFFFF"/>
              <w:right w:val="single" w:sz="3" w:space="0" w:color="000000"/>
            </w:tcBorders>
            <w:shd w:val="clear" w:color="auto" w:fill="1F3864"/>
            <w:vAlign w:val="center"/>
          </w:tcPr>
          <w:p w14:paraId="6F3CB872" w14:textId="77777777" w:rsidR="003F0DB8" w:rsidRDefault="00000000">
            <w:pPr>
              <w:spacing w:after="0" w:line="259" w:lineRule="auto"/>
              <w:ind w:left="1" w:firstLine="0"/>
            </w:pPr>
            <w:r>
              <w:rPr>
                <w:b/>
                <w:color w:val="FFFFFF"/>
              </w:rPr>
              <w:t xml:space="preserve">Definition </w:t>
            </w:r>
          </w:p>
        </w:tc>
      </w:tr>
      <w:tr w:rsidR="003F0DB8" w14:paraId="3E29192C" w14:textId="77777777">
        <w:trPr>
          <w:trHeight w:val="830"/>
        </w:trPr>
        <w:tc>
          <w:tcPr>
            <w:tcW w:w="1151" w:type="dxa"/>
            <w:tcBorders>
              <w:top w:val="single" w:sz="2" w:space="0" w:color="FFFFFF"/>
              <w:left w:val="single" w:sz="3" w:space="0" w:color="000000"/>
              <w:bottom w:val="single" w:sz="2" w:space="0" w:color="FFFFFF"/>
              <w:right w:val="single" w:sz="3" w:space="0" w:color="000000"/>
            </w:tcBorders>
          </w:tcPr>
          <w:p w14:paraId="5EAED867" w14:textId="77777777" w:rsidR="003F0DB8" w:rsidRDefault="00000000">
            <w:pPr>
              <w:spacing w:after="0" w:line="259" w:lineRule="auto"/>
              <w:ind w:left="0" w:firstLine="0"/>
            </w:pPr>
            <w:r>
              <w:t xml:space="preserve">AMBA </w:t>
            </w:r>
          </w:p>
        </w:tc>
        <w:tc>
          <w:tcPr>
            <w:tcW w:w="8765" w:type="dxa"/>
            <w:tcBorders>
              <w:top w:val="single" w:sz="2" w:space="0" w:color="FFFFFF"/>
              <w:left w:val="single" w:sz="3" w:space="0" w:color="000000"/>
              <w:bottom w:val="single" w:sz="2" w:space="0" w:color="FFFFFF"/>
              <w:right w:val="single" w:sz="3" w:space="0" w:color="000000"/>
            </w:tcBorders>
            <w:vAlign w:val="center"/>
          </w:tcPr>
          <w:p w14:paraId="74B0D004" w14:textId="77777777" w:rsidR="003F0DB8" w:rsidRDefault="00000000">
            <w:pPr>
              <w:spacing w:after="0" w:line="259" w:lineRule="auto"/>
              <w:ind w:left="1" w:firstLine="0"/>
            </w:pPr>
            <w:r>
              <w:t xml:space="preserve">Azure Monitor Baseline Alerts. A Microsoft framework that defines a baseline set of alert rules per Azure service, deployable via IaC. </w:t>
            </w:r>
          </w:p>
        </w:tc>
      </w:tr>
      <w:tr w:rsidR="003F0DB8" w14:paraId="03AFC92B" w14:textId="77777777">
        <w:trPr>
          <w:trHeight w:val="832"/>
        </w:trPr>
        <w:tc>
          <w:tcPr>
            <w:tcW w:w="1151" w:type="dxa"/>
            <w:tcBorders>
              <w:top w:val="single" w:sz="2" w:space="0" w:color="FFFFFF"/>
              <w:left w:val="single" w:sz="3" w:space="0" w:color="000000"/>
              <w:bottom w:val="single" w:sz="2" w:space="0" w:color="FFFFFF"/>
              <w:right w:val="single" w:sz="3" w:space="0" w:color="000000"/>
            </w:tcBorders>
          </w:tcPr>
          <w:p w14:paraId="49B7803B" w14:textId="77777777" w:rsidR="003F0DB8" w:rsidRDefault="00000000">
            <w:pPr>
              <w:spacing w:after="0" w:line="259" w:lineRule="auto"/>
              <w:ind w:left="0" w:firstLine="0"/>
            </w:pPr>
            <w:r>
              <w:t xml:space="preserve">AMPLS </w:t>
            </w:r>
          </w:p>
        </w:tc>
        <w:tc>
          <w:tcPr>
            <w:tcW w:w="8765" w:type="dxa"/>
            <w:tcBorders>
              <w:top w:val="single" w:sz="2" w:space="0" w:color="FFFFFF"/>
              <w:left w:val="single" w:sz="3" w:space="0" w:color="000000"/>
              <w:bottom w:val="single" w:sz="2" w:space="0" w:color="FFFFFF"/>
              <w:right w:val="single" w:sz="3" w:space="0" w:color="000000"/>
            </w:tcBorders>
            <w:vAlign w:val="center"/>
          </w:tcPr>
          <w:p w14:paraId="1FBF29B5" w14:textId="77777777" w:rsidR="003F0DB8" w:rsidRDefault="00000000">
            <w:pPr>
              <w:spacing w:after="0" w:line="259" w:lineRule="auto"/>
              <w:ind w:left="1" w:firstLine="0"/>
            </w:pPr>
            <w:r>
              <w:t xml:space="preserve">Azure Monitor Private Link Scope. A boundary object that allows Azure Monitor ingestion and query traffic to flow over private endpoints. </w:t>
            </w:r>
          </w:p>
        </w:tc>
      </w:tr>
      <w:tr w:rsidR="003F0DB8" w14:paraId="3689BA94" w14:textId="77777777">
        <w:trPr>
          <w:trHeight w:val="520"/>
        </w:trPr>
        <w:tc>
          <w:tcPr>
            <w:tcW w:w="1151" w:type="dxa"/>
            <w:tcBorders>
              <w:top w:val="single" w:sz="2" w:space="0" w:color="FFFFFF"/>
              <w:left w:val="single" w:sz="3" w:space="0" w:color="000000"/>
              <w:bottom w:val="single" w:sz="2" w:space="0" w:color="FFFFFF"/>
              <w:right w:val="single" w:sz="3" w:space="0" w:color="000000"/>
            </w:tcBorders>
            <w:vAlign w:val="center"/>
          </w:tcPr>
          <w:p w14:paraId="09C523E2" w14:textId="77777777" w:rsidR="003F0DB8" w:rsidRDefault="00000000">
            <w:pPr>
              <w:spacing w:after="0" w:line="259" w:lineRule="auto"/>
              <w:ind w:left="0" w:firstLine="0"/>
            </w:pPr>
            <w:r>
              <w:t xml:space="preserve">ARA </w:t>
            </w:r>
          </w:p>
        </w:tc>
        <w:tc>
          <w:tcPr>
            <w:tcW w:w="8765" w:type="dxa"/>
            <w:tcBorders>
              <w:top w:val="single" w:sz="2" w:space="0" w:color="FFFFFF"/>
              <w:left w:val="single" w:sz="3" w:space="0" w:color="000000"/>
              <w:bottom w:val="single" w:sz="2" w:space="0" w:color="FFFFFF"/>
              <w:right w:val="single" w:sz="3" w:space="0" w:color="000000"/>
            </w:tcBorders>
            <w:vAlign w:val="center"/>
          </w:tcPr>
          <w:p w14:paraId="6AFE3D7C" w14:textId="77777777" w:rsidR="003F0DB8" w:rsidRDefault="00000000">
            <w:pPr>
              <w:spacing w:after="0" w:line="259" w:lineRule="auto"/>
              <w:ind w:left="1" w:firstLine="0"/>
            </w:pPr>
            <w:r>
              <w:t xml:space="preserve">Avanade Data Platform Solution </w:t>
            </w:r>
          </w:p>
        </w:tc>
      </w:tr>
      <w:tr w:rsidR="003F0DB8" w14:paraId="0D316CB3" w14:textId="77777777">
        <w:trPr>
          <w:trHeight w:val="832"/>
        </w:trPr>
        <w:tc>
          <w:tcPr>
            <w:tcW w:w="1151" w:type="dxa"/>
            <w:tcBorders>
              <w:top w:val="single" w:sz="2" w:space="0" w:color="FFFFFF"/>
              <w:left w:val="single" w:sz="3" w:space="0" w:color="000000"/>
              <w:bottom w:val="single" w:sz="2" w:space="0" w:color="FFFFFF"/>
              <w:right w:val="single" w:sz="3" w:space="0" w:color="000000"/>
            </w:tcBorders>
          </w:tcPr>
          <w:p w14:paraId="5CC79568" w14:textId="77777777" w:rsidR="003F0DB8" w:rsidRDefault="00000000">
            <w:pPr>
              <w:spacing w:after="0" w:line="259" w:lineRule="auto"/>
              <w:ind w:left="0" w:firstLine="0"/>
            </w:pPr>
            <w:r>
              <w:t xml:space="preserve">ASE </w:t>
            </w:r>
          </w:p>
        </w:tc>
        <w:tc>
          <w:tcPr>
            <w:tcW w:w="8765" w:type="dxa"/>
            <w:tcBorders>
              <w:top w:val="single" w:sz="2" w:space="0" w:color="FFFFFF"/>
              <w:left w:val="single" w:sz="3" w:space="0" w:color="000000"/>
              <w:bottom w:val="single" w:sz="2" w:space="0" w:color="FFFFFF"/>
              <w:right w:val="single" w:sz="3" w:space="0" w:color="000000"/>
            </w:tcBorders>
            <w:vAlign w:val="center"/>
          </w:tcPr>
          <w:p w14:paraId="6FBBA838" w14:textId="77777777" w:rsidR="003F0DB8" w:rsidRDefault="00000000">
            <w:pPr>
              <w:spacing w:after="0" w:line="259" w:lineRule="auto"/>
              <w:ind w:left="1" w:firstLine="0"/>
              <w:jc w:val="both"/>
            </w:pPr>
            <w:r>
              <w:t xml:space="preserve">App Service Environment. A single-tenant deployment of Azure App Service into a customer VNet. </w:t>
            </w:r>
          </w:p>
        </w:tc>
      </w:tr>
      <w:tr w:rsidR="003F0DB8" w14:paraId="3134C4A2" w14:textId="77777777">
        <w:trPr>
          <w:trHeight w:val="833"/>
        </w:trPr>
        <w:tc>
          <w:tcPr>
            <w:tcW w:w="1151" w:type="dxa"/>
            <w:tcBorders>
              <w:top w:val="single" w:sz="2" w:space="0" w:color="FFFFFF"/>
              <w:left w:val="single" w:sz="3" w:space="0" w:color="000000"/>
              <w:bottom w:val="single" w:sz="2" w:space="0" w:color="FFFFFF"/>
              <w:right w:val="single" w:sz="3" w:space="0" w:color="000000"/>
            </w:tcBorders>
          </w:tcPr>
          <w:p w14:paraId="3C23C859" w14:textId="77777777" w:rsidR="003F0DB8" w:rsidRDefault="00000000">
            <w:pPr>
              <w:spacing w:after="0" w:line="259" w:lineRule="auto"/>
              <w:ind w:left="0" w:firstLine="0"/>
            </w:pPr>
            <w:r>
              <w:t xml:space="preserve">AVS </w:t>
            </w:r>
          </w:p>
        </w:tc>
        <w:tc>
          <w:tcPr>
            <w:tcW w:w="8765" w:type="dxa"/>
            <w:tcBorders>
              <w:top w:val="single" w:sz="2" w:space="0" w:color="FFFFFF"/>
              <w:left w:val="single" w:sz="3" w:space="0" w:color="000000"/>
              <w:bottom w:val="single" w:sz="2" w:space="0" w:color="FFFFFF"/>
              <w:right w:val="single" w:sz="3" w:space="0" w:color="000000"/>
            </w:tcBorders>
            <w:vAlign w:val="center"/>
          </w:tcPr>
          <w:p w14:paraId="43C9D673" w14:textId="77777777" w:rsidR="003F0DB8" w:rsidRDefault="00000000">
            <w:pPr>
              <w:spacing w:after="0" w:line="259" w:lineRule="auto"/>
              <w:ind w:left="1" w:firstLine="0"/>
            </w:pPr>
            <w:r>
              <w:t xml:space="preserve">Azure VMware Solution. A managed VMware Cloud Foundation environment running on Azure infrastructure. </w:t>
            </w:r>
          </w:p>
        </w:tc>
      </w:tr>
      <w:tr w:rsidR="003F0DB8" w14:paraId="51242522" w14:textId="77777777">
        <w:trPr>
          <w:trHeight w:val="828"/>
        </w:trPr>
        <w:tc>
          <w:tcPr>
            <w:tcW w:w="1151" w:type="dxa"/>
            <w:tcBorders>
              <w:top w:val="single" w:sz="2" w:space="0" w:color="FFFFFF"/>
              <w:left w:val="single" w:sz="3" w:space="0" w:color="000000"/>
              <w:bottom w:val="single" w:sz="2" w:space="0" w:color="FFFFFF"/>
              <w:right w:val="single" w:sz="3" w:space="0" w:color="000000"/>
            </w:tcBorders>
          </w:tcPr>
          <w:p w14:paraId="50683FEF" w14:textId="77777777" w:rsidR="003F0DB8" w:rsidRDefault="00000000">
            <w:pPr>
              <w:spacing w:after="0" w:line="259" w:lineRule="auto"/>
              <w:ind w:left="0" w:firstLine="0"/>
            </w:pPr>
            <w:r>
              <w:t xml:space="preserve">B2C </w:t>
            </w:r>
          </w:p>
        </w:tc>
        <w:tc>
          <w:tcPr>
            <w:tcW w:w="8765" w:type="dxa"/>
            <w:tcBorders>
              <w:top w:val="single" w:sz="2" w:space="0" w:color="FFFFFF"/>
              <w:left w:val="single" w:sz="3" w:space="0" w:color="000000"/>
              <w:bottom w:val="single" w:sz="2" w:space="0" w:color="FFFFFF"/>
              <w:right w:val="single" w:sz="3" w:space="0" w:color="000000"/>
            </w:tcBorders>
            <w:vAlign w:val="center"/>
          </w:tcPr>
          <w:p w14:paraId="4A699FCC" w14:textId="77777777" w:rsidR="003F0DB8" w:rsidRDefault="00000000">
            <w:pPr>
              <w:spacing w:after="0" w:line="259" w:lineRule="auto"/>
              <w:ind w:left="1" w:firstLine="0"/>
            </w:pPr>
            <w:r>
              <w:t xml:space="preserve">Azure Active Directory B2C. A customer-facing identity service, scheduled for deprecation by Microsoft in 2030. </w:t>
            </w:r>
          </w:p>
        </w:tc>
      </w:tr>
      <w:tr w:rsidR="003F0DB8" w14:paraId="16CBF3F0" w14:textId="77777777">
        <w:trPr>
          <w:trHeight w:val="832"/>
        </w:trPr>
        <w:tc>
          <w:tcPr>
            <w:tcW w:w="1151" w:type="dxa"/>
            <w:tcBorders>
              <w:top w:val="single" w:sz="2" w:space="0" w:color="FFFFFF"/>
              <w:left w:val="single" w:sz="3" w:space="0" w:color="000000"/>
              <w:bottom w:val="single" w:sz="2" w:space="0" w:color="FFFFFF"/>
              <w:right w:val="single" w:sz="3" w:space="0" w:color="000000"/>
            </w:tcBorders>
          </w:tcPr>
          <w:p w14:paraId="72B162E3" w14:textId="77777777" w:rsidR="003F0DB8" w:rsidRDefault="00000000">
            <w:pPr>
              <w:spacing w:after="0" w:line="259" w:lineRule="auto"/>
              <w:ind w:left="0" w:firstLine="0"/>
            </w:pPr>
            <w:r>
              <w:t xml:space="preserve">CAF </w:t>
            </w:r>
          </w:p>
        </w:tc>
        <w:tc>
          <w:tcPr>
            <w:tcW w:w="8765" w:type="dxa"/>
            <w:tcBorders>
              <w:top w:val="single" w:sz="2" w:space="0" w:color="FFFFFF"/>
              <w:left w:val="single" w:sz="3" w:space="0" w:color="000000"/>
              <w:bottom w:val="single" w:sz="2" w:space="0" w:color="FFFFFF"/>
              <w:right w:val="single" w:sz="3" w:space="0" w:color="000000"/>
            </w:tcBorders>
            <w:vAlign w:val="center"/>
          </w:tcPr>
          <w:p w14:paraId="1A2BA0FE" w14:textId="77777777" w:rsidR="003F0DB8" w:rsidRDefault="00000000">
            <w:pPr>
              <w:spacing w:after="0" w:line="259" w:lineRule="auto"/>
              <w:ind w:left="1" w:firstLine="0"/>
            </w:pPr>
            <w:r>
              <w:t xml:space="preserve">Cloud Adoption Framework. Microsoft's guidance for cloud adoption strategy, planning, readiness, governance and management. </w:t>
            </w:r>
          </w:p>
        </w:tc>
      </w:tr>
      <w:tr w:rsidR="003F0DB8" w14:paraId="11BA5A27" w14:textId="77777777">
        <w:trPr>
          <w:trHeight w:val="832"/>
        </w:trPr>
        <w:tc>
          <w:tcPr>
            <w:tcW w:w="1151" w:type="dxa"/>
            <w:tcBorders>
              <w:top w:val="single" w:sz="2" w:space="0" w:color="FFFFFF"/>
              <w:left w:val="single" w:sz="3" w:space="0" w:color="000000"/>
              <w:bottom w:val="single" w:sz="2" w:space="0" w:color="FFFFFF"/>
              <w:right w:val="single" w:sz="3" w:space="0" w:color="000000"/>
            </w:tcBorders>
          </w:tcPr>
          <w:p w14:paraId="2959F27D" w14:textId="77777777" w:rsidR="003F0DB8" w:rsidRDefault="00000000">
            <w:pPr>
              <w:spacing w:after="0" w:line="259" w:lineRule="auto"/>
              <w:ind w:left="0" w:firstLine="0"/>
            </w:pPr>
            <w:r>
              <w:t xml:space="preserve">CCoE </w:t>
            </w:r>
          </w:p>
        </w:tc>
        <w:tc>
          <w:tcPr>
            <w:tcW w:w="8765" w:type="dxa"/>
            <w:tcBorders>
              <w:top w:val="single" w:sz="2" w:space="0" w:color="FFFFFF"/>
              <w:left w:val="single" w:sz="3" w:space="0" w:color="000000"/>
              <w:bottom w:val="single" w:sz="2" w:space="0" w:color="FFFFFF"/>
              <w:right w:val="single" w:sz="3" w:space="0" w:color="000000"/>
            </w:tcBorders>
            <w:vAlign w:val="center"/>
          </w:tcPr>
          <w:p w14:paraId="7AB87701" w14:textId="77777777" w:rsidR="003F0DB8" w:rsidRDefault="00000000">
            <w:pPr>
              <w:spacing w:after="0" w:line="259" w:lineRule="auto"/>
              <w:ind w:left="1" w:firstLine="0"/>
            </w:pPr>
            <w:r>
              <w:t xml:space="preserve">Cloud Centre of Excellence. The cross-functional body that defines standards, patterns and operating model for cloud. </w:t>
            </w:r>
          </w:p>
        </w:tc>
      </w:tr>
      <w:tr w:rsidR="003F0DB8" w14:paraId="3B0A675C" w14:textId="77777777">
        <w:trPr>
          <w:trHeight w:val="521"/>
        </w:trPr>
        <w:tc>
          <w:tcPr>
            <w:tcW w:w="1151" w:type="dxa"/>
            <w:tcBorders>
              <w:top w:val="single" w:sz="2" w:space="0" w:color="FFFFFF"/>
              <w:left w:val="single" w:sz="3" w:space="0" w:color="000000"/>
              <w:bottom w:val="single" w:sz="2" w:space="0" w:color="FFFFFF"/>
              <w:right w:val="single" w:sz="3" w:space="0" w:color="000000"/>
            </w:tcBorders>
            <w:vAlign w:val="center"/>
          </w:tcPr>
          <w:p w14:paraId="35213627" w14:textId="77777777" w:rsidR="003F0DB8" w:rsidRDefault="00000000">
            <w:pPr>
              <w:spacing w:after="0" w:line="259" w:lineRule="auto"/>
              <w:ind w:left="0" w:firstLine="0"/>
            </w:pPr>
            <w:r>
              <w:lastRenderedPageBreak/>
              <w:t xml:space="preserve">CIS </w:t>
            </w:r>
          </w:p>
        </w:tc>
        <w:tc>
          <w:tcPr>
            <w:tcW w:w="8765" w:type="dxa"/>
            <w:tcBorders>
              <w:top w:val="single" w:sz="2" w:space="0" w:color="FFFFFF"/>
              <w:left w:val="single" w:sz="3" w:space="0" w:color="000000"/>
              <w:bottom w:val="single" w:sz="2" w:space="0" w:color="FFFFFF"/>
              <w:right w:val="single" w:sz="3" w:space="0" w:color="000000"/>
            </w:tcBorders>
            <w:vAlign w:val="center"/>
          </w:tcPr>
          <w:p w14:paraId="5627418B" w14:textId="77777777" w:rsidR="003F0DB8" w:rsidRDefault="00000000">
            <w:pPr>
              <w:spacing w:after="0" w:line="259" w:lineRule="auto"/>
              <w:ind w:left="1" w:firstLine="0"/>
            </w:pPr>
            <w:r>
              <w:t xml:space="preserve">Azure CIS (Center for Internet Security) </w:t>
            </w:r>
          </w:p>
        </w:tc>
      </w:tr>
      <w:tr w:rsidR="003F0DB8" w14:paraId="799B101C" w14:textId="77777777">
        <w:trPr>
          <w:trHeight w:val="828"/>
        </w:trPr>
        <w:tc>
          <w:tcPr>
            <w:tcW w:w="1151" w:type="dxa"/>
            <w:tcBorders>
              <w:top w:val="single" w:sz="2" w:space="0" w:color="FFFFFF"/>
              <w:left w:val="single" w:sz="3" w:space="0" w:color="000000"/>
              <w:bottom w:val="single" w:sz="2" w:space="0" w:color="FFFFFF"/>
              <w:right w:val="single" w:sz="3" w:space="0" w:color="000000"/>
            </w:tcBorders>
          </w:tcPr>
          <w:p w14:paraId="192C038D" w14:textId="77777777" w:rsidR="003F0DB8" w:rsidRDefault="00000000">
            <w:pPr>
              <w:spacing w:after="0" w:line="259" w:lineRule="auto"/>
              <w:ind w:left="0" w:firstLine="0"/>
            </w:pPr>
            <w:r>
              <w:t xml:space="preserve">DSPT </w:t>
            </w:r>
          </w:p>
        </w:tc>
        <w:tc>
          <w:tcPr>
            <w:tcW w:w="8765" w:type="dxa"/>
            <w:tcBorders>
              <w:top w:val="single" w:sz="2" w:space="0" w:color="FFFFFF"/>
              <w:left w:val="single" w:sz="3" w:space="0" w:color="000000"/>
              <w:bottom w:val="single" w:sz="2" w:space="0" w:color="FFFFFF"/>
              <w:right w:val="single" w:sz="3" w:space="0" w:color="000000"/>
            </w:tcBorders>
            <w:vAlign w:val="center"/>
          </w:tcPr>
          <w:p w14:paraId="4890E481" w14:textId="77777777" w:rsidR="003F0DB8" w:rsidRDefault="00000000">
            <w:pPr>
              <w:spacing w:after="0" w:line="259" w:lineRule="auto"/>
              <w:ind w:left="1" w:firstLine="0"/>
            </w:pPr>
            <w:r>
              <w:t xml:space="preserve">Data Security and Protection Toolkit. The NHS-aligned annual assurance regime applicable to CQC. </w:t>
            </w:r>
          </w:p>
        </w:tc>
      </w:tr>
      <w:tr w:rsidR="003F0DB8" w14:paraId="490BDD48" w14:textId="77777777">
        <w:trPr>
          <w:trHeight w:val="830"/>
        </w:trPr>
        <w:tc>
          <w:tcPr>
            <w:tcW w:w="1151" w:type="dxa"/>
            <w:tcBorders>
              <w:top w:val="single" w:sz="2" w:space="0" w:color="FFFFFF"/>
              <w:left w:val="single" w:sz="3" w:space="0" w:color="000000"/>
              <w:bottom w:val="single" w:sz="3" w:space="0" w:color="000000"/>
              <w:right w:val="single" w:sz="3" w:space="0" w:color="000000"/>
            </w:tcBorders>
          </w:tcPr>
          <w:p w14:paraId="4CC60DEA" w14:textId="77777777" w:rsidR="003F0DB8" w:rsidRDefault="00000000">
            <w:pPr>
              <w:spacing w:after="0" w:line="259" w:lineRule="auto"/>
              <w:ind w:left="0" w:firstLine="0"/>
            </w:pPr>
            <w:r>
              <w:t xml:space="preserve">FinOps </w:t>
            </w:r>
          </w:p>
        </w:tc>
        <w:tc>
          <w:tcPr>
            <w:tcW w:w="8765" w:type="dxa"/>
            <w:tcBorders>
              <w:top w:val="single" w:sz="2" w:space="0" w:color="FFFFFF"/>
              <w:left w:val="single" w:sz="3" w:space="0" w:color="000000"/>
              <w:bottom w:val="single" w:sz="3" w:space="0" w:color="000000"/>
              <w:right w:val="single" w:sz="3" w:space="0" w:color="000000"/>
            </w:tcBorders>
            <w:vAlign w:val="center"/>
          </w:tcPr>
          <w:p w14:paraId="65109AB4" w14:textId="77777777" w:rsidR="003F0DB8" w:rsidRDefault="00000000">
            <w:pPr>
              <w:spacing w:after="0" w:line="259" w:lineRule="auto"/>
              <w:ind w:left="1" w:firstLine="0"/>
            </w:pPr>
            <w:r>
              <w:t xml:space="preserve">Cloud financial management practice. Combines technology, finance and business to drive cost accountability. </w:t>
            </w:r>
          </w:p>
        </w:tc>
      </w:tr>
      <w:tr w:rsidR="003F0DB8" w14:paraId="6BCFBED7" w14:textId="77777777">
        <w:trPr>
          <w:trHeight w:val="832"/>
        </w:trPr>
        <w:tc>
          <w:tcPr>
            <w:tcW w:w="1151" w:type="dxa"/>
            <w:tcBorders>
              <w:top w:val="single" w:sz="3" w:space="0" w:color="000000"/>
              <w:left w:val="single" w:sz="3" w:space="0" w:color="000000"/>
              <w:bottom w:val="single" w:sz="2" w:space="0" w:color="FFFFFF"/>
              <w:right w:val="single" w:sz="3" w:space="0" w:color="000000"/>
            </w:tcBorders>
          </w:tcPr>
          <w:p w14:paraId="6734F097" w14:textId="77777777" w:rsidR="003F0DB8" w:rsidRDefault="00000000">
            <w:pPr>
              <w:spacing w:after="0" w:line="259" w:lineRule="auto"/>
              <w:ind w:left="4" w:firstLine="0"/>
            </w:pPr>
            <w:r>
              <w:t xml:space="preserve">GovAssure </w:t>
            </w:r>
          </w:p>
        </w:tc>
        <w:tc>
          <w:tcPr>
            <w:tcW w:w="8765" w:type="dxa"/>
            <w:tcBorders>
              <w:top w:val="single" w:sz="3" w:space="0" w:color="000000"/>
              <w:left w:val="single" w:sz="3" w:space="0" w:color="000000"/>
              <w:bottom w:val="single" w:sz="2" w:space="0" w:color="FFFFFF"/>
              <w:right w:val="single" w:sz="3" w:space="0" w:color="000000"/>
            </w:tcBorders>
            <w:vAlign w:val="center"/>
          </w:tcPr>
          <w:p w14:paraId="74FEBE19" w14:textId="77777777" w:rsidR="003F0DB8" w:rsidRDefault="00000000">
            <w:pPr>
              <w:spacing w:after="0" w:line="259" w:lineRule="auto"/>
              <w:ind w:left="0" w:firstLine="0"/>
              <w:jc w:val="both"/>
            </w:pPr>
            <w:r>
              <w:t xml:space="preserve">The Cabinet Office cyber assurance regime for UK government departments and arm's-length bodies. </w:t>
            </w:r>
          </w:p>
        </w:tc>
      </w:tr>
      <w:tr w:rsidR="003F0DB8" w14:paraId="1D2E765A" w14:textId="77777777">
        <w:trPr>
          <w:trHeight w:val="833"/>
        </w:trPr>
        <w:tc>
          <w:tcPr>
            <w:tcW w:w="1151" w:type="dxa"/>
            <w:tcBorders>
              <w:top w:val="single" w:sz="2" w:space="0" w:color="FFFFFF"/>
              <w:left w:val="single" w:sz="3" w:space="0" w:color="000000"/>
              <w:bottom w:val="single" w:sz="2" w:space="0" w:color="FFFFFF"/>
              <w:right w:val="single" w:sz="3" w:space="0" w:color="000000"/>
            </w:tcBorders>
          </w:tcPr>
          <w:p w14:paraId="1BD91E64" w14:textId="77777777" w:rsidR="003F0DB8" w:rsidRDefault="00000000">
            <w:pPr>
              <w:spacing w:after="0" w:line="259" w:lineRule="auto"/>
              <w:ind w:left="4" w:firstLine="0"/>
            </w:pPr>
            <w:r>
              <w:t xml:space="preserve">IaC </w:t>
            </w:r>
          </w:p>
        </w:tc>
        <w:tc>
          <w:tcPr>
            <w:tcW w:w="8765" w:type="dxa"/>
            <w:tcBorders>
              <w:top w:val="single" w:sz="2" w:space="0" w:color="FFFFFF"/>
              <w:left w:val="single" w:sz="3" w:space="0" w:color="000000"/>
              <w:bottom w:val="single" w:sz="2" w:space="0" w:color="FFFFFF"/>
              <w:right w:val="single" w:sz="3" w:space="0" w:color="000000"/>
            </w:tcBorders>
            <w:vAlign w:val="center"/>
          </w:tcPr>
          <w:p w14:paraId="736FA589" w14:textId="77777777" w:rsidR="003F0DB8" w:rsidRDefault="00000000">
            <w:pPr>
              <w:spacing w:after="0" w:line="259" w:lineRule="auto"/>
              <w:ind w:left="0" w:firstLine="0"/>
            </w:pPr>
            <w:r>
              <w:t xml:space="preserve">Infrastructure as Code. The practice of provisioning and managing infrastructure via machinereadable definition files. </w:t>
            </w:r>
          </w:p>
        </w:tc>
      </w:tr>
      <w:tr w:rsidR="003F0DB8" w14:paraId="2464295E" w14:textId="77777777">
        <w:trPr>
          <w:trHeight w:val="828"/>
        </w:trPr>
        <w:tc>
          <w:tcPr>
            <w:tcW w:w="1151" w:type="dxa"/>
            <w:tcBorders>
              <w:top w:val="single" w:sz="2" w:space="0" w:color="FFFFFF"/>
              <w:left w:val="single" w:sz="3" w:space="0" w:color="000000"/>
              <w:bottom w:val="single" w:sz="2" w:space="0" w:color="FFFFFF"/>
              <w:right w:val="single" w:sz="3" w:space="0" w:color="000000"/>
            </w:tcBorders>
          </w:tcPr>
          <w:p w14:paraId="1A7F1EA8" w14:textId="77777777" w:rsidR="003F0DB8" w:rsidRDefault="00000000">
            <w:pPr>
              <w:spacing w:after="0" w:line="259" w:lineRule="auto"/>
              <w:ind w:left="4" w:firstLine="0"/>
            </w:pPr>
            <w:r>
              <w:t xml:space="preserve">JIT </w:t>
            </w:r>
          </w:p>
        </w:tc>
        <w:tc>
          <w:tcPr>
            <w:tcW w:w="8765" w:type="dxa"/>
            <w:tcBorders>
              <w:top w:val="single" w:sz="2" w:space="0" w:color="FFFFFF"/>
              <w:left w:val="single" w:sz="3" w:space="0" w:color="000000"/>
              <w:bottom w:val="single" w:sz="2" w:space="0" w:color="FFFFFF"/>
              <w:right w:val="single" w:sz="3" w:space="0" w:color="000000"/>
            </w:tcBorders>
            <w:vAlign w:val="center"/>
          </w:tcPr>
          <w:p w14:paraId="19C7E335" w14:textId="77777777" w:rsidR="003F0DB8" w:rsidRDefault="00000000">
            <w:pPr>
              <w:spacing w:after="0" w:line="259" w:lineRule="auto"/>
              <w:ind w:left="0" w:firstLine="0"/>
            </w:pPr>
            <w:r>
              <w:t xml:space="preserve">Just-In-Time. Time-bound, on-demand elevation of privileged access, granted only for the duration needed. </w:t>
            </w:r>
          </w:p>
        </w:tc>
      </w:tr>
      <w:tr w:rsidR="003F0DB8" w14:paraId="392DE328" w14:textId="77777777">
        <w:trPr>
          <w:trHeight w:val="833"/>
        </w:trPr>
        <w:tc>
          <w:tcPr>
            <w:tcW w:w="1151" w:type="dxa"/>
            <w:tcBorders>
              <w:top w:val="single" w:sz="2" w:space="0" w:color="FFFFFF"/>
              <w:left w:val="single" w:sz="3" w:space="0" w:color="000000"/>
              <w:bottom w:val="single" w:sz="2" w:space="0" w:color="FFFFFF"/>
              <w:right w:val="single" w:sz="3" w:space="0" w:color="000000"/>
            </w:tcBorders>
          </w:tcPr>
          <w:p w14:paraId="3193CF12" w14:textId="77777777" w:rsidR="003F0DB8" w:rsidRDefault="00000000">
            <w:pPr>
              <w:spacing w:after="0" w:line="259" w:lineRule="auto"/>
              <w:ind w:left="4" w:firstLine="0"/>
            </w:pPr>
            <w:r>
              <w:t xml:space="preserve">MLOps </w:t>
            </w:r>
          </w:p>
        </w:tc>
        <w:tc>
          <w:tcPr>
            <w:tcW w:w="8765" w:type="dxa"/>
            <w:tcBorders>
              <w:top w:val="single" w:sz="2" w:space="0" w:color="FFFFFF"/>
              <w:left w:val="single" w:sz="3" w:space="0" w:color="000000"/>
              <w:bottom w:val="single" w:sz="2" w:space="0" w:color="FFFFFF"/>
              <w:right w:val="single" w:sz="3" w:space="0" w:color="000000"/>
            </w:tcBorders>
            <w:vAlign w:val="center"/>
          </w:tcPr>
          <w:p w14:paraId="0E7BA9CD" w14:textId="77777777" w:rsidR="003F0DB8" w:rsidRDefault="00000000">
            <w:pPr>
              <w:spacing w:after="0" w:line="259" w:lineRule="auto"/>
              <w:ind w:left="0" w:right="14" w:firstLine="0"/>
            </w:pPr>
            <w:r>
              <w:t xml:space="preserve">Machine Learning Operations. The practice of deploying, monitoring and managing ML models in production. </w:t>
            </w:r>
          </w:p>
        </w:tc>
      </w:tr>
      <w:tr w:rsidR="003F0DB8" w14:paraId="7D09499D" w14:textId="77777777">
        <w:trPr>
          <w:trHeight w:val="832"/>
        </w:trPr>
        <w:tc>
          <w:tcPr>
            <w:tcW w:w="1151" w:type="dxa"/>
            <w:tcBorders>
              <w:top w:val="single" w:sz="2" w:space="0" w:color="FFFFFF"/>
              <w:left w:val="single" w:sz="3" w:space="0" w:color="000000"/>
              <w:bottom w:val="single" w:sz="2" w:space="0" w:color="FFFFFF"/>
              <w:right w:val="single" w:sz="3" w:space="0" w:color="000000"/>
            </w:tcBorders>
          </w:tcPr>
          <w:p w14:paraId="30704C86" w14:textId="77777777" w:rsidR="003F0DB8" w:rsidRDefault="00000000">
            <w:pPr>
              <w:spacing w:after="0" w:line="259" w:lineRule="auto"/>
              <w:ind w:left="4" w:firstLine="0"/>
            </w:pPr>
            <w:r>
              <w:t xml:space="preserve">NCSC CAF </w:t>
            </w:r>
          </w:p>
        </w:tc>
        <w:tc>
          <w:tcPr>
            <w:tcW w:w="8765" w:type="dxa"/>
            <w:tcBorders>
              <w:top w:val="single" w:sz="2" w:space="0" w:color="FFFFFF"/>
              <w:left w:val="single" w:sz="3" w:space="0" w:color="000000"/>
              <w:bottom w:val="single" w:sz="2" w:space="0" w:color="FFFFFF"/>
              <w:right w:val="single" w:sz="3" w:space="0" w:color="000000"/>
            </w:tcBorders>
            <w:vAlign w:val="center"/>
          </w:tcPr>
          <w:p w14:paraId="5F348619" w14:textId="77777777" w:rsidR="003F0DB8" w:rsidRDefault="00000000">
            <w:pPr>
              <w:spacing w:after="0" w:line="259" w:lineRule="auto"/>
              <w:ind w:left="0" w:firstLine="0"/>
            </w:pPr>
            <w:r>
              <w:t xml:space="preserve">National Cyber Security Centre Cyber Assessment Framework. The UK government baseline for cyber resilience. </w:t>
            </w:r>
          </w:p>
        </w:tc>
      </w:tr>
      <w:tr w:rsidR="003F0DB8" w14:paraId="02090541" w14:textId="77777777">
        <w:trPr>
          <w:trHeight w:val="829"/>
        </w:trPr>
        <w:tc>
          <w:tcPr>
            <w:tcW w:w="1151" w:type="dxa"/>
            <w:tcBorders>
              <w:top w:val="single" w:sz="2" w:space="0" w:color="FFFFFF"/>
              <w:left w:val="single" w:sz="3" w:space="0" w:color="000000"/>
              <w:bottom w:val="single" w:sz="2" w:space="0" w:color="FFFFFF"/>
              <w:right w:val="single" w:sz="3" w:space="0" w:color="000000"/>
            </w:tcBorders>
          </w:tcPr>
          <w:p w14:paraId="685A18C0" w14:textId="77777777" w:rsidR="003F0DB8" w:rsidRDefault="00000000">
            <w:pPr>
              <w:spacing w:after="0" w:line="259" w:lineRule="auto"/>
              <w:ind w:left="4" w:firstLine="0"/>
            </w:pPr>
            <w:r>
              <w:t xml:space="preserve">NSG </w:t>
            </w:r>
          </w:p>
        </w:tc>
        <w:tc>
          <w:tcPr>
            <w:tcW w:w="8765" w:type="dxa"/>
            <w:tcBorders>
              <w:top w:val="single" w:sz="2" w:space="0" w:color="FFFFFF"/>
              <w:left w:val="single" w:sz="3" w:space="0" w:color="000000"/>
              <w:bottom w:val="single" w:sz="2" w:space="0" w:color="FFFFFF"/>
              <w:right w:val="single" w:sz="3" w:space="0" w:color="000000"/>
            </w:tcBorders>
            <w:vAlign w:val="center"/>
          </w:tcPr>
          <w:p w14:paraId="63745C62" w14:textId="77777777" w:rsidR="003F0DB8" w:rsidRDefault="00000000">
            <w:pPr>
              <w:spacing w:after="0" w:line="259" w:lineRule="auto"/>
              <w:ind w:left="0" w:right="22" w:firstLine="0"/>
            </w:pPr>
            <w:r>
              <w:t xml:space="preserve">Network Security Group. An Azure resource that filters network traffic between Azure resources in a VNet. </w:t>
            </w:r>
          </w:p>
        </w:tc>
      </w:tr>
      <w:tr w:rsidR="003F0DB8" w14:paraId="30238098" w14:textId="77777777">
        <w:trPr>
          <w:trHeight w:val="832"/>
        </w:trPr>
        <w:tc>
          <w:tcPr>
            <w:tcW w:w="1151" w:type="dxa"/>
            <w:tcBorders>
              <w:top w:val="single" w:sz="2" w:space="0" w:color="FFFFFF"/>
              <w:left w:val="single" w:sz="3" w:space="0" w:color="000000"/>
              <w:bottom w:val="single" w:sz="2" w:space="0" w:color="FFFFFF"/>
              <w:right w:val="single" w:sz="3" w:space="0" w:color="000000"/>
            </w:tcBorders>
          </w:tcPr>
          <w:p w14:paraId="2F1B4670" w14:textId="77777777" w:rsidR="003F0DB8" w:rsidRDefault="00000000">
            <w:pPr>
              <w:spacing w:after="0" w:line="259" w:lineRule="auto"/>
              <w:ind w:left="4" w:firstLine="0"/>
            </w:pPr>
            <w:r>
              <w:lastRenderedPageBreak/>
              <w:t xml:space="preserve">PIM </w:t>
            </w:r>
          </w:p>
        </w:tc>
        <w:tc>
          <w:tcPr>
            <w:tcW w:w="8765" w:type="dxa"/>
            <w:tcBorders>
              <w:top w:val="single" w:sz="2" w:space="0" w:color="FFFFFF"/>
              <w:left w:val="single" w:sz="3" w:space="0" w:color="000000"/>
              <w:bottom w:val="single" w:sz="2" w:space="0" w:color="FFFFFF"/>
              <w:right w:val="single" w:sz="3" w:space="0" w:color="000000"/>
            </w:tcBorders>
            <w:vAlign w:val="center"/>
          </w:tcPr>
          <w:p w14:paraId="4469F687" w14:textId="77777777" w:rsidR="003F0DB8" w:rsidRDefault="00000000">
            <w:pPr>
              <w:spacing w:after="0" w:line="259" w:lineRule="auto"/>
              <w:ind w:left="0" w:firstLine="0"/>
            </w:pPr>
            <w:r>
              <w:t xml:space="preserve">Privileged Identity Management. The Entra ID service that provides just-in-time elevation for privileged roles. </w:t>
            </w:r>
          </w:p>
        </w:tc>
      </w:tr>
      <w:tr w:rsidR="003F0DB8" w14:paraId="1C725F1F" w14:textId="77777777">
        <w:trPr>
          <w:trHeight w:val="832"/>
        </w:trPr>
        <w:tc>
          <w:tcPr>
            <w:tcW w:w="1151" w:type="dxa"/>
            <w:tcBorders>
              <w:top w:val="single" w:sz="2" w:space="0" w:color="FFFFFF"/>
              <w:left w:val="single" w:sz="3" w:space="0" w:color="000000"/>
              <w:bottom w:val="single" w:sz="2" w:space="0" w:color="FFFFFF"/>
              <w:right w:val="single" w:sz="3" w:space="0" w:color="000000"/>
            </w:tcBorders>
          </w:tcPr>
          <w:p w14:paraId="5D09221B" w14:textId="77777777" w:rsidR="003F0DB8" w:rsidRDefault="00000000">
            <w:pPr>
              <w:spacing w:after="0" w:line="259" w:lineRule="auto"/>
              <w:ind w:left="4" w:firstLine="0"/>
            </w:pPr>
            <w:r>
              <w:t xml:space="preserve">SoCC </w:t>
            </w:r>
          </w:p>
        </w:tc>
        <w:tc>
          <w:tcPr>
            <w:tcW w:w="8765" w:type="dxa"/>
            <w:tcBorders>
              <w:top w:val="single" w:sz="2" w:space="0" w:color="FFFFFF"/>
              <w:left w:val="single" w:sz="3" w:space="0" w:color="000000"/>
              <w:bottom w:val="single" w:sz="2" w:space="0" w:color="FFFFFF"/>
              <w:right w:val="single" w:sz="3" w:space="0" w:color="000000"/>
            </w:tcBorders>
            <w:vAlign w:val="center"/>
          </w:tcPr>
          <w:p w14:paraId="426E4C50" w14:textId="77777777" w:rsidR="003F0DB8" w:rsidRDefault="00000000">
            <w:pPr>
              <w:spacing w:after="0" w:line="259" w:lineRule="auto"/>
              <w:ind w:left="0" w:firstLine="0"/>
              <w:jc w:val="both"/>
            </w:pPr>
            <w:r>
              <w:t xml:space="preserve">Security Operations Centre Capability. NHS England-funded service that supports CQC's Sentinel operation. </w:t>
            </w:r>
          </w:p>
        </w:tc>
      </w:tr>
      <w:tr w:rsidR="003F0DB8" w14:paraId="6FE03C94" w14:textId="77777777">
        <w:trPr>
          <w:trHeight w:val="828"/>
        </w:trPr>
        <w:tc>
          <w:tcPr>
            <w:tcW w:w="1151" w:type="dxa"/>
            <w:tcBorders>
              <w:top w:val="single" w:sz="2" w:space="0" w:color="FFFFFF"/>
              <w:left w:val="single" w:sz="3" w:space="0" w:color="000000"/>
              <w:bottom w:val="single" w:sz="2" w:space="0" w:color="FFFFFF"/>
              <w:right w:val="single" w:sz="3" w:space="0" w:color="000000"/>
            </w:tcBorders>
          </w:tcPr>
          <w:p w14:paraId="6AB7FBBB" w14:textId="77777777" w:rsidR="003F0DB8" w:rsidRDefault="00000000">
            <w:pPr>
              <w:spacing w:after="0" w:line="259" w:lineRule="auto"/>
              <w:ind w:left="4" w:firstLine="0"/>
            </w:pPr>
            <w:r>
              <w:t xml:space="preserve">TDA </w:t>
            </w:r>
          </w:p>
        </w:tc>
        <w:tc>
          <w:tcPr>
            <w:tcW w:w="8765" w:type="dxa"/>
            <w:tcBorders>
              <w:top w:val="single" w:sz="2" w:space="0" w:color="FFFFFF"/>
              <w:left w:val="single" w:sz="3" w:space="0" w:color="000000"/>
              <w:bottom w:val="single" w:sz="2" w:space="0" w:color="FFFFFF"/>
              <w:right w:val="single" w:sz="3" w:space="0" w:color="000000"/>
            </w:tcBorders>
            <w:vAlign w:val="center"/>
          </w:tcPr>
          <w:p w14:paraId="2F411C1C" w14:textId="77777777" w:rsidR="003F0DB8" w:rsidRDefault="00000000">
            <w:pPr>
              <w:spacing w:after="0" w:line="259" w:lineRule="auto"/>
              <w:ind w:left="0" w:right="35" w:firstLine="0"/>
            </w:pPr>
            <w:r>
              <w:t xml:space="preserve">Technical Design Authority. The internal review board that ratifies designs before implementation. </w:t>
            </w:r>
          </w:p>
        </w:tc>
      </w:tr>
      <w:tr w:rsidR="003F0DB8" w14:paraId="48FBA7E6" w14:textId="77777777">
        <w:trPr>
          <w:trHeight w:val="518"/>
        </w:trPr>
        <w:tc>
          <w:tcPr>
            <w:tcW w:w="1151" w:type="dxa"/>
            <w:tcBorders>
              <w:top w:val="single" w:sz="2" w:space="0" w:color="FFFFFF"/>
              <w:left w:val="single" w:sz="3" w:space="0" w:color="000000"/>
              <w:bottom w:val="single" w:sz="3" w:space="0" w:color="000000"/>
              <w:right w:val="single" w:sz="3" w:space="0" w:color="000000"/>
            </w:tcBorders>
            <w:vAlign w:val="center"/>
          </w:tcPr>
          <w:p w14:paraId="0880F4E0" w14:textId="77777777" w:rsidR="003F0DB8" w:rsidRDefault="00000000">
            <w:pPr>
              <w:spacing w:after="0" w:line="259" w:lineRule="auto"/>
              <w:ind w:left="4" w:firstLine="0"/>
            </w:pPr>
            <w:r>
              <w:t xml:space="preserve">WAF </w:t>
            </w:r>
          </w:p>
        </w:tc>
        <w:tc>
          <w:tcPr>
            <w:tcW w:w="8765" w:type="dxa"/>
            <w:tcBorders>
              <w:top w:val="single" w:sz="2" w:space="0" w:color="FFFFFF"/>
              <w:left w:val="single" w:sz="3" w:space="0" w:color="000000"/>
              <w:bottom w:val="single" w:sz="3" w:space="0" w:color="000000"/>
              <w:right w:val="single" w:sz="3" w:space="0" w:color="000000"/>
            </w:tcBorders>
            <w:vAlign w:val="center"/>
          </w:tcPr>
          <w:p w14:paraId="563EF9A2" w14:textId="77777777" w:rsidR="003F0DB8" w:rsidRDefault="00000000">
            <w:pPr>
              <w:spacing w:after="0" w:line="259" w:lineRule="auto"/>
              <w:ind w:left="0" w:firstLine="0"/>
            </w:pPr>
            <w:r>
              <w:t xml:space="preserve">Web Application Firewall (or Well-Architected Framework, depending on context). </w:t>
            </w:r>
          </w:p>
        </w:tc>
      </w:tr>
    </w:tbl>
    <w:p w14:paraId="7964F98B" w14:textId="77777777" w:rsidR="003F0DB8" w:rsidRDefault="00000000">
      <w:pPr>
        <w:spacing w:after="0" w:line="259" w:lineRule="auto"/>
        <w:ind w:left="0" w:firstLine="0"/>
        <w:jc w:val="both"/>
      </w:pPr>
      <w:r>
        <w:rPr>
          <w:sz w:val="24"/>
        </w:rPr>
        <w:t xml:space="preserve"> </w:t>
      </w:r>
      <w:r>
        <w:rPr>
          <w:sz w:val="24"/>
        </w:rPr>
        <w:tab/>
      </w:r>
      <w:r>
        <w:rPr>
          <w:sz w:val="32"/>
        </w:rPr>
        <w:t xml:space="preserve"> </w:t>
      </w:r>
    </w:p>
    <w:p w14:paraId="31C64547" w14:textId="77777777" w:rsidR="003F0DB8" w:rsidRDefault="00000000">
      <w:pPr>
        <w:pStyle w:val="Heading1"/>
        <w:spacing w:after="0"/>
        <w:ind w:left="-5"/>
      </w:pPr>
      <w:bookmarkStart w:id="96" w:name="_Toc96878"/>
      <w:r>
        <w:rPr>
          <w:sz w:val="32"/>
        </w:rPr>
        <w:t xml:space="preserve">Contacts </w:t>
      </w:r>
      <w:bookmarkEnd w:id="96"/>
    </w:p>
    <w:p w14:paraId="1E5C9155" w14:textId="77777777" w:rsidR="003F0DB8" w:rsidRDefault="00000000">
      <w:pPr>
        <w:spacing w:after="110" w:line="269" w:lineRule="auto"/>
        <w:ind w:left="10" w:right="3" w:hanging="10"/>
      </w:pPr>
      <w:r>
        <w:rPr>
          <w:sz w:val="24"/>
        </w:rPr>
        <w:t xml:space="preserve">For further information, please contact: </w:t>
      </w:r>
    </w:p>
    <w:p w14:paraId="604029DE" w14:textId="77777777" w:rsidR="003F0DB8" w:rsidRDefault="00000000">
      <w:pPr>
        <w:spacing w:after="234" w:line="259" w:lineRule="auto"/>
        <w:ind w:left="0" w:firstLine="0"/>
      </w:pPr>
      <w:r>
        <w:rPr>
          <w:b/>
          <w:sz w:val="24"/>
        </w:rPr>
        <w:t xml:space="preserve"> </w:t>
      </w:r>
    </w:p>
    <w:p w14:paraId="18930823" w14:textId="77777777" w:rsidR="003F0DB8" w:rsidRDefault="00000000">
      <w:pPr>
        <w:spacing w:after="233" w:line="259" w:lineRule="auto"/>
        <w:ind w:left="-5" w:hanging="10"/>
      </w:pPr>
      <w:r>
        <w:rPr>
          <w:b/>
          <w:sz w:val="24"/>
        </w:rPr>
        <w:t xml:space="preserve">Jesmond Giordmaina </w:t>
      </w:r>
    </w:p>
    <w:p w14:paraId="5BABDC10" w14:textId="77777777" w:rsidR="003F0DB8" w:rsidRDefault="00000000">
      <w:pPr>
        <w:spacing w:after="110" w:line="269" w:lineRule="auto"/>
        <w:ind w:left="10" w:right="3" w:hanging="10"/>
      </w:pPr>
      <w:r>
        <w:rPr>
          <w:sz w:val="24"/>
        </w:rPr>
        <w:t xml:space="preserve">Technical Director </w:t>
      </w:r>
    </w:p>
    <w:p w14:paraId="6B26383D" w14:textId="77777777" w:rsidR="003F0DB8" w:rsidRDefault="00000000">
      <w:pPr>
        <w:spacing w:after="126" w:line="259" w:lineRule="auto"/>
        <w:ind w:left="0" w:firstLine="0"/>
      </w:pPr>
      <w:r>
        <w:rPr>
          <w:sz w:val="24"/>
        </w:rPr>
        <w:t xml:space="preserve"> </w:t>
      </w:r>
    </w:p>
    <w:p w14:paraId="3448619D" w14:textId="77777777" w:rsidR="003F0DB8" w:rsidRDefault="00000000">
      <w:pPr>
        <w:pStyle w:val="Heading2"/>
        <w:spacing w:after="229"/>
        <w:ind w:left="-5"/>
      </w:pPr>
      <w:r>
        <w:rPr>
          <w:sz w:val="24"/>
        </w:rPr>
        <w:t xml:space="preserve">Hitachi Solutions </w:t>
      </w:r>
    </w:p>
    <w:p w14:paraId="57D59BC6" w14:textId="77777777" w:rsidR="003F0DB8" w:rsidRDefault="00000000">
      <w:pPr>
        <w:spacing w:after="12" w:line="269" w:lineRule="auto"/>
        <w:ind w:left="10" w:right="3" w:hanging="10"/>
      </w:pPr>
      <w:r>
        <w:rPr>
          <w:sz w:val="24"/>
        </w:rPr>
        <w:t xml:space="preserve">London office </w:t>
      </w:r>
    </w:p>
    <w:p w14:paraId="38C5EFAB" w14:textId="77777777" w:rsidR="003F0DB8" w:rsidRDefault="00000000">
      <w:pPr>
        <w:spacing w:after="12" w:line="269" w:lineRule="auto"/>
        <w:ind w:left="10" w:right="3" w:hanging="10"/>
      </w:pPr>
      <w:r>
        <w:rPr>
          <w:sz w:val="24"/>
        </w:rPr>
        <w:t xml:space="preserve">110 Bishopsgate </w:t>
      </w:r>
    </w:p>
    <w:p w14:paraId="1C884CD0" w14:textId="77777777" w:rsidR="003F0DB8" w:rsidRDefault="00000000">
      <w:pPr>
        <w:spacing w:after="12" w:line="269" w:lineRule="auto"/>
        <w:ind w:left="10" w:right="3" w:hanging="10"/>
      </w:pPr>
      <w:r>
        <w:rPr>
          <w:sz w:val="24"/>
        </w:rPr>
        <w:t xml:space="preserve">23rd floor </w:t>
      </w:r>
    </w:p>
    <w:p w14:paraId="33F78B4C" w14:textId="77777777" w:rsidR="003F0DB8" w:rsidRDefault="00000000">
      <w:pPr>
        <w:spacing w:after="12" w:line="269" w:lineRule="auto"/>
        <w:ind w:left="10" w:right="3" w:hanging="10"/>
      </w:pPr>
      <w:r>
        <w:rPr>
          <w:sz w:val="24"/>
        </w:rPr>
        <w:t xml:space="preserve">London UK </w:t>
      </w:r>
    </w:p>
    <w:p w14:paraId="3AA7C43E" w14:textId="77777777" w:rsidR="003F0DB8" w:rsidRDefault="00000000">
      <w:pPr>
        <w:spacing w:after="110" w:line="269" w:lineRule="auto"/>
        <w:ind w:left="10" w:right="3" w:hanging="10"/>
      </w:pPr>
      <w:r>
        <w:rPr>
          <w:sz w:val="24"/>
        </w:rPr>
        <w:t xml:space="preserve">EC2N 4AY </w:t>
      </w:r>
    </w:p>
    <w:p w14:paraId="51204C00" w14:textId="77777777" w:rsidR="003F0DB8" w:rsidRDefault="00000000">
      <w:pPr>
        <w:spacing w:after="126" w:line="259" w:lineRule="auto"/>
        <w:ind w:left="0" w:firstLine="0"/>
      </w:pPr>
      <w:r>
        <w:rPr>
          <w:sz w:val="24"/>
        </w:rPr>
        <w:lastRenderedPageBreak/>
        <w:t xml:space="preserve"> </w:t>
      </w:r>
    </w:p>
    <w:p w14:paraId="5F106ECB" w14:textId="77777777" w:rsidR="003F0DB8" w:rsidRDefault="00000000">
      <w:pPr>
        <w:spacing w:after="110" w:line="269" w:lineRule="auto"/>
        <w:ind w:left="10" w:right="3" w:hanging="10"/>
      </w:pPr>
      <w:r>
        <w:rPr>
          <w:b/>
          <w:sz w:val="24"/>
        </w:rPr>
        <w:t>Email:</w:t>
      </w:r>
      <w:r>
        <w:rPr>
          <w:sz w:val="24"/>
        </w:rPr>
        <w:t xml:space="preserve">  jgiordmaina@hitachisolutions.com </w:t>
      </w:r>
    </w:p>
    <w:p w14:paraId="147756F0" w14:textId="77777777" w:rsidR="003F0DB8" w:rsidRDefault="00000000">
      <w:pPr>
        <w:spacing w:after="110" w:line="269" w:lineRule="auto"/>
        <w:ind w:left="10" w:right="3" w:hanging="10"/>
      </w:pPr>
      <w:r>
        <w:rPr>
          <w:b/>
          <w:sz w:val="24"/>
        </w:rPr>
        <w:t>Mobile:</w:t>
      </w:r>
      <w:r>
        <w:rPr>
          <w:sz w:val="24"/>
        </w:rPr>
        <w:t xml:space="preserve"> +7825 996 838 </w:t>
      </w:r>
    </w:p>
    <w:p w14:paraId="414EEBF6" w14:textId="77777777" w:rsidR="003F0DB8" w:rsidRDefault="00000000">
      <w:pPr>
        <w:spacing w:after="110" w:line="269" w:lineRule="auto"/>
        <w:ind w:left="10" w:right="3" w:hanging="10"/>
      </w:pPr>
      <w:r>
        <w:rPr>
          <w:b/>
          <w:sz w:val="24"/>
        </w:rPr>
        <w:t>Office:</w:t>
      </w:r>
      <w:r>
        <w:rPr>
          <w:sz w:val="24"/>
        </w:rPr>
        <w:t xml:space="preserve"> +44 (0)204 526 8510 </w:t>
      </w:r>
    </w:p>
    <w:p w14:paraId="0BBF0DBE" w14:textId="77777777" w:rsidR="003F0DB8" w:rsidRDefault="00000000">
      <w:pPr>
        <w:spacing w:after="125" w:line="259" w:lineRule="auto"/>
        <w:ind w:left="0" w:firstLine="0"/>
      </w:pPr>
      <w:r>
        <w:rPr>
          <w:sz w:val="24"/>
        </w:rPr>
        <w:t xml:space="preserve"> </w:t>
      </w:r>
    </w:p>
    <w:p w14:paraId="3B7EEF8A" w14:textId="77777777" w:rsidR="003F0DB8" w:rsidRDefault="00000000">
      <w:pPr>
        <w:pStyle w:val="Heading2"/>
        <w:spacing w:after="229"/>
        <w:ind w:left="-5"/>
      </w:pPr>
      <w:r>
        <w:rPr>
          <w:sz w:val="24"/>
        </w:rPr>
        <w:t xml:space="preserve">Change History </w:t>
      </w:r>
    </w:p>
    <w:p w14:paraId="0FB85FD8" w14:textId="77777777" w:rsidR="003F0DB8" w:rsidRDefault="00000000">
      <w:pPr>
        <w:spacing w:after="0" w:line="259" w:lineRule="auto"/>
        <w:ind w:left="0" w:firstLine="0"/>
      </w:pPr>
      <w:r>
        <w:rPr>
          <w:b/>
          <w:sz w:val="24"/>
        </w:rPr>
        <w:t xml:space="preserve"> </w:t>
      </w:r>
    </w:p>
    <w:tbl>
      <w:tblPr>
        <w:tblStyle w:val="TableGrid"/>
        <w:tblW w:w="9026" w:type="dxa"/>
        <w:tblInd w:w="7" w:type="dxa"/>
        <w:tblCellMar>
          <w:top w:w="228" w:type="dxa"/>
          <w:left w:w="105" w:type="dxa"/>
          <w:bottom w:w="155" w:type="dxa"/>
          <w:right w:w="115" w:type="dxa"/>
        </w:tblCellMar>
        <w:tblLook w:val="04A0" w:firstRow="1" w:lastRow="0" w:firstColumn="1" w:lastColumn="0" w:noHBand="0" w:noVBand="1"/>
      </w:tblPr>
      <w:tblGrid>
        <w:gridCol w:w="2255"/>
        <w:gridCol w:w="2256"/>
        <w:gridCol w:w="2257"/>
        <w:gridCol w:w="2258"/>
      </w:tblGrid>
      <w:tr w:rsidR="003F0DB8" w14:paraId="3E0C0671" w14:textId="77777777">
        <w:trPr>
          <w:trHeight w:val="580"/>
        </w:trPr>
        <w:tc>
          <w:tcPr>
            <w:tcW w:w="2256" w:type="dxa"/>
            <w:tcBorders>
              <w:top w:val="single" w:sz="3" w:space="0" w:color="CCCCCC"/>
              <w:left w:val="single" w:sz="3" w:space="0" w:color="CCCCCC"/>
              <w:bottom w:val="single" w:sz="3" w:space="0" w:color="CCCCCC"/>
              <w:right w:val="single" w:sz="3" w:space="0" w:color="CCCCCC"/>
            </w:tcBorders>
            <w:shd w:val="clear" w:color="auto" w:fill="1F3864"/>
            <w:vAlign w:val="center"/>
          </w:tcPr>
          <w:p w14:paraId="2F41ABB9" w14:textId="77777777" w:rsidR="003F0DB8" w:rsidRDefault="00000000">
            <w:pPr>
              <w:spacing w:after="0" w:line="259" w:lineRule="auto"/>
              <w:ind w:left="0" w:firstLine="0"/>
            </w:pPr>
            <w:r>
              <w:rPr>
                <w:b/>
                <w:color w:val="FFFFFF"/>
              </w:rPr>
              <w:t xml:space="preserve">Date </w:t>
            </w:r>
          </w:p>
        </w:tc>
        <w:tc>
          <w:tcPr>
            <w:tcW w:w="2256" w:type="dxa"/>
            <w:tcBorders>
              <w:top w:val="single" w:sz="3" w:space="0" w:color="CCCCCC"/>
              <w:left w:val="single" w:sz="3" w:space="0" w:color="CCCCCC"/>
              <w:bottom w:val="single" w:sz="3" w:space="0" w:color="CCCCCC"/>
              <w:right w:val="single" w:sz="3" w:space="0" w:color="CCCCCC"/>
            </w:tcBorders>
            <w:shd w:val="clear" w:color="auto" w:fill="1F3864"/>
            <w:vAlign w:val="center"/>
          </w:tcPr>
          <w:p w14:paraId="0565B246" w14:textId="77777777" w:rsidR="003F0DB8" w:rsidRDefault="00000000">
            <w:pPr>
              <w:spacing w:after="0" w:line="259" w:lineRule="auto"/>
              <w:ind w:left="1" w:firstLine="0"/>
            </w:pPr>
            <w:r>
              <w:rPr>
                <w:b/>
                <w:color w:val="FFFFFF"/>
              </w:rPr>
              <w:t xml:space="preserve">Name </w:t>
            </w:r>
          </w:p>
        </w:tc>
        <w:tc>
          <w:tcPr>
            <w:tcW w:w="2257" w:type="dxa"/>
            <w:tcBorders>
              <w:top w:val="single" w:sz="3" w:space="0" w:color="CCCCCC"/>
              <w:left w:val="single" w:sz="3" w:space="0" w:color="CCCCCC"/>
              <w:bottom w:val="single" w:sz="3" w:space="0" w:color="CCCCCC"/>
              <w:right w:val="single" w:sz="3" w:space="0" w:color="CCCCCC"/>
            </w:tcBorders>
            <w:shd w:val="clear" w:color="auto" w:fill="1F3864"/>
            <w:vAlign w:val="center"/>
          </w:tcPr>
          <w:p w14:paraId="2974E7A5" w14:textId="77777777" w:rsidR="003F0DB8" w:rsidRDefault="00000000">
            <w:pPr>
              <w:spacing w:after="0" w:line="259" w:lineRule="auto"/>
              <w:ind w:left="1" w:firstLine="0"/>
            </w:pPr>
            <w:r>
              <w:rPr>
                <w:b/>
                <w:color w:val="FFFFFF"/>
              </w:rPr>
              <w:t xml:space="preserve">Version </w:t>
            </w:r>
          </w:p>
        </w:tc>
        <w:tc>
          <w:tcPr>
            <w:tcW w:w="2258" w:type="dxa"/>
            <w:tcBorders>
              <w:top w:val="single" w:sz="3" w:space="0" w:color="CCCCCC"/>
              <w:left w:val="single" w:sz="3" w:space="0" w:color="CCCCCC"/>
              <w:bottom w:val="single" w:sz="3" w:space="0" w:color="CCCCCC"/>
              <w:right w:val="single" w:sz="3" w:space="0" w:color="CCCCCC"/>
            </w:tcBorders>
            <w:shd w:val="clear" w:color="auto" w:fill="1F3864"/>
            <w:vAlign w:val="center"/>
          </w:tcPr>
          <w:p w14:paraId="04E771F9" w14:textId="77777777" w:rsidR="003F0DB8" w:rsidRDefault="00000000">
            <w:pPr>
              <w:spacing w:after="0" w:line="259" w:lineRule="auto"/>
              <w:ind w:left="1" w:firstLine="0"/>
            </w:pPr>
            <w:r>
              <w:rPr>
                <w:b/>
                <w:color w:val="FFFFFF"/>
              </w:rPr>
              <w:t xml:space="preserve">Change Reference </w:t>
            </w:r>
          </w:p>
        </w:tc>
      </w:tr>
      <w:tr w:rsidR="003F0DB8" w14:paraId="6601F3D9" w14:textId="77777777">
        <w:trPr>
          <w:trHeight w:val="1211"/>
        </w:trPr>
        <w:tc>
          <w:tcPr>
            <w:tcW w:w="2256" w:type="dxa"/>
            <w:tcBorders>
              <w:top w:val="single" w:sz="3" w:space="0" w:color="CCCCCC"/>
              <w:left w:val="single" w:sz="3" w:space="0" w:color="CCCCCC"/>
              <w:bottom w:val="single" w:sz="3" w:space="0" w:color="CCCCCC"/>
              <w:right w:val="single" w:sz="3" w:space="0" w:color="CCCCCC"/>
            </w:tcBorders>
          </w:tcPr>
          <w:p w14:paraId="6E600499" w14:textId="77777777" w:rsidR="003F0DB8" w:rsidRDefault="00000000">
            <w:pPr>
              <w:spacing w:after="0" w:line="259" w:lineRule="auto"/>
              <w:ind w:left="0" w:firstLine="0"/>
            </w:pPr>
            <w:r>
              <w:t>9</w:t>
            </w:r>
            <w:r>
              <w:rPr>
                <w:vertAlign w:val="superscript"/>
              </w:rPr>
              <w:t>th</w:t>
            </w:r>
            <w:r>
              <w:t xml:space="preserve"> June 2026 </w:t>
            </w:r>
          </w:p>
        </w:tc>
        <w:tc>
          <w:tcPr>
            <w:tcW w:w="2256" w:type="dxa"/>
            <w:tcBorders>
              <w:top w:val="single" w:sz="3" w:space="0" w:color="CCCCCC"/>
              <w:left w:val="single" w:sz="3" w:space="0" w:color="CCCCCC"/>
              <w:bottom w:val="single" w:sz="3" w:space="0" w:color="CCCCCC"/>
              <w:right w:val="single" w:sz="3" w:space="0" w:color="CCCCCC"/>
            </w:tcBorders>
            <w:vAlign w:val="bottom"/>
          </w:tcPr>
          <w:p w14:paraId="749D62D5" w14:textId="77777777" w:rsidR="003F0DB8" w:rsidRDefault="00000000">
            <w:pPr>
              <w:spacing w:after="0" w:line="259" w:lineRule="auto"/>
              <w:ind w:left="1" w:firstLine="0"/>
            </w:pPr>
            <w:r>
              <w:t xml:space="preserve">Jesmond </w:t>
            </w:r>
          </w:p>
          <w:p w14:paraId="54E56BF4" w14:textId="77777777" w:rsidR="003F0DB8" w:rsidRDefault="00000000">
            <w:pPr>
              <w:spacing w:after="0" w:line="259" w:lineRule="auto"/>
              <w:ind w:left="1" w:firstLine="0"/>
            </w:pPr>
            <w:r>
              <w:t xml:space="preserve">Giordmaina/Aaron </w:t>
            </w:r>
          </w:p>
          <w:p w14:paraId="006B631C" w14:textId="77777777" w:rsidR="003F0DB8" w:rsidRDefault="00000000">
            <w:pPr>
              <w:spacing w:after="0" w:line="259" w:lineRule="auto"/>
              <w:ind w:left="1" w:firstLine="0"/>
            </w:pPr>
            <w:r>
              <w:t xml:space="preserve">Hughes </w:t>
            </w:r>
          </w:p>
        </w:tc>
        <w:tc>
          <w:tcPr>
            <w:tcW w:w="2257" w:type="dxa"/>
            <w:tcBorders>
              <w:top w:val="single" w:sz="3" w:space="0" w:color="CCCCCC"/>
              <w:left w:val="single" w:sz="3" w:space="0" w:color="CCCCCC"/>
              <w:bottom w:val="single" w:sz="3" w:space="0" w:color="CCCCCC"/>
              <w:right w:val="single" w:sz="3" w:space="0" w:color="CCCCCC"/>
            </w:tcBorders>
          </w:tcPr>
          <w:p w14:paraId="32C5D921" w14:textId="77777777" w:rsidR="003F0DB8" w:rsidRDefault="00000000">
            <w:pPr>
              <w:spacing w:after="0" w:line="259" w:lineRule="auto"/>
              <w:ind w:left="1" w:firstLine="0"/>
            </w:pPr>
            <w:r>
              <w:t xml:space="preserve">0.1 </w:t>
            </w:r>
          </w:p>
        </w:tc>
        <w:tc>
          <w:tcPr>
            <w:tcW w:w="2258" w:type="dxa"/>
            <w:tcBorders>
              <w:top w:val="single" w:sz="3" w:space="0" w:color="CCCCCC"/>
              <w:left w:val="single" w:sz="3" w:space="0" w:color="CCCCCC"/>
              <w:bottom w:val="single" w:sz="3" w:space="0" w:color="CCCCCC"/>
              <w:right w:val="single" w:sz="3" w:space="0" w:color="CCCCCC"/>
            </w:tcBorders>
            <w:vAlign w:val="bottom"/>
          </w:tcPr>
          <w:p w14:paraId="6B27840E" w14:textId="77777777" w:rsidR="003F0DB8" w:rsidRDefault="00000000">
            <w:pPr>
              <w:spacing w:after="0" w:line="259" w:lineRule="auto"/>
              <w:ind w:left="1" w:firstLine="0"/>
            </w:pPr>
            <w:r>
              <w:t xml:space="preserve">Initial Release for feedback. Data &amp; AI section updates </w:t>
            </w:r>
          </w:p>
        </w:tc>
      </w:tr>
      <w:tr w:rsidR="003F0DB8" w14:paraId="21034B9D" w14:textId="77777777">
        <w:trPr>
          <w:trHeight w:val="648"/>
        </w:trPr>
        <w:tc>
          <w:tcPr>
            <w:tcW w:w="2256" w:type="dxa"/>
            <w:tcBorders>
              <w:top w:val="single" w:sz="3" w:space="0" w:color="CCCCCC"/>
              <w:left w:val="single" w:sz="3" w:space="0" w:color="CCCCCC"/>
              <w:bottom w:val="single" w:sz="3" w:space="0" w:color="CCCCCC"/>
              <w:right w:val="single" w:sz="3" w:space="0" w:color="CCCCCC"/>
            </w:tcBorders>
            <w:vAlign w:val="center"/>
          </w:tcPr>
          <w:p w14:paraId="73F4BD7F" w14:textId="77777777" w:rsidR="003F0DB8" w:rsidRDefault="00000000">
            <w:pPr>
              <w:spacing w:after="0" w:line="259" w:lineRule="auto"/>
              <w:ind w:left="0" w:firstLine="0"/>
            </w:pPr>
            <w:r>
              <w:t xml:space="preserve"> </w:t>
            </w:r>
          </w:p>
        </w:tc>
        <w:tc>
          <w:tcPr>
            <w:tcW w:w="2256" w:type="dxa"/>
            <w:tcBorders>
              <w:top w:val="single" w:sz="3" w:space="0" w:color="CCCCCC"/>
              <w:left w:val="single" w:sz="3" w:space="0" w:color="CCCCCC"/>
              <w:bottom w:val="single" w:sz="3" w:space="0" w:color="CCCCCC"/>
              <w:right w:val="single" w:sz="3" w:space="0" w:color="CCCCCC"/>
            </w:tcBorders>
            <w:vAlign w:val="center"/>
          </w:tcPr>
          <w:p w14:paraId="0F16A009" w14:textId="77777777" w:rsidR="003F0DB8" w:rsidRDefault="00000000">
            <w:pPr>
              <w:spacing w:after="0" w:line="259" w:lineRule="auto"/>
              <w:ind w:left="1" w:firstLine="0"/>
            </w:pPr>
            <w:r>
              <w:t xml:space="preserve"> </w:t>
            </w:r>
          </w:p>
        </w:tc>
        <w:tc>
          <w:tcPr>
            <w:tcW w:w="2257" w:type="dxa"/>
            <w:tcBorders>
              <w:top w:val="single" w:sz="3" w:space="0" w:color="CCCCCC"/>
              <w:left w:val="single" w:sz="3" w:space="0" w:color="CCCCCC"/>
              <w:bottom w:val="single" w:sz="3" w:space="0" w:color="CCCCCC"/>
              <w:right w:val="single" w:sz="3" w:space="0" w:color="CCCCCC"/>
            </w:tcBorders>
            <w:vAlign w:val="center"/>
          </w:tcPr>
          <w:p w14:paraId="72062626" w14:textId="77777777" w:rsidR="003F0DB8" w:rsidRDefault="00000000">
            <w:pPr>
              <w:spacing w:after="0" w:line="259" w:lineRule="auto"/>
              <w:ind w:left="1" w:firstLine="0"/>
            </w:pPr>
            <w:r>
              <w:t xml:space="preserve"> </w:t>
            </w:r>
          </w:p>
        </w:tc>
        <w:tc>
          <w:tcPr>
            <w:tcW w:w="2258" w:type="dxa"/>
            <w:tcBorders>
              <w:top w:val="single" w:sz="3" w:space="0" w:color="CCCCCC"/>
              <w:left w:val="single" w:sz="3" w:space="0" w:color="CCCCCC"/>
              <w:bottom w:val="single" w:sz="3" w:space="0" w:color="CCCCCC"/>
              <w:right w:val="single" w:sz="3" w:space="0" w:color="CCCCCC"/>
            </w:tcBorders>
            <w:vAlign w:val="center"/>
          </w:tcPr>
          <w:p w14:paraId="70F27870" w14:textId="77777777" w:rsidR="003F0DB8" w:rsidRDefault="00000000">
            <w:pPr>
              <w:spacing w:after="0" w:line="259" w:lineRule="auto"/>
              <w:ind w:left="1" w:firstLine="0"/>
            </w:pPr>
            <w:r>
              <w:t xml:space="preserve"> </w:t>
            </w:r>
          </w:p>
        </w:tc>
      </w:tr>
      <w:tr w:rsidR="003F0DB8" w14:paraId="5CCAB605" w14:textId="77777777">
        <w:trPr>
          <w:trHeight w:val="644"/>
        </w:trPr>
        <w:tc>
          <w:tcPr>
            <w:tcW w:w="2256" w:type="dxa"/>
            <w:tcBorders>
              <w:top w:val="single" w:sz="3" w:space="0" w:color="CCCCCC"/>
              <w:left w:val="single" w:sz="3" w:space="0" w:color="CCCCCC"/>
              <w:bottom w:val="single" w:sz="3" w:space="0" w:color="CCCCCC"/>
              <w:right w:val="single" w:sz="3" w:space="0" w:color="CCCCCC"/>
            </w:tcBorders>
            <w:vAlign w:val="center"/>
          </w:tcPr>
          <w:p w14:paraId="1678814E" w14:textId="77777777" w:rsidR="003F0DB8" w:rsidRDefault="00000000">
            <w:pPr>
              <w:spacing w:after="0" w:line="259" w:lineRule="auto"/>
              <w:ind w:left="0" w:firstLine="0"/>
            </w:pPr>
            <w:r>
              <w:t xml:space="preserve"> </w:t>
            </w:r>
          </w:p>
        </w:tc>
        <w:tc>
          <w:tcPr>
            <w:tcW w:w="2256" w:type="dxa"/>
            <w:tcBorders>
              <w:top w:val="single" w:sz="3" w:space="0" w:color="CCCCCC"/>
              <w:left w:val="single" w:sz="3" w:space="0" w:color="CCCCCC"/>
              <w:bottom w:val="single" w:sz="3" w:space="0" w:color="CCCCCC"/>
              <w:right w:val="single" w:sz="3" w:space="0" w:color="CCCCCC"/>
            </w:tcBorders>
            <w:vAlign w:val="center"/>
          </w:tcPr>
          <w:p w14:paraId="28055AD0" w14:textId="77777777" w:rsidR="003F0DB8" w:rsidRDefault="00000000">
            <w:pPr>
              <w:spacing w:after="0" w:line="259" w:lineRule="auto"/>
              <w:ind w:left="1" w:firstLine="0"/>
            </w:pPr>
            <w:r>
              <w:t xml:space="preserve"> </w:t>
            </w:r>
          </w:p>
        </w:tc>
        <w:tc>
          <w:tcPr>
            <w:tcW w:w="2257" w:type="dxa"/>
            <w:tcBorders>
              <w:top w:val="single" w:sz="3" w:space="0" w:color="CCCCCC"/>
              <w:left w:val="single" w:sz="3" w:space="0" w:color="CCCCCC"/>
              <w:bottom w:val="single" w:sz="3" w:space="0" w:color="CCCCCC"/>
              <w:right w:val="single" w:sz="3" w:space="0" w:color="CCCCCC"/>
            </w:tcBorders>
            <w:vAlign w:val="center"/>
          </w:tcPr>
          <w:p w14:paraId="7079B05B" w14:textId="77777777" w:rsidR="003F0DB8" w:rsidRDefault="00000000">
            <w:pPr>
              <w:spacing w:after="0" w:line="259" w:lineRule="auto"/>
              <w:ind w:left="1" w:firstLine="0"/>
            </w:pPr>
            <w:r>
              <w:t xml:space="preserve"> </w:t>
            </w:r>
          </w:p>
        </w:tc>
        <w:tc>
          <w:tcPr>
            <w:tcW w:w="2258" w:type="dxa"/>
            <w:tcBorders>
              <w:top w:val="single" w:sz="3" w:space="0" w:color="CCCCCC"/>
              <w:left w:val="single" w:sz="3" w:space="0" w:color="CCCCCC"/>
              <w:bottom w:val="single" w:sz="3" w:space="0" w:color="CCCCCC"/>
              <w:right w:val="single" w:sz="3" w:space="0" w:color="CCCCCC"/>
            </w:tcBorders>
            <w:vAlign w:val="center"/>
          </w:tcPr>
          <w:p w14:paraId="076F8840" w14:textId="77777777" w:rsidR="003F0DB8" w:rsidRDefault="00000000">
            <w:pPr>
              <w:spacing w:after="0" w:line="259" w:lineRule="auto"/>
              <w:ind w:left="1" w:firstLine="0"/>
            </w:pPr>
            <w:r>
              <w:t xml:space="preserve"> </w:t>
            </w:r>
          </w:p>
        </w:tc>
      </w:tr>
      <w:tr w:rsidR="003F0DB8" w14:paraId="46438315" w14:textId="77777777">
        <w:trPr>
          <w:trHeight w:val="648"/>
        </w:trPr>
        <w:tc>
          <w:tcPr>
            <w:tcW w:w="2256" w:type="dxa"/>
            <w:tcBorders>
              <w:top w:val="single" w:sz="3" w:space="0" w:color="CCCCCC"/>
              <w:left w:val="single" w:sz="3" w:space="0" w:color="CCCCCC"/>
              <w:bottom w:val="single" w:sz="3" w:space="0" w:color="CCCCCC"/>
              <w:right w:val="single" w:sz="3" w:space="0" w:color="CCCCCC"/>
            </w:tcBorders>
            <w:vAlign w:val="center"/>
          </w:tcPr>
          <w:p w14:paraId="67B5D58D" w14:textId="77777777" w:rsidR="003F0DB8" w:rsidRDefault="00000000">
            <w:pPr>
              <w:spacing w:after="0" w:line="259" w:lineRule="auto"/>
              <w:ind w:left="0" w:firstLine="0"/>
            </w:pPr>
            <w:r>
              <w:t xml:space="preserve"> </w:t>
            </w:r>
          </w:p>
        </w:tc>
        <w:tc>
          <w:tcPr>
            <w:tcW w:w="2256" w:type="dxa"/>
            <w:tcBorders>
              <w:top w:val="single" w:sz="3" w:space="0" w:color="CCCCCC"/>
              <w:left w:val="single" w:sz="3" w:space="0" w:color="CCCCCC"/>
              <w:bottom w:val="single" w:sz="3" w:space="0" w:color="CCCCCC"/>
              <w:right w:val="single" w:sz="3" w:space="0" w:color="CCCCCC"/>
            </w:tcBorders>
            <w:vAlign w:val="center"/>
          </w:tcPr>
          <w:p w14:paraId="45CE661A" w14:textId="77777777" w:rsidR="003F0DB8" w:rsidRDefault="00000000">
            <w:pPr>
              <w:spacing w:after="0" w:line="259" w:lineRule="auto"/>
              <w:ind w:left="1" w:firstLine="0"/>
            </w:pPr>
            <w:r>
              <w:t xml:space="preserve"> </w:t>
            </w:r>
          </w:p>
        </w:tc>
        <w:tc>
          <w:tcPr>
            <w:tcW w:w="2257" w:type="dxa"/>
            <w:tcBorders>
              <w:top w:val="single" w:sz="3" w:space="0" w:color="CCCCCC"/>
              <w:left w:val="single" w:sz="3" w:space="0" w:color="CCCCCC"/>
              <w:bottom w:val="single" w:sz="3" w:space="0" w:color="CCCCCC"/>
              <w:right w:val="single" w:sz="3" w:space="0" w:color="CCCCCC"/>
            </w:tcBorders>
            <w:vAlign w:val="center"/>
          </w:tcPr>
          <w:p w14:paraId="1A2FD228" w14:textId="77777777" w:rsidR="003F0DB8" w:rsidRDefault="00000000">
            <w:pPr>
              <w:spacing w:after="0" w:line="259" w:lineRule="auto"/>
              <w:ind w:left="1" w:firstLine="0"/>
            </w:pPr>
            <w:r>
              <w:t xml:space="preserve"> </w:t>
            </w:r>
          </w:p>
        </w:tc>
        <w:tc>
          <w:tcPr>
            <w:tcW w:w="2258" w:type="dxa"/>
            <w:tcBorders>
              <w:top w:val="single" w:sz="3" w:space="0" w:color="CCCCCC"/>
              <w:left w:val="single" w:sz="3" w:space="0" w:color="CCCCCC"/>
              <w:bottom w:val="single" w:sz="3" w:space="0" w:color="CCCCCC"/>
              <w:right w:val="single" w:sz="3" w:space="0" w:color="CCCCCC"/>
            </w:tcBorders>
            <w:vAlign w:val="center"/>
          </w:tcPr>
          <w:p w14:paraId="379E12C9" w14:textId="77777777" w:rsidR="003F0DB8" w:rsidRDefault="00000000">
            <w:pPr>
              <w:spacing w:after="0" w:line="259" w:lineRule="auto"/>
              <w:ind w:left="1" w:firstLine="0"/>
            </w:pPr>
            <w:r>
              <w:t xml:space="preserve"> </w:t>
            </w:r>
          </w:p>
        </w:tc>
      </w:tr>
    </w:tbl>
    <w:p w14:paraId="2708A335" w14:textId="77777777" w:rsidR="003F0DB8" w:rsidRDefault="00000000">
      <w:pPr>
        <w:spacing w:after="126" w:line="259" w:lineRule="auto"/>
        <w:ind w:left="0" w:firstLine="0"/>
        <w:jc w:val="both"/>
      </w:pPr>
      <w:r>
        <w:rPr>
          <w:sz w:val="24"/>
        </w:rPr>
        <w:t xml:space="preserve"> </w:t>
      </w:r>
    </w:p>
    <w:p w14:paraId="1169F549" w14:textId="77777777" w:rsidR="003F0DB8" w:rsidRDefault="00000000">
      <w:pPr>
        <w:spacing w:after="121" w:line="259" w:lineRule="auto"/>
        <w:ind w:left="0" w:firstLine="0"/>
        <w:jc w:val="both"/>
      </w:pPr>
      <w:r>
        <w:rPr>
          <w:sz w:val="24"/>
        </w:rPr>
        <w:lastRenderedPageBreak/>
        <w:t xml:space="preserve"> </w:t>
      </w:r>
    </w:p>
    <w:p w14:paraId="28F39A82" w14:textId="77777777" w:rsidR="003F0DB8" w:rsidRDefault="00000000">
      <w:pPr>
        <w:spacing w:after="125" w:line="259" w:lineRule="auto"/>
        <w:ind w:left="0" w:firstLine="0"/>
        <w:jc w:val="both"/>
      </w:pPr>
      <w:r>
        <w:rPr>
          <w:sz w:val="24"/>
        </w:rPr>
        <w:t xml:space="preserve"> </w:t>
      </w:r>
    </w:p>
    <w:p w14:paraId="247B2E6B" w14:textId="77777777" w:rsidR="003F0DB8" w:rsidRDefault="00000000">
      <w:pPr>
        <w:spacing w:after="0" w:line="259" w:lineRule="auto"/>
        <w:ind w:left="0" w:firstLine="0"/>
        <w:jc w:val="both"/>
      </w:pPr>
      <w:r>
        <w:rPr>
          <w:sz w:val="24"/>
        </w:rPr>
        <w:t xml:space="preserve"> </w:t>
      </w:r>
    </w:p>
    <w:sectPr w:rsidR="003F0DB8">
      <w:headerReference w:type="even" r:id="rId51"/>
      <w:headerReference w:type="default" r:id="rId52"/>
      <w:headerReference w:type="first" r:id="rId53"/>
      <w:pgSz w:w="16836" w:h="11908" w:orient="landscape"/>
      <w:pgMar w:top="879" w:right="1538" w:bottom="1448"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11BC7" w14:textId="77777777" w:rsidR="003458C5" w:rsidRDefault="003458C5">
      <w:pPr>
        <w:spacing w:after="0" w:line="240" w:lineRule="auto"/>
      </w:pPr>
      <w:r>
        <w:separator/>
      </w:r>
    </w:p>
  </w:endnote>
  <w:endnote w:type="continuationSeparator" w:id="0">
    <w:p w14:paraId="03730C48" w14:textId="77777777" w:rsidR="003458C5" w:rsidRDefault="00345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99365" w14:textId="77777777" w:rsidR="003458C5" w:rsidRDefault="003458C5">
      <w:pPr>
        <w:spacing w:after="0" w:line="240" w:lineRule="auto"/>
      </w:pPr>
      <w:r>
        <w:separator/>
      </w:r>
    </w:p>
  </w:footnote>
  <w:footnote w:type="continuationSeparator" w:id="0">
    <w:p w14:paraId="5367621E" w14:textId="77777777" w:rsidR="003458C5" w:rsidRDefault="003458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EA5C0" w14:textId="77777777" w:rsidR="003F0DB8" w:rsidRDefault="003F0DB8">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B834E" w14:textId="77777777" w:rsidR="003F0DB8" w:rsidRDefault="003F0DB8">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E2556" w14:textId="77777777" w:rsidR="003F0DB8" w:rsidRDefault="003F0DB8">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2235C" w14:textId="77777777" w:rsidR="003F0DB8" w:rsidRDefault="00000000">
    <w:pPr>
      <w:spacing w:after="0" w:line="259" w:lineRule="auto"/>
      <w:ind w:left="0" w:firstLine="0"/>
    </w:pPr>
    <w:r>
      <w:rPr>
        <w:rFonts w:ascii="Segoe UI Symbol" w:eastAsia="Segoe UI Symbol" w:hAnsi="Segoe UI Symbol" w:cs="Segoe UI Symbol"/>
        <w:sz w:val="24"/>
      </w:rPr>
      <w:t>•</w:t>
    </w:r>
    <w:r>
      <w:rPr>
        <w:rFonts w:ascii="Arial" w:eastAsia="Arial" w:hAnsi="Arial" w:cs="Arial"/>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C0D8D" w14:textId="77777777" w:rsidR="003F0DB8" w:rsidRDefault="003F0DB8">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DF9CD" w14:textId="77777777" w:rsidR="003F0DB8" w:rsidRDefault="00000000">
    <w:pPr>
      <w:spacing w:after="0" w:line="259" w:lineRule="auto"/>
      <w:ind w:left="0" w:firstLine="0"/>
    </w:pPr>
    <w:r>
      <w:rPr>
        <w:rFonts w:ascii="Segoe UI Symbol" w:eastAsia="Segoe UI Symbol" w:hAnsi="Segoe UI Symbol" w:cs="Segoe UI Symbol"/>
        <w:sz w:val="24"/>
      </w:rPr>
      <w:t>•</w:t>
    </w:r>
    <w:r>
      <w:rPr>
        <w:rFonts w:ascii="Arial" w:eastAsia="Arial" w:hAnsi="Arial" w:cs="Arial"/>
        <w:sz w:val="24"/>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0327F" w14:textId="77777777" w:rsidR="003F0DB8" w:rsidRDefault="003F0DB8">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87B2" w14:textId="77777777" w:rsidR="003F0DB8" w:rsidRDefault="003F0DB8">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2C4FF" w14:textId="77777777" w:rsidR="003F0DB8" w:rsidRDefault="003F0DB8">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F10"/>
    <w:multiLevelType w:val="hybridMultilevel"/>
    <w:tmpl w:val="06CAEC1E"/>
    <w:lvl w:ilvl="0" w:tplc="EB523CA4">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B6A9B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9F4621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EDE032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60AC2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210032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8C607C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D42FB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CAAFE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742B74"/>
    <w:multiLevelType w:val="hybridMultilevel"/>
    <w:tmpl w:val="6894938C"/>
    <w:lvl w:ilvl="0" w:tplc="DA58FC9C">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22D2E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8A2362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1E07A9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7CBB2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BA4B85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1BCD19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C47A5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16EBE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CA19E3"/>
    <w:multiLevelType w:val="hybridMultilevel"/>
    <w:tmpl w:val="7AFA6CA8"/>
    <w:lvl w:ilvl="0" w:tplc="D19CEEF2">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0AC81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C6C55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5629A5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7C22C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C6D62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C8755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4ADBB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8A58B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9425DC"/>
    <w:multiLevelType w:val="hybridMultilevel"/>
    <w:tmpl w:val="44F873D2"/>
    <w:lvl w:ilvl="0" w:tplc="A270457A">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6AFE1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D0535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9A2419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6AB08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A4559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9D226E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3EB85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A483F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DF6F22"/>
    <w:multiLevelType w:val="hybridMultilevel"/>
    <w:tmpl w:val="9968B68E"/>
    <w:lvl w:ilvl="0" w:tplc="DAD0DADC">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4E947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C0C9C3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4F098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A6C09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7C026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703D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D649F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B48D4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44E7F"/>
    <w:multiLevelType w:val="hybridMultilevel"/>
    <w:tmpl w:val="3B906638"/>
    <w:lvl w:ilvl="0" w:tplc="F4DEA9A4">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D00A6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CE61FA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F88E26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589C6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898A9C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A26B4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CCEAD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101AA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FA46AB"/>
    <w:multiLevelType w:val="hybridMultilevel"/>
    <w:tmpl w:val="C3566A40"/>
    <w:lvl w:ilvl="0" w:tplc="A980487C">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FC987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6FA31C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BA08A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64EF4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6026F7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5CF69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B88C1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7CA648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DC3B6F"/>
    <w:multiLevelType w:val="hybridMultilevel"/>
    <w:tmpl w:val="8FFC2926"/>
    <w:lvl w:ilvl="0" w:tplc="F092AD00">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5CC8C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1FCB4B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576352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F4431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36042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405F8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B68AC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9E9FA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124AE8"/>
    <w:multiLevelType w:val="hybridMultilevel"/>
    <w:tmpl w:val="DFEE4DAE"/>
    <w:lvl w:ilvl="0" w:tplc="925EA264">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CE0E6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A64B1C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BC0CB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6455B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630A5E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E4C51D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066A1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79A370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521C85"/>
    <w:multiLevelType w:val="hybridMultilevel"/>
    <w:tmpl w:val="C7F0D794"/>
    <w:lvl w:ilvl="0" w:tplc="C9488982">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F0613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CF420E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F6D02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94ED7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BF0DCE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E627FF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1E002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2C83E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0725B6"/>
    <w:multiLevelType w:val="hybridMultilevel"/>
    <w:tmpl w:val="EB5CDEC8"/>
    <w:lvl w:ilvl="0" w:tplc="6114C242">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0868D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842582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C48B87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76EAB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2E583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E0496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F8261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004845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2C352C"/>
    <w:multiLevelType w:val="hybridMultilevel"/>
    <w:tmpl w:val="2E92EAA4"/>
    <w:lvl w:ilvl="0" w:tplc="3A56660C">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0E089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1EB6C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DE160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1424C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466CD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04E1F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3AB54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C5C8BD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BA62E0"/>
    <w:multiLevelType w:val="hybridMultilevel"/>
    <w:tmpl w:val="DB282F56"/>
    <w:lvl w:ilvl="0" w:tplc="85A20A08">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84032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1689A6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38EA32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984DE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D04708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BE227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44BBE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628C5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FE2C17"/>
    <w:multiLevelType w:val="hybridMultilevel"/>
    <w:tmpl w:val="3DE27C92"/>
    <w:lvl w:ilvl="0" w:tplc="5504F8E0">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EC5C6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29280B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422B62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8406B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08653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50555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9C088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4441E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D64EFD"/>
    <w:multiLevelType w:val="hybridMultilevel"/>
    <w:tmpl w:val="2118D6E8"/>
    <w:lvl w:ilvl="0" w:tplc="1AF0C274">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5AB14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8C72F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4A9A7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6E209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A4071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2C4A9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5EEA9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CE061E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B65428"/>
    <w:multiLevelType w:val="hybridMultilevel"/>
    <w:tmpl w:val="B1DE40C4"/>
    <w:lvl w:ilvl="0" w:tplc="04B05718">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1065A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824ED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FA996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481C5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A2D86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E6EAB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A0B5F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13C56C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6A3ED0"/>
    <w:multiLevelType w:val="hybridMultilevel"/>
    <w:tmpl w:val="F85CA288"/>
    <w:lvl w:ilvl="0" w:tplc="AE2C4FEA">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EC953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F8EF9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58E533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FCE30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8A159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74C5B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6E713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4490F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9700AD"/>
    <w:multiLevelType w:val="hybridMultilevel"/>
    <w:tmpl w:val="549C6820"/>
    <w:lvl w:ilvl="0" w:tplc="1ABE2B26">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1C443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C8408D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19EBC4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5C75C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84426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74A58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0408B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77AB00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9F2E2D"/>
    <w:multiLevelType w:val="hybridMultilevel"/>
    <w:tmpl w:val="81900650"/>
    <w:lvl w:ilvl="0" w:tplc="A016F146">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E0119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7A0BA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9CC42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225CD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FF8BEA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06AF4C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EA4BB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FC66E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5F688E"/>
    <w:multiLevelType w:val="hybridMultilevel"/>
    <w:tmpl w:val="DE1EBB1C"/>
    <w:lvl w:ilvl="0" w:tplc="9404E446">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AC25B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00C09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26C085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A610C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BAB90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A5A164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1483B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EFCBF3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62681F"/>
    <w:multiLevelType w:val="hybridMultilevel"/>
    <w:tmpl w:val="6D443CA6"/>
    <w:lvl w:ilvl="0" w:tplc="39FCF8C4">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EEDA3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A4C059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2A0FA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1E051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1651B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55A0E6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70923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EE39F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806D8F"/>
    <w:multiLevelType w:val="hybridMultilevel"/>
    <w:tmpl w:val="A95A707A"/>
    <w:lvl w:ilvl="0" w:tplc="9A4CF820">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0ECC0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E5AA46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C2B96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8897A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99C72A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064C22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CAF5C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024F1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D23134"/>
    <w:multiLevelType w:val="hybridMultilevel"/>
    <w:tmpl w:val="869EC672"/>
    <w:lvl w:ilvl="0" w:tplc="B64869E4">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1E87E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A2A022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F02C4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D22AA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5A0D8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67A914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A2712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2656B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F14BF7"/>
    <w:multiLevelType w:val="hybridMultilevel"/>
    <w:tmpl w:val="F44A774E"/>
    <w:lvl w:ilvl="0" w:tplc="65A83406">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54EB5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81E8B3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AE4DF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50B75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794FB8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44BC2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2AD03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32C9A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967EAC"/>
    <w:multiLevelType w:val="hybridMultilevel"/>
    <w:tmpl w:val="D556F788"/>
    <w:lvl w:ilvl="0" w:tplc="CC965432">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A2BFB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4E237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46E41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FAAC1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B28232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C21C1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B8D7D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7FC71F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8716E2"/>
    <w:multiLevelType w:val="hybridMultilevel"/>
    <w:tmpl w:val="078ABD80"/>
    <w:lvl w:ilvl="0" w:tplc="64DA5BF6">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F0AC3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94DEA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0439A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9AAE1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ABCACC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BCFBC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025C4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8B4710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AA298F"/>
    <w:multiLevelType w:val="hybridMultilevel"/>
    <w:tmpl w:val="04B8468A"/>
    <w:lvl w:ilvl="0" w:tplc="B2D8A1B4">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568E6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8C81E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C0792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20291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BAC75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F4771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2E27B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5AEEE2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695A21"/>
    <w:multiLevelType w:val="hybridMultilevel"/>
    <w:tmpl w:val="B9A8DEE4"/>
    <w:lvl w:ilvl="0" w:tplc="89CA6CF0">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16B30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010E02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E29C0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7CBAA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AC98D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20B77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AE516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16BFE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A00EB2"/>
    <w:multiLevelType w:val="hybridMultilevel"/>
    <w:tmpl w:val="DCC040FC"/>
    <w:lvl w:ilvl="0" w:tplc="557A7AC6">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BC46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30A5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76C8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DEFC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4467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F6B7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34FE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645C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17E7222A"/>
    <w:multiLevelType w:val="hybridMultilevel"/>
    <w:tmpl w:val="CAB8689E"/>
    <w:lvl w:ilvl="0" w:tplc="CAF0175A">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10017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08297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9A882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BEB15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586ED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D4EB90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80D95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CC14C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F7191B"/>
    <w:multiLevelType w:val="hybridMultilevel"/>
    <w:tmpl w:val="BE3C9B54"/>
    <w:lvl w:ilvl="0" w:tplc="789EE59A">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D217D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0503B3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FCAAC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1C709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38175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2F0EDB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006EE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C0C940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191B5A"/>
    <w:multiLevelType w:val="hybridMultilevel"/>
    <w:tmpl w:val="0D26C0A6"/>
    <w:lvl w:ilvl="0" w:tplc="52387FF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1A6C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9EB0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96EA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CA40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D8C1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40CE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12A0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3C09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195E5B87"/>
    <w:multiLevelType w:val="hybridMultilevel"/>
    <w:tmpl w:val="3968B4C6"/>
    <w:lvl w:ilvl="0" w:tplc="A9D870FC">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E2321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1AD8E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2EA2F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38B34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C3EC79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6EA852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7C2D0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3A808B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ED5C9E"/>
    <w:multiLevelType w:val="hybridMultilevel"/>
    <w:tmpl w:val="C6E0FD60"/>
    <w:lvl w:ilvl="0" w:tplc="EB48CB58">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0CB38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FEACC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ECDF8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101ED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478140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6A9E6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88ED7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1E8BED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F223B7"/>
    <w:multiLevelType w:val="hybridMultilevel"/>
    <w:tmpl w:val="C7CA0B90"/>
    <w:lvl w:ilvl="0" w:tplc="0F8243D0">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4414F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FC724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31E73C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46A7D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80989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7C5C0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4EC24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780C4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521CB0"/>
    <w:multiLevelType w:val="hybridMultilevel"/>
    <w:tmpl w:val="80FCC4B6"/>
    <w:lvl w:ilvl="0" w:tplc="1BAE61C2">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6ACF4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542568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0C223B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A2511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D4EC8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42C053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C6068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322D05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9E59C4"/>
    <w:multiLevelType w:val="hybridMultilevel"/>
    <w:tmpl w:val="1630810A"/>
    <w:lvl w:ilvl="0" w:tplc="E6E2EC54">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443CD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9CBCF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9220FD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6EA02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3EB82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72727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18031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850D06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780923"/>
    <w:multiLevelType w:val="hybridMultilevel"/>
    <w:tmpl w:val="617E9A22"/>
    <w:lvl w:ilvl="0" w:tplc="741CD928">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224CF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204E3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64C04B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8EA2F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A089CF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4A709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341C4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C4EF10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FC2826"/>
    <w:multiLevelType w:val="hybridMultilevel"/>
    <w:tmpl w:val="00F2B2A6"/>
    <w:lvl w:ilvl="0" w:tplc="0D2225E4">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FA60D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9EEBF5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E4AC4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A698F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F089C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064A6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62EA3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DE968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B67529"/>
    <w:multiLevelType w:val="hybridMultilevel"/>
    <w:tmpl w:val="F04E615E"/>
    <w:lvl w:ilvl="0" w:tplc="DAA45C6C">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624DB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8640E1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1B8D4E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0C40B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14ABE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DA410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BC069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88400B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5758F8"/>
    <w:multiLevelType w:val="hybridMultilevel"/>
    <w:tmpl w:val="E0F602EA"/>
    <w:lvl w:ilvl="0" w:tplc="4C549C18">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DE253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92302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2A4C08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828DE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0E62BA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508566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981E3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9CD29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33338B"/>
    <w:multiLevelType w:val="hybridMultilevel"/>
    <w:tmpl w:val="531CB534"/>
    <w:lvl w:ilvl="0" w:tplc="0BDAE96C">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160D7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762DF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80565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0C8F7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22FEE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3A820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46158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ECCEA8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837FD1"/>
    <w:multiLevelType w:val="hybridMultilevel"/>
    <w:tmpl w:val="A55E7128"/>
    <w:lvl w:ilvl="0" w:tplc="67D85EB8">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2A983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B2712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5C6E27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540B7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76820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BCF86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6E61A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32F72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34472A"/>
    <w:multiLevelType w:val="hybridMultilevel"/>
    <w:tmpl w:val="D3121240"/>
    <w:lvl w:ilvl="0" w:tplc="967EF5F8">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BAB1C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022F9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D64407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369C7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9920C8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012D9D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02BFF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AA8C50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A0649F"/>
    <w:multiLevelType w:val="hybridMultilevel"/>
    <w:tmpl w:val="D46016FC"/>
    <w:lvl w:ilvl="0" w:tplc="248EE6BE">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8662A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DA19E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23ABCD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56F93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ACB7E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83EAFD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0ED8D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2FC4EA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8E2F87"/>
    <w:multiLevelType w:val="hybridMultilevel"/>
    <w:tmpl w:val="0AA2602A"/>
    <w:lvl w:ilvl="0" w:tplc="AA98258A">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90BA0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36649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BA2E5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3A620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4664E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802B3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24592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CE401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613B93"/>
    <w:multiLevelType w:val="hybridMultilevel"/>
    <w:tmpl w:val="494EBBBC"/>
    <w:lvl w:ilvl="0" w:tplc="A124717C">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B04C7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7A461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BAC6B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C41C2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D7EC5E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56344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8E93F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1843F0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A83FFF"/>
    <w:multiLevelType w:val="hybridMultilevel"/>
    <w:tmpl w:val="91F6F416"/>
    <w:lvl w:ilvl="0" w:tplc="752E09B8">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9E578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04CCF2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000E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A68C1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1A4631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3B4047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B29AD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78D4A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D76030"/>
    <w:multiLevelType w:val="hybridMultilevel"/>
    <w:tmpl w:val="AC327BB0"/>
    <w:lvl w:ilvl="0" w:tplc="7DBC0AF8">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4EE32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24BDE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C2B6B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3CCE3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0001F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5287D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FA9B3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D8A73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3264C9"/>
    <w:multiLevelType w:val="hybridMultilevel"/>
    <w:tmpl w:val="958CA352"/>
    <w:lvl w:ilvl="0" w:tplc="08A02280">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C094E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EED31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B2406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9E69B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E6959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9EF7F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1E5C2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D6115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41366F"/>
    <w:multiLevelType w:val="hybridMultilevel"/>
    <w:tmpl w:val="02A035CE"/>
    <w:lvl w:ilvl="0" w:tplc="71763268">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78214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0EA2F8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71E460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2E319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0146B6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06253F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68065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E62FA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6145EF"/>
    <w:multiLevelType w:val="hybridMultilevel"/>
    <w:tmpl w:val="2B4EC7EA"/>
    <w:lvl w:ilvl="0" w:tplc="FBE65876">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4AF66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536515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E0929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9E6D6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14ADA9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5ED0E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E4528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18298D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E21F70"/>
    <w:multiLevelType w:val="hybridMultilevel"/>
    <w:tmpl w:val="8C1EE49A"/>
    <w:lvl w:ilvl="0" w:tplc="670E04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8ADC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E0C3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2EE0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CCFD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DA7E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8451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C224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C468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32E408B3"/>
    <w:multiLevelType w:val="hybridMultilevel"/>
    <w:tmpl w:val="C2BE6CAC"/>
    <w:lvl w:ilvl="0" w:tplc="67D4BA16">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08EA1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376B51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1869E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56DF6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2ABDD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F283C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E26D2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E8EAF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336418"/>
    <w:multiLevelType w:val="hybridMultilevel"/>
    <w:tmpl w:val="531E09CC"/>
    <w:lvl w:ilvl="0" w:tplc="57DC1794">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8C4E7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80218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950FAF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DE2DE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E5A211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726747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B48BF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4651C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A1307C"/>
    <w:multiLevelType w:val="hybridMultilevel"/>
    <w:tmpl w:val="930A69F2"/>
    <w:lvl w:ilvl="0" w:tplc="F8E2C222">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6C35F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A7482A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8A06E1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9A59A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2EBBB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DE8C0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D2E15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70D80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6D64D4"/>
    <w:multiLevelType w:val="hybridMultilevel"/>
    <w:tmpl w:val="D9BA760C"/>
    <w:lvl w:ilvl="0" w:tplc="240423C4">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A6920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BE3B2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D0320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CA593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CA90B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02B59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20618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AB28EC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E3156D"/>
    <w:multiLevelType w:val="hybridMultilevel"/>
    <w:tmpl w:val="54E662CA"/>
    <w:lvl w:ilvl="0" w:tplc="3EC8D362">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FC3D3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CE1A8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70E713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EE954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E548DD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C82D4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FE9A4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B5A470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577042"/>
    <w:multiLevelType w:val="hybridMultilevel"/>
    <w:tmpl w:val="E9C6097C"/>
    <w:lvl w:ilvl="0" w:tplc="1818C178">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682C4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7CD7F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FBEDA9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EEE5F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0529AD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F40A1A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B06D9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523F6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8A1B6F"/>
    <w:multiLevelType w:val="hybridMultilevel"/>
    <w:tmpl w:val="3CD887E2"/>
    <w:lvl w:ilvl="0" w:tplc="891218E0">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16C98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968158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D4453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B2179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A288AD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1F8D2D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4056A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A5C8EA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352212"/>
    <w:multiLevelType w:val="hybridMultilevel"/>
    <w:tmpl w:val="6ABAF582"/>
    <w:lvl w:ilvl="0" w:tplc="0062067A">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10C21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8C4BD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C0D26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2C471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7FA280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D8756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FCCC5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FA6EC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642F15"/>
    <w:multiLevelType w:val="hybridMultilevel"/>
    <w:tmpl w:val="F3CC8E26"/>
    <w:lvl w:ilvl="0" w:tplc="D3C22FA8">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26F6D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D20941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8BAA93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8C2B0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EA25D0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906053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1A084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664650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9965B2"/>
    <w:multiLevelType w:val="hybridMultilevel"/>
    <w:tmpl w:val="696012E0"/>
    <w:lvl w:ilvl="0" w:tplc="5AD4E784">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3AD0B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507F4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9083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CE9A7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7C05FB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A64AA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52407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4CD1F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F808A0"/>
    <w:multiLevelType w:val="hybridMultilevel"/>
    <w:tmpl w:val="44F28E12"/>
    <w:lvl w:ilvl="0" w:tplc="B9FEE7F0">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92574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50A5C8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BABAA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32B8F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12CC42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F6B68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5E21D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3B092E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DD57A3"/>
    <w:multiLevelType w:val="hybridMultilevel"/>
    <w:tmpl w:val="975E8E34"/>
    <w:lvl w:ilvl="0" w:tplc="F0FE003A">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0A117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C6C64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C8F45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4E741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BA503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F92AE4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A8F2A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0C30A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A953FA"/>
    <w:multiLevelType w:val="hybridMultilevel"/>
    <w:tmpl w:val="F09C28DA"/>
    <w:lvl w:ilvl="0" w:tplc="A06AB38E">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EE873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1A687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50DC8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3A556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F480DE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7F0006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A808E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28D62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0470F2"/>
    <w:multiLevelType w:val="hybridMultilevel"/>
    <w:tmpl w:val="887A1B26"/>
    <w:lvl w:ilvl="0" w:tplc="EAE2725A">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361E0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B8AF5B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80EFF2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100A3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EA502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0227D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2E0CE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40C65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0A75EC"/>
    <w:multiLevelType w:val="hybridMultilevel"/>
    <w:tmpl w:val="5F5478E4"/>
    <w:lvl w:ilvl="0" w:tplc="21B0A730">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BC696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F5EF94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5AC94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7A193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A989AE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C8839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22173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F70F8B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C57E05"/>
    <w:multiLevelType w:val="hybridMultilevel"/>
    <w:tmpl w:val="B2143466"/>
    <w:lvl w:ilvl="0" w:tplc="9DA2FDF4">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024CF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192279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986471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5441B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228A93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AEA52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DCE89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18505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D9309D"/>
    <w:multiLevelType w:val="hybridMultilevel"/>
    <w:tmpl w:val="75B28E16"/>
    <w:lvl w:ilvl="0" w:tplc="8D0ED60E">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8AA04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968480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948EA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D6727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6A7AE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4CA817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94F79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BC7D7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370C2A"/>
    <w:multiLevelType w:val="hybridMultilevel"/>
    <w:tmpl w:val="BDE6A9DE"/>
    <w:lvl w:ilvl="0" w:tplc="5BE4CF5E">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E8B36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FED9F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74AA2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5C806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856970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6BE016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BAC14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1CB06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671E40"/>
    <w:multiLevelType w:val="hybridMultilevel"/>
    <w:tmpl w:val="B3E042E2"/>
    <w:lvl w:ilvl="0" w:tplc="3A288388">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F2F5D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0D6EAB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E84C3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0C31C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9946FA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162D78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629D7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52613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FE1415"/>
    <w:multiLevelType w:val="hybridMultilevel"/>
    <w:tmpl w:val="26EA5A8E"/>
    <w:lvl w:ilvl="0" w:tplc="54EC36BE">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9047A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5A610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746FA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8A13D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1B8C0F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B6229B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F2854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EB8D5F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3F488A"/>
    <w:multiLevelType w:val="hybridMultilevel"/>
    <w:tmpl w:val="11E6E300"/>
    <w:lvl w:ilvl="0" w:tplc="3104F556">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40901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E0D38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BDC83C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16DA7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7EC9E6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92AF9B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22DA9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88A850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CD10CD"/>
    <w:multiLevelType w:val="hybridMultilevel"/>
    <w:tmpl w:val="91B421A6"/>
    <w:lvl w:ilvl="0" w:tplc="48CADF0A">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6C8FC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940B33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E468C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902E2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D4E6E0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8844DF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4CDCF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9A458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83B5176"/>
    <w:multiLevelType w:val="hybridMultilevel"/>
    <w:tmpl w:val="A56A8014"/>
    <w:lvl w:ilvl="0" w:tplc="12BE4432">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56AA1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523FD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2621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34037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A6C080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884A6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3CEA8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E43A0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D7A74AE"/>
    <w:multiLevelType w:val="hybridMultilevel"/>
    <w:tmpl w:val="0A164754"/>
    <w:lvl w:ilvl="0" w:tplc="BE7C1DD6">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1CC52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C4EEF1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87088B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1ACD0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0CF74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849C2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FE1B6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16E5C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D8777D7"/>
    <w:multiLevelType w:val="hybridMultilevel"/>
    <w:tmpl w:val="A4A60F30"/>
    <w:lvl w:ilvl="0" w:tplc="1436A30C">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E0F02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51605D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7589BA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90088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261C0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5AEC4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90E60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0C484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E653E7F"/>
    <w:multiLevelType w:val="hybridMultilevel"/>
    <w:tmpl w:val="AD564C52"/>
    <w:lvl w:ilvl="0" w:tplc="48067A84">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3AD99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4E75D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2C704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70C59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B18189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8C42B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D44A0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4CF32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EF00FDE"/>
    <w:multiLevelType w:val="hybridMultilevel"/>
    <w:tmpl w:val="BA5E37E6"/>
    <w:lvl w:ilvl="0" w:tplc="EDAC768E">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C663E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1AAECD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8D0A4D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36EC7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26671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4CCC7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5A653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D16E8F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F3268E2"/>
    <w:multiLevelType w:val="hybridMultilevel"/>
    <w:tmpl w:val="DF36DC32"/>
    <w:lvl w:ilvl="0" w:tplc="0EA87DCA">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205D3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8EC680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DB0EF6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DEB7C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E6D09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23AB4E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D45B3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C42DA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F4257BC"/>
    <w:multiLevelType w:val="hybridMultilevel"/>
    <w:tmpl w:val="029205EE"/>
    <w:lvl w:ilvl="0" w:tplc="E4C275A0">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4293B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212DDA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52C9D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6E417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84D10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0A28A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A6D12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145C7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CB7520"/>
    <w:multiLevelType w:val="hybridMultilevel"/>
    <w:tmpl w:val="207A3AE2"/>
    <w:lvl w:ilvl="0" w:tplc="68643990">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FC469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88B15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9C46A7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32897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2A0F82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5609CC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5CD1E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5E2EF5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FEF4533"/>
    <w:multiLevelType w:val="hybridMultilevel"/>
    <w:tmpl w:val="D4DC7BA4"/>
    <w:lvl w:ilvl="0" w:tplc="D454437A">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5CA9F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78A682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8EECE4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7EC36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CDCADC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6CCBC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6C08B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00143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29203EB"/>
    <w:multiLevelType w:val="hybridMultilevel"/>
    <w:tmpl w:val="FD14B68E"/>
    <w:lvl w:ilvl="0" w:tplc="E5384D84">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88B7E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91C9C6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E6226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F2569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C4044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890313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1AFA7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01A2F4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29C7782"/>
    <w:multiLevelType w:val="hybridMultilevel"/>
    <w:tmpl w:val="32927F7E"/>
    <w:lvl w:ilvl="0" w:tplc="8E4EA7F6">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6673E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0C211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1C3AF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009BD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90ED7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4A2032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B4AAE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2A2E6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75B0FBA"/>
    <w:multiLevelType w:val="hybridMultilevel"/>
    <w:tmpl w:val="05D40898"/>
    <w:lvl w:ilvl="0" w:tplc="09E86E2E">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043AB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269A1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E0C34F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D20D6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54703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9C145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7CD71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7C675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8626CEF"/>
    <w:multiLevelType w:val="hybridMultilevel"/>
    <w:tmpl w:val="C69E28FE"/>
    <w:lvl w:ilvl="0" w:tplc="24C60908">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E0EA7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8CFE4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12AC6C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9CD6B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848CB0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8B6767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502E6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24AB2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6252E2"/>
    <w:multiLevelType w:val="hybridMultilevel"/>
    <w:tmpl w:val="C3BECD40"/>
    <w:lvl w:ilvl="0" w:tplc="95CC4848">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C20D8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98C7D2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6C8EA8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521AF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1CA04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E82EA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0829D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88BD0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9886FEE"/>
    <w:multiLevelType w:val="hybridMultilevel"/>
    <w:tmpl w:val="8598B590"/>
    <w:lvl w:ilvl="0" w:tplc="09543826">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6E2AB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14B43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C29E7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A60B0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0295B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2ECFB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3AF64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256653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9BB1FBA"/>
    <w:multiLevelType w:val="hybridMultilevel"/>
    <w:tmpl w:val="C19AA3F6"/>
    <w:lvl w:ilvl="0" w:tplc="AE7A166E">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EC104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2AAAB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0CAA3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CABB4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80AF0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97A975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C8DE2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16D0E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AA65A6A"/>
    <w:multiLevelType w:val="hybridMultilevel"/>
    <w:tmpl w:val="B8868256"/>
    <w:lvl w:ilvl="0" w:tplc="908CE78C">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8831B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B4060C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7A9CA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3A0D3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20210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2DA5C5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261FF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B23BF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CE91234"/>
    <w:multiLevelType w:val="hybridMultilevel"/>
    <w:tmpl w:val="F00EE04E"/>
    <w:lvl w:ilvl="0" w:tplc="92987E64">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F28BC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B44BBA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E8678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B0038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E8AB8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C23A9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D469B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1EFFD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BB2468"/>
    <w:multiLevelType w:val="hybridMultilevel"/>
    <w:tmpl w:val="BEAC670A"/>
    <w:lvl w:ilvl="0" w:tplc="452ABE20">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34AC9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B8D81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9F2513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C2613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CA0B43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78199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E2004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090859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DF836C7"/>
    <w:multiLevelType w:val="hybridMultilevel"/>
    <w:tmpl w:val="3EA218E4"/>
    <w:lvl w:ilvl="0" w:tplc="475C1ECC">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1EE91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AC09D0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86AED4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185FA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DE261C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F4F17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C4487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AE4B5C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F19005E"/>
    <w:multiLevelType w:val="hybridMultilevel"/>
    <w:tmpl w:val="A73C1F14"/>
    <w:lvl w:ilvl="0" w:tplc="8F541414">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46EAB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472A5A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14DCA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A27EB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F6E4D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C4334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D6F38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FEC193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FF73FFA"/>
    <w:multiLevelType w:val="hybridMultilevel"/>
    <w:tmpl w:val="39E8F1CA"/>
    <w:lvl w:ilvl="0" w:tplc="6CAC90B8">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7C567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B86416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CE6F3C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A08F6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36B97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20D82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F6DB0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F6704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29A0287"/>
    <w:multiLevelType w:val="hybridMultilevel"/>
    <w:tmpl w:val="36802B06"/>
    <w:lvl w:ilvl="0" w:tplc="CF4AF906">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4C5A2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7679B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6CCB4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1E4AE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E30FA0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89A6B7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827BE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72DF5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30F6FB7"/>
    <w:multiLevelType w:val="hybridMultilevel"/>
    <w:tmpl w:val="2B0CC894"/>
    <w:lvl w:ilvl="0" w:tplc="58BA39CE">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08820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4D0C16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5881A7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DC3BE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4A4A4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272B8F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C4DC5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02C8B1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42D55F2"/>
    <w:multiLevelType w:val="hybridMultilevel"/>
    <w:tmpl w:val="BF34D5C2"/>
    <w:lvl w:ilvl="0" w:tplc="1A28F43A">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FC1B7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63C9D4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EAC56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5C824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BA6CB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706B2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066EC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86B08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7951D1C"/>
    <w:multiLevelType w:val="hybridMultilevel"/>
    <w:tmpl w:val="DE46C5F0"/>
    <w:lvl w:ilvl="0" w:tplc="0D002CF2">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D4A00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7ECE3D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BC993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26F97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C6D08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A0C6CF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90102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8462EE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7A279BC"/>
    <w:multiLevelType w:val="hybridMultilevel"/>
    <w:tmpl w:val="CB46B630"/>
    <w:lvl w:ilvl="0" w:tplc="C47E9E82">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B8D7F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DC653F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416AB0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2CD7D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7F26D5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D360FF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7E36D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620103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7D81718"/>
    <w:multiLevelType w:val="hybridMultilevel"/>
    <w:tmpl w:val="36F23622"/>
    <w:lvl w:ilvl="0" w:tplc="1C4AA514">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1AA87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A2CEF0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AE65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6AD38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D68589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096B65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744B8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68EAA9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8A9671D"/>
    <w:multiLevelType w:val="hybridMultilevel"/>
    <w:tmpl w:val="0CDEF500"/>
    <w:lvl w:ilvl="0" w:tplc="A4BA23DE">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E8EF5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4B89BF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B8BD9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AAB0B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5A66BF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E4925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78068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5244C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9855E6F"/>
    <w:multiLevelType w:val="hybridMultilevel"/>
    <w:tmpl w:val="1030752A"/>
    <w:lvl w:ilvl="0" w:tplc="3B8E207A">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D2471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8509CE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0222A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4240F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D1007B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BB04F4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9EAE7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73C2B6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A877BAE"/>
    <w:multiLevelType w:val="hybridMultilevel"/>
    <w:tmpl w:val="376A38E4"/>
    <w:lvl w:ilvl="0" w:tplc="1048DF74">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90288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F8B53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46A4F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78874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7C832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15ED95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9AF5E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806673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AAD3DE9"/>
    <w:multiLevelType w:val="hybridMultilevel"/>
    <w:tmpl w:val="9714451C"/>
    <w:lvl w:ilvl="0" w:tplc="90708072">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D6208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025F7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5545B9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EE3EC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8487FB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92EE29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EA20D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6418D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B654134"/>
    <w:multiLevelType w:val="hybridMultilevel"/>
    <w:tmpl w:val="62E45770"/>
    <w:lvl w:ilvl="0" w:tplc="C48E391A">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0248D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696277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D6CA0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E0402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6AA5B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2B44AE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A0732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58CB31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CB7087B"/>
    <w:multiLevelType w:val="hybridMultilevel"/>
    <w:tmpl w:val="0C847876"/>
    <w:lvl w:ilvl="0" w:tplc="E0A6D04A">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A6527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80D50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0AFE3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4CB06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A2A1B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EC988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9444A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DAC4C4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F294157"/>
    <w:multiLevelType w:val="hybridMultilevel"/>
    <w:tmpl w:val="AD66933A"/>
    <w:lvl w:ilvl="0" w:tplc="7BFC0538">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FC42F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14AE8A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C8C47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AEDF6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0EE1B8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18C8D8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C09D4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0AFB8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FD1038C"/>
    <w:multiLevelType w:val="hybridMultilevel"/>
    <w:tmpl w:val="90E635D8"/>
    <w:lvl w:ilvl="0" w:tplc="02362482">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AE657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7C07D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20B1F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5243B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93E8A8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D6AC03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C2125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AE2F73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70262B50"/>
    <w:multiLevelType w:val="hybridMultilevel"/>
    <w:tmpl w:val="A1D269F2"/>
    <w:lvl w:ilvl="0" w:tplc="FD902B94">
      <w:start w:val="1"/>
      <w:numFmt w:val="bullet"/>
      <w:lvlText w:val="•"/>
      <w:lvlJc w:val="left"/>
      <w:pPr>
        <w:ind w:left="2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301C0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223C8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C49B7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923BF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EA309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E4415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BAE94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C405A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1605204"/>
    <w:multiLevelType w:val="hybridMultilevel"/>
    <w:tmpl w:val="7234AB46"/>
    <w:lvl w:ilvl="0" w:tplc="3346533E">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581F9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881D9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9212C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E87DC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1C047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1B6386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66214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B002A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1952BE2"/>
    <w:multiLevelType w:val="hybridMultilevel"/>
    <w:tmpl w:val="5B4A7BF2"/>
    <w:lvl w:ilvl="0" w:tplc="733E95F6">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54BB7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682BA4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68956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D097E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8A6FF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6EBB3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1869A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ACE8A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1E41887"/>
    <w:multiLevelType w:val="hybridMultilevel"/>
    <w:tmpl w:val="444CAADE"/>
    <w:lvl w:ilvl="0" w:tplc="76D8A56A">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0A4F6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D6D79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0E3B3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76D0B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032467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CE0E50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E4A90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BF6EBC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2CE2999"/>
    <w:multiLevelType w:val="hybridMultilevel"/>
    <w:tmpl w:val="3FD89D04"/>
    <w:lvl w:ilvl="0" w:tplc="29A0392C">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02A85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07ED86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1E0204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ACA6F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7CA4DF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84BD7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1ECEC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4645C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31D724D"/>
    <w:multiLevelType w:val="hybridMultilevel"/>
    <w:tmpl w:val="7E4A526C"/>
    <w:lvl w:ilvl="0" w:tplc="4E00DFCC">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9060A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798CC9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B0E36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14A62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AA621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EC8E7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F8906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CE0556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35A1CCA"/>
    <w:multiLevelType w:val="hybridMultilevel"/>
    <w:tmpl w:val="3F2E4250"/>
    <w:lvl w:ilvl="0" w:tplc="69D48764">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0EFC12">
      <w:start w:val="1"/>
      <w:numFmt w:val="bullet"/>
      <w:lvlText w:val="o"/>
      <w:lvlJc w:val="left"/>
      <w:pPr>
        <w:ind w:left="11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8A83A6A">
      <w:start w:val="1"/>
      <w:numFmt w:val="bullet"/>
      <w:lvlText w:val="▪"/>
      <w:lvlJc w:val="left"/>
      <w:pPr>
        <w:ind w:left="12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3160634">
      <w:start w:val="1"/>
      <w:numFmt w:val="bullet"/>
      <w:lvlText w:val="•"/>
      <w:lvlJc w:val="left"/>
      <w:pPr>
        <w:ind w:left="13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A6D1BE">
      <w:start w:val="1"/>
      <w:numFmt w:val="bullet"/>
      <w:lvlText w:val="o"/>
      <w:lvlJc w:val="left"/>
      <w:pPr>
        <w:ind w:left="13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B1C40C4">
      <w:start w:val="1"/>
      <w:numFmt w:val="bullet"/>
      <w:lvlText w:val="▪"/>
      <w:lvlJc w:val="left"/>
      <w:pPr>
        <w:ind w:left="14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38C09C">
      <w:start w:val="1"/>
      <w:numFmt w:val="bullet"/>
      <w:lvlText w:val="•"/>
      <w:lvlJc w:val="left"/>
      <w:pPr>
        <w:ind w:left="15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D83AC8">
      <w:start w:val="1"/>
      <w:numFmt w:val="bullet"/>
      <w:lvlText w:val="o"/>
      <w:lvlJc w:val="left"/>
      <w:pPr>
        <w:ind w:left="15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542B7A">
      <w:start w:val="1"/>
      <w:numFmt w:val="bullet"/>
      <w:lvlText w:val="▪"/>
      <w:lvlJc w:val="left"/>
      <w:pPr>
        <w:ind w:left="16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55B788A"/>
    <w:multiLevelType w:val="hybridMultilevel"/>
    <w:tmpl w:val="45066DC8"/>
    <w:lvl w:ilvl="0" w:tplc="0A3CD9BC">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5C942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086680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354A19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FCC3B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8AD17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32CB41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26B49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8CA67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59D62F6"/>
    <w:multiLevelType w:val="hybridMultilevel"/>
    <w:tmpl w:val="84E0E9B2"/>
    <w:lvl w:ilvl="0" w:tplc="F4225714">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84539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286652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090EC1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54259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7203D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B4430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B2BE7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030D4C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6002EB8"/>
    <w:multiLevelType w:val="hybridMultilevel"/>
    <w:tmpl w:val="08E0E51E"/>
    <w:lvl w:ilvl="0" w:tplc="63BE0420">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3AE5A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098FFF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3C91F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24114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F2A8B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3D643D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1CD1E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2A961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7DA41EA"/>
    <w:multiLevelType w:val="hybridMultilevel"/>
    <w:tmpl w:val="E6862484"/>
    <w:lvl w:ilvl="0" w:tplc="25ACBA2E">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6811B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D0421E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83CF1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8A2BF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A6F68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C6489F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5AF2F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00041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8540399"/>
    <w:multiLevelType w:val="hybridMultilevel"/>
    <w:tmpl w:val="8974AE64"/>
    <w:lvl w:ilvl="0" w:tplc="A0E03864">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CC877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88B7D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496C14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082CF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2A781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1268B3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C8FC0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FD47D8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B000673"/>
    <w:multiLevelType w:val="hybridMultilevel"/>
    <w:tmpl w:val="54582AC6"/>
    <w:lvl w:ilvl="0" w:tplc="421C91AE">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4C120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9D2CAC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FA00A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7C5DA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7892E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49CA5B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D0812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76B14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BD3176B"/>
    <w:multiLevelType w:val="hybridMultilevel"/>
    <w:tmpl w:val="3202E740"/>
    <w:lvl w:ilvl="0" w:tplc="44921ECE">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447E4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88155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45C8A8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40DD7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1027AC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16650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ECC63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64C61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BEA1486"/>
    <w:multiLevelType w:val="hybridMultilevel"/>
    <w:tmpl w:val="0E4E35C8"/>
    <w:lvl w:ilvl="0" w:tplc="A378CA0A">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E0DD4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4BC0C1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BEC71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B843A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D4493F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7E08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7CA97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5E4AC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CEE1ACA"/>
    <w:multiLevelType w:val="hybridMultilevel"/>
    <w:tmpl w:val="E97AACFE"/>
    <w:lvl w:ilvl="0" w:tplc="28325AAC">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BCDBE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0C665F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634BB8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9EC68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030A06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360BE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DCF23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0C44FA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DAF6E41"/>
    <w:multiLevelType w:val="hybridMultilevel"/>
    <w:tmpl w:val="EB9A0DA6"/>
    <w:lvl w:ilvl="0" w:tplc="D74C3E54">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0ED62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64C35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9804E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C6DFB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C82144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B88A7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8C89B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07C9F5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E6A0025"/>
    <w:multiLevelType w:val="hybridMultilevel"/>
    <w:tmpl w:val="8D08E3F4"/>
    <w:lvl w:ilvl="0" w:tplc="AAA85C2C">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A83B0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A437C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B28671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FE404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A2258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8E1C3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D6F8A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F5418A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EE205D9"/>
    <w:multiLevelType w:val="hybridMultilevel"/>
    <w:tmpl w:val="F234757E"/>
    <w:lvl w:ilvl="0" w:tplc="BF76B550">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56A1D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598526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9803BC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F07BF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C62633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80E414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48D02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FA4E7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EF72C29"/>
    <w:multiLevelType w:val="hybridMultilevel"/>
    <w:tmpl w:val="C67E646C"/>
    <w:lvl w:ilvl="0" w:tplc="19009EC2">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D694D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90B96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0FE295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8A1D0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305F8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42551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EA9D3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141CD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F751092"/>
    <w:multiLevelType w:val="hybridMultilevel"/>
    <w:tmpl w:val="DC94C60A"/>
    <w:lvl w:ilvl="0" w:tplc="0C7C7216">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12C83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CD2B09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444B2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9CFB3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4B8F5E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F881DB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E02DB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CC81E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13477753">
    <w:abstractNumId w:val="71"/>
  </w:num>
  <w:num w:numId="2" w16cid:durableId="1699694070">
    <w:abstractNumId w:val="119"/>
  </w:num>
  <w:num w:numId="3" w16cid:durableId="1926038323">
    <w:abstractNumId w:val="59"/>
  </w:num>
  <w:num w:numId="4" w16cid:durableId="384642012">
    <w:abstractNumId w:val="117"/>
  </w:num>
  <w:num w:numId="5" w16cid:durableId="39287148">
    <w:abstractNumId w:val="125"/>
  </w:num>
  <w:num w:numId="6" w16cid:durableId="154230180">
    <w:abstractNumId w:val="99"/>
  </w:num>
  <w:num w:numId="7" w16cid:durableId="1552231126">
    <w:abstractNumId w:val="47"/>
  </w:num>
  <w:num w:numId="8" w16cid:durableId="1352031146">
    <w:abstractNumId w:val="52"/>
  </w:num>
  <w:num w:numId="9" w16cid:durableId="1074856282">
    <w:abstractNumId w:val="28"/>
  </w:num>
  <w:num w:numId="10" w16cid:durableId="59907304">
    <w:abstractNumId w:val="122"/>
  </w:num>
  <w:num w:numId="11" w16cid:durableId="809787292">
    <w:abstractNumId w:val="54"/>
  </w:num>
  <w:num w:numId="12" w16cid:durableId="581767047">
    <w:abstractNumId w:val="40"/>
  </w:num>
  <w:num w:numId="13" w16cid:durableId="255022799">
    <w:abstractNumId w:val="97"/>
  </w:num>
  <w:num w:numId="14" w16cid:durableId="1337196631">
    <w:abstractNumId w:val="60"/>
  </w:num>
  <w:num w:numId="15" w16cid:durableId="1992249559">
    <w:abstractNumId w:val="16"/>
  </w:num>
  <w:num w:numId="16" w16cid:durableId="499808284">
    <w:abstractNumId w:val="129"/>
  </w:num>
  <w:num w:numId="17" w16cid:durableId="347289691">
    <w:abstractNumId w:val="104"/>
  </w:num>
  <w:num w:numId="18" w16cid:durableId="657461897">
    <w:abstractNumId w:val="64"/>
  </w:num>
  <w:num w:numId="19" w16cid:durableId="824930316">
    <w:abstractNumId w:val="3"/>
  </w:num>
  <w:num w:numId="20" w16cid:durableId="1063452911">
    <w:abstractNumId w:val="73"/>
  </w:num>
  <w:num w:numId="21" w16cid:durableId="439760116">
    <w:abstractNumId w:val="58"/>
  </w:num>
  <w:num w:numId="22" w16cid:durableId="1498305125">
    <w:abstractNumId w:val="4"/>
  </w:num>
  <w:num w:numId="23" w16cid:durableId="475031444">
    <w:abstractNumId w:val="131"/>
  </w:num>
  <w:num w:numId="24" w16cid:durableId="1200629561">
    <w:abstractNumId w:val="2"/>
  </w:num>
  <w:num w:numId="25" w16cid:durableId="1800102628">
    <w:abstractNumId w:val="30"/>
  </w:num>
  <w:num w:numId="26" w16cid:durableId="1823231953">
    <w:abstractNumId w:val="61"/>
  </w:num>
  <w:num w:numId="27" w16cid:durableId="109519888">
    <w:abstractNumId w:val="1"/>
  </w:num>
  <w:num w:numId="28" w16cid:durableId="644161457">
    <w:abstractNumId w:val="10"/>
  </w:num>
  <w:num w:numId="29" w16cid:durableId="704986647">
    <w:abstractNumId w:val="11"/>
  </w:num>
  <w:num w:numId="30" w16cid:durableId="398408112">
    <w:abstractNumId w:val="38"/>
  </w:num>
  <w:num w:numId="31" w16cid:durableId="410812326">
    <w:abstractNumId w:val="86"/>
  </w:num>
  <w:num w:numId="32" w16cid:durableId="434595518">
    <w:abstractNumId w:val="82"/>
  </w:num>
  <w:num w:numId="33" w16cid:durableId="2140175903">
    <w:abstractNumId w:val="75"/>
  </w:num>
  <w:num w:numId="34" w16cid:durableId="608514517">
    <w:abstractNumId w:val="33"/>
  </w:num>
  <w:num w:numId="35" w16cid:durableId="1366294985">
    <w:abstractNumId w:val="48"/>
  </w:num>
  <w:num w:numId="36" w16cid:durableId="54478912">
    <w:abstractNumId w:val="34"/>
  </w:num>
  <w:num w:numId="37" w16cid:durableId="2120831969">
    <w:abstractNumId w:val="128"/>
  </w:num>
  <w:num w:numId="38" w16cid:durableId="1129128458">
    <w:abstractNumId w:val="45"/>
  </w:num>
  <w:num w:numId="39" w16cid:durableId="125898554">
    <w:abstractNumId w:val="0"/>
  </w:num>
  <w:num w:numId="40" w16cid:durableId="1483692736">
    <w:abstractNumId w:val="46"/>
  </w:num>
  <w:num w:numId="41" w16cid:durableId="1622223548">
    <w:abstractNumId w:val="67"/>
  </w:num>
  <w:num w:numId="42" w16cid:durableId="433592283">
    <w:abstractNumId w:val="70"/>
  </w:num>
  <w:num w:numId="43" w16cid:durableId="491021937">
    <w:abstractNumId w:val="29"/>
  </w:num>
  <w:num w:numId="44" w16cid:durableId="488059475">
    <w:abstractNumId w:val="90"/>
  </w:num>
  <w:num w:numId="45" w16cid:durableId="2031838567">
    <w:abstractNumId w:val="118"/>
  </w:num>
  <w:num w:numId="46" w16cid:durableId="1026830872">
    <w:abstractNumId w:val="36"/>
  </w:num>
  <w:num w:numId="47" w16cid:durableId="958410296">
    <w:abstractNumId w:val="93"/>
  </w:num>
  <w:num w:numId="48" w16cid:durableId="1801923900">
    <w:abstractNumId w:val="109"/>
  </w:num>
  <w:num w:numId="49" w16cid:durableId="1839953476">
    <w:abstractNumId w:val="79"/>
  </w:num>
  <w:num w:numId="50" w16cid:durableId="1011224636">
    <w:abstractNumId w:val="115"/>
  </w:num>
  <w:num w:numId="51" w16cid:durableId="2079668304">
    <w:abstractNumId w:val="126"/>
  </w:num>
  <w:num w:numId="52" w16cid:durableId="548735412">
    <w:abstractNumId w:val="91"/>
  </w:num>
  <w:num w:numId="53" w16cid:durableId="1875654896">
    <w:abstractNumId w:val="18"/>
  </w:num>
  <w:num w:numId="54" w16cid:durableId="131679359">
    <w:abstractNumId w:val="66"/>
  </w:num>
  <w:num w:numId="55" w16cid:durableId="453522647">
    <w:abstractNumId w:val="55"/>
  </w:num>
  <w:num w:numId="56" w16cid:durableId="2056081551">
    <w:abstractNumId w:val="116"/>
  </w:num>
  <w:num w:numId="57" w16cid:durableId="1871407379">
    <w:abstractNumId w:val="120"/>
  </w:num>
  <w:num w:numId="58" w16cid:durableId="1468740132">
    <w:abstractNumId w:val="77"/>
  </w:num>
  <w:num w:numId="59" w16cid:durableId="1988045807">
    <w:abstractNumId w:val="89"/>
  </w:num>
  <w:num w:numId="60" w16cid:durableId="1256213121">
    <w:abstractNumId w:val="62"/>
  </w:num>
  <w:num w:numId="61" w16cid:durableId="1232425953">
    <w:abstractNumId w:val="74"/>
  </w:num>
  <w:num w:numId="62" w16cid:durableId="1867480757">
    <w:abstractNumId w:val="101"/>
  </w:num>
  <w:num w:numId="63" w16cid:durableId="1808350314">
    <w:abstractNumId w:val="25"/>
  </w:num>
  <w:num w:numId="64" w16cid:durableId="400956003">
    <w:abstractNumId w:val="35"/>
  </w:num>
  <w:num w:numId="65" w16cid:durableId="563563383">
    <w:abstractNumId w:val="85"/>
  </w:num>
  <w:num w:numId="66" w16cid:durableId="1623416101">
    <w:abstractNumId w:val="65"/>
  </w:num>
  <w:num w:numId="67" w16cid:durableId="1538004214">
    <w:abstractNumId w:val="32"/>
  </w:num>
  <w:num w:numId="68" w16cid:durableId="1925917716">
    <w:abstractNumId w:val="12"/>
  </w:num>
  <w:num w:numId="69" w16cid:durableId="258880395">
    <w:abstractNumId w:val="94"/>
  </w:num>
  <w:num w:numId="70" w16cid:durableId="1343239091">
    <w:abstractNumId w:val="102"/>
  </w:num>
  <w:num w:numId="71" w16cid:durableId="1478109359">
    <w:abstractNumId w:val="22"/>
  </w:num>
  <w:num w:numId="72" w16cid:durableId="1715736146">
    <w:abstractNumId w:val="20"/>
  </w:num>
  <w:num w:numId="73" w16cid:durableId="990139465">
    <w:abstractNumId w:val="78"/>
  </w:num>
  <w:num w:numId="74" w16cid:durableId="1891307639">
    <w:abstractNumId w:val="123"/>
  </w:num>
  <w:num w:numId="75" w16cid:durableId="887450429">
    <w:abstractNumId w:val="113"/>
  </w:num>
  <w:num w:numId="76" w16cid:durableId="389815951">
    <w:abstractNumId w:val="68"/>
  </w:num>
  <w:num w:numId="77" w16cid:durableId="1145438604">
    <w:abstractNumId w:val="63"/>
  </w:num>
  <w:num w:numId="78" w16cid:durableId="474640484">
    <w:abstractNumId w:val="17"/>
  </w:num>
  <w:num w:numId="79" w16cid:durableId="126633620">
    <w:abstractNumId w:val="108"/>
  </w:num>
  <w:num w:numId="80" w16cid:durableId="2059888506">
    <w:abstractNumId w:val="112"/>
  </w:num>
  <w:num w:numId="81" w16cid:durableId="6955734">
    <w:abstractNumId w:val="100"/>
  </w:num>
  <w:num w:numId="82" w16cid:durableId="1410956262">
    <w:abstractNumId w:val="107"/>
  </w:num>
  <w:num w:numId="83" w16cid:durableId="2067993630">
    <w:abstractNumId w:val="26"/>
  </w:num>
  <w:num w:numId="84" w16cid:durableId="360939501">
    <w:abstractNumId w:val="43"/>
  </w:num>
  <w:num w:numId="85" w16cid:durableId="80879171">
    <w:abstractNumId w:val="88"/>
  </w:num>
  <w:num w:numId="86" w16cid:durableId="336736940">
    <w:abstractNumId w:val="56"/>
  </w:num>
  <w:num w:numId="87" w16cid:durableId="1494759469">
    <w:abstractNumId w:val="98"/>
  </w:num>
  <w:num w:numId="88" w16cid:durableId="61102147">
    <w:abstractNumId w:val="69"/>
  </w:num>
  <w:num w:numId="89" w16cid:durableId="230194999">
    <w:abstractNumId w:val="106"/>
  </w:num>
  <w:num w:numId="90" w16cid:durableId="1579175588">
    <w:abstractNumId w:val="13"/>
  </w:num>
  <w:num w:numId="91" w16cid:durableId="1150749464">
    <w:abstractNumId w:val="83"/>
  </w:num>
  <w:num w:numId="92" w16cid:durableId="667362793">
    <w:abstractNumId w:val="15"/>
  </w:num>
  <w:num w:numId="93" w16cid:durableId="507795219">
    <w:abstractNumId w:val="96"/>
  </w:num>
  <w:num w:numId="94" w16cid:durableId="1091118432">
    <w:abstractNumId w:val="5"/>
  </w:num>
  <w:num w:numId="95" w16cid:durableId="1360280527">
    <w:abstractNumId w:val="24"/>
  </w:num>
  <w:num w:numId="96" w16cid:durableId="479003091">
    <w:abstractNumId w:val="121"/>
  </w:num>
  <w:num w:numId="97" w16cid:durableId="505899757">
    <w:abstractNumId w:val="80"/>
  </w:num>
  <w:num w:numId="98" w16cid:durableId="1736778444">
    <w:abstractNumId w:val="44"/>
  </w:num>
  <w:num w:numId="99" w16cid:durableId="1642536131">
    <w:abstractNumId w:val="76"/>
  </w:num>
  <w:num w:numId="100" w16cid:durableId="1587567574">
    <w:abstractNumId w:val="53"/>
  </w:num>
  <w:num w:numId="101" w16cid:durableId="398676402">
    <w:abstractNumId w:val="14"/>
  </w:num>
  <w:num w:numId="102" w16cid:durableId="1483351410">
    <w:abstractNumId w:val="92"/>
  </w:num>
  <w:num w:numId="103" w16cid:durableId="1515536963">
    <w:abstractNumId w:val="9"/>
  </w:num>
  <w:num w:numId="104" w16cid:durableId="1588541807">
    <w:abstractNumId w:val="95"/>
  </w:num>
  <w:num w:numId="105" w16cid:durableId="1000501236">
    <w:abstractNumId w:val="72"/>
  </w:num>
  <w:num w:numId="106" w16cid:durableId="1244101712">
    <w:abstractNumId w:val="124"/>
  </w:num>
  <w:num w:numId="107" w16cid:durableId="1603680516">
    <w:abstractNumId w:val="42"/>
  </w:num>
  <w:num w:numId="108" w16cid:durableId="1572156195">
    <w:abstractNumId w:val="6"/>
  </w:num>
  <w:num w:numId="109" w16cid:durableId="1731030201">
    <w:abstractNumId w:val="103"/>
  </w:num>
  <w:num w:numId="110" w16cid:durableId="1931700512">
    <w:abstractNumId w:val="111"/>
  </w:num>
  <w:num w:numId="111" w16cid:durableId="212935271">
    <w:abstractNumId w:val="87"/>
  </w:num>
  <w:num w:numId="112" w16cid:durableId="1388996593">
    <w:abstractNumId w:val="8"/>
  </w:num>
  <w:num w:numId="113" w16cid:durableId="105151976">
    <w:abstractNumId w:val="39"/>
  </w:num>
  <w:num w:numId="114" w16cid:durableId="1850289702">
    <w:abstractNumId w:val="84"/>
  </w:num>
  <w:num w:numId="115" w16cid:durableId="1901667483">
    <w:abstractNumId w:val="114"/>
  </w:num>
  <w:num w:numId="116" w16cid:durableId="1917745139">
    <w:abstractNumId w:val="81"/>
  </w:num>
  <w:num w:numId="117" w16cid:durableId="1626156236">
    <w:abstractNumId w:val="49"/>
  </w:num>
  <w:num w:numId="118" w16cid:durableId="1237591638">
    <w:abstractNumId w:val="23"/>
  </w:num>
  <w:num w:numId="119" w16cid:durableId="2118132703">
    <w:abstractNumId w:val="27"/>
  </w:num>
  <w:num w:numId="120" w16cid:durableId="483474515">
    <w:abstractNumId w:val="130"/>
  </w:num>
  <w:num w:numId="121" w16cid:durableId="1607885866">
    <w:abstractNumId w:val="41"/>
  </w:num>
  <w:num w:numId="122" w16cid:durableId="1101409829">
    <w:abstractNumId w:val="57"/>
  </w:num>
  <w:num w:numId="123" w16cid:durableId="996112455">
    <w:abstractNumId w:val="50"/>
  </w:num>
  <w:num w:numId="124" w16cid:durableId="1093086203">
    <w:abstractNumId w:val="51"/>
  </w:num>
  <w:num w:numId="125" w16cid:durableId="26760040">
    <w:abstractNumId w:val="105"/>
  </w:num>
  <w:num w:numId="126" w16cid:durableId="1805467937">
    <w:abstractNumId w:val="21"/>
  </w:num>
  <w:num w:numId="127" w16cid:durableId="1170560433">
    <w:abstractNumId w:val="19"/>
  </w:num>
  <w:num w:numId="128" w16cid:durableId="82652841">
    <w:abstractNumId w:val="127"/>
  </w:num>
  <w:num w:numId="129" w16cid:durableId="1619490221">
    <w:abstractNumId w:val="110"/>
  </w:num>
  <w:num w:numId="130" w16cid:durableId="1341540962">
    <w:abstractNumId w:val="31"/>
  </w:num>
  <w:num w:numId="131" w16cid:durableId="1838157208">
    <w:abstractNumId w:val="37"/>
  </w:num>
  <w:num w:numId="132" w16cid:durableId="995183232">
    <w:abstractNumId w:val="7"/>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DB8"/>
    <w:rsid w:val="0012173E"/>
    <w:rsid w:val="00304113"/>
    <w:rsid w:val="003458C5"/>
    <w:rsid w:val="003F0D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06C6F"/>
  <w15:docId w15:val="{41DD70C0-4D93-49B8-928A-596EE22DB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294" w:hanging="294"/>
    </w:pPr>
    <w:rPr>
      <w:rFonts w:ascii="Segoe UI" w:eastAsia="Segoe UI" w:hAnsi="Segoe UI" w:cs="Segoe UI"/>
      <w:color w:val="000000"/>
      <w:sz w:val="20"/>
    </w:rPr>
  </w:style>
  <w:style w:type="paragraph" w:styleId="Heading1">
    <w:name w:val="heading 1"/>
    <w:next w:val="Normal"/>
    <w:link w:val="Heading1Char"/>
    <w:uiPriority w:val="9"/>
    <w:qFormat/>
    <w:pPr>
      <w:keepNext/>
      <w:keepLines/>
      <w:spacing w:after="82" w:line="259" w:lineRule="auto"/>
      <w:ind w:left="10" w:hanging="10"/>
      <w:outlineLvl w:val="0"/>
    </w:pPr>
    <w:rPr>
      <w:rFonts w:ascii="Segoe UI" w:eastAsia="Segoe UI" w:hAnsi="Segoe UI" w:cs="Segoe UI"/>
      <w:b/>
      <w:color w:val="000000"/>
      <w:sz w:val="28"/>
    </w:rPr>
  </w:style>
  <w:style w:type="paragraph" w:styleId="Heading2">
    <w:name w:val="heading 2"/>
    <w:next w:val="Normal"/>
    <w:link w:val="Heading2Char"/>
    <w:uiPriority w:val="9"/>
    <w:unhideWhenUsed/>
    <w:qFormat/>
    <w:pPr>
      <w:keepNext/>
      <w:keepLines/>
      <w:spacing w:after="82" w:line="259" w:lineRule="auto"/>
      <w:ind w:left="10" w:hanging="10"/>
      <w:outlineLvl w:val="1"/>
    </w:pPr>
    <w:rPr>
      <w:rFonts w:ascii="Segoe UI" w:eastAsia="Segoe UI" w:hAnsi="Segoe UI" w:cs="Segoe UI"/>
      <w:b/>
      <w:color w:val="000000"/>
      <w:sz w:val="28"/>
    </w:rPr>
  </w:style>
  <w:style w:type="paragraph" w:styleId="Heading3">
    <w:name w:val="heading 3"/>
    <w:next w:val="Normal"/>
    <w:link w:val="Heading3Char"/>
    <w:uiPriority w:val="9"/>
    <w:unhideWhenUsed/>
    <w:qFormat/>
    <w:pPr>
      <w:keepNext/>
      <w:keepLines/>
      <w:spacing w:after="130" w:line="259" w:lineRule="auto"/>
      <w:ind w:left="10" w:hanging="10"/>
      <w:outlineLvl w:val="2"/>
    </w:pPr>
    <w:rPr>
      <w:rFonts w:ascii="Segoe UI" w:eastAsia="Segoe UI" w:hAnsi="Segoe UI" w:cs="Segoe U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Segoe UI" w:eastAsia="Segoe UI" w:hAnsi="Segoe UI" w:cs="Segoe UI"/>
      <w:b/>
      <w:color w:val="000000"/>
      <w:sz w:val="28"/>
    </w:rPr>
  </w:style>
  <w:style w:type="character" w:customStyle="1" w:styleId="Heading3Char">
    <w:name w:val="Heading 3 Char"/>
    <w:link w:val="Heading3"/>
    <w:rPr>
      <w:rFonts w:ascii="Segoe UI" w:eastAsia="Segoe UI" w:hAnsi="Segoe UI" w:cs="Segoe UI"/>
      <w:b/>
      <w:color w:val="000000"/>
      <w:sz w:val="24"/>
    </w:rPr>
  </w:style>
  <w:style w:type="character" w:customStyle="1" w:styleId="Heading1Char">
    <w:name w:val="Heading 1 Char"/>
    <w:link w:val="Heading1"/>
    <w:rPr>
      <w:rFonts w:ascii="Segoe UI" w:eastAsia="Segoe UI" w:hAnsi="Segoe UI" w:cs="Segoe UI"/>
      <w:b/>
      <w:color w:val="000000"/>
      <w:sz w:val="28"/>
    </w:rPr>
  </w:style>
  <w:style w:type="paragraph" w:styleId="TOC1">
    <w:name w:val="toc 1"/>
    <w:hidden/>
    <w:pPr>
      <w:spacing w:after="3" w:line="259" w:lineRule="auto"/>
      <w:ind w:left="25" w:right="4279" w:hanging="10"/>
      <w:jc w:val="both"/>
    </w:pPr>
    <w:rPr>
      <w:rFonts w:ascii="Segoe UI" w:eastAsia="Segoe UI" w:hAnsi="Segoe UI" w:cs="Segoe U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header" Target="header3.xm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header" Target="header6.xml"/><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1.xml"/><Relationship Id="rId29" Type="http://schemas.openxmlformats.org/officeDocument/2006/relationships/image" Target="media/image17.png"/><Relationship Id="rId11" Type="http://schemas.openxmlformats.org/officeDocument/2006/relationships/image" Target="media/image5.jp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eader" Target="header9.xml"/><Relationship Id="rId5" Type="http://schemas.openxmlformats.org/officeDocument/2006/relationships/footnotes" Target="footnotes.xml"/><Relationship Id="rId10" Type="http://schemas.openxmlformats.org/officeDocument/2006/relationships/image" Target="media/image4.jpg"/><Relationship Id="rId19" Type="http://schemas.openxmlformats.org/officeDocument/2006/relationships/header" Target="header4.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2.jpg"/><Relationship Id="rId51" Type="http://schemas.openxmlformats.org/officeDocument/2006/relationships/header" Target="header7.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header" Target="header2.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header" Target="header5.xml"/><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92</Pages>
  <Words>22354</Words>
  <Characters>127422</Characters>
  <Application>Microsoft Office Word</Application>
  <DocSecurity>0</DocSecurity>
  <Lines>1061</Lines>
  <Paragraphs>298</Paragraphs>
  <ScaleCrop>false</ScaleCrop>
  <Company/>
  <LinksUpToDate>false</LinksUpToDate>
  <CharactersWithSpaces>149478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Eliana Sampaio</dc:creator>
  <cp:keywords/>
  <cp:lastModifiedBy>David Garner</cp:lastModifiedBy>
  <cp:revision>2</cp:revision>
  <dcterms:created xsi:type="dcterms:W3CDTF">2026-07-17T07:41:00Z</dcterms:created>
  <dcterms:modified xsi:type="dcterms:W3CDTF">2026-07-17T07:41:00Z</dcterms:modified>
</cp:coreProperties>
</file>