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7E4B" w14:textId="77777777" w:rsidR="00816C04" w:rsidRPr="00816C04" w:rsidRDefault="00816C04" w:rsidP="00816C04">
      <w:pPr>
        <w:spacing w:after="100" w:afterAutospacing="1" w:line="240" w:lineRule="auto"/>
        <w:outlineLvl w:val="0"/>
        <w:rPr>
          <w:rFonts w:ascii="Times New Roman" w:eastAsia="Times New Roman" w:hAnsi="Times New Roman" w:cs="Times New Roman"/>
          <w:b/>
          <w:bCs/>
          <w:kern w:val="36"/>
          <w:sz w:val="48"/>
          <w:szCs w:val="48"/>
          <w14:ligatures w14:val="none"/>
        </w:rPr>
      </w:pPr>
      <w:r w:rsidRPr="00816C04">
        <w:rPr>
          <w:rFonts w:ascii="Times New Roman" w:eastAsia="Times New Roman" w:hAnsi="Times New Roman" w:cs="Times New Roman"/>
          <w:b/>
          <w:bCs/>
          <w:kern w:val="36"/>
          <w:sz w:val="48"/>
          <w:szCs w:val="48"/>
          <w14:ligatures w14:val="none"/>
        </w:rPr>
        <w:t>Explainable Machine Learning for Kidney Stone Prediction: A Comparative Analysis</w:t>
      </w:r>
    </w:p>
    <w:p w14:paraId="1A6EF417" w14:textId="77777777" w:rsidR="00816C04" w:rsidRPr="00816C04" w:rsidRDefault="00816C04" w:rsidP="00816C04">
      <w:pPr>
        <w:spacing w:after="100" w:afterAutospacing="1" w:line="240" w:lineRule="auto"/>
        <w:outlineLvl w:val="1"/>
        <w:rPr>
          <w:rFonts w:ascii="Times New Roman" w:eastAsia="Times New Roman" w:hAnsi="Times New Roman" w:cs="Times New Roman"/>
          <w:b/>
          <w:bCs/>
          <w:kern w:val="0"/>
          <w:sz w:val="36"/>
          <w:szCs w:val="36"/>
          <w14:ligatures w14:val="none"/>
        </w:rPr>
      </w:pPr>
      <w:r w:rsidRPr="00816C04">
        <w:rPr>
          <w:rFonts w:ascii="Times New Roman" w:eastAsia="Times New Roman" w:hAnsi="Times New Roman" w:cs="Times New Roman"/>
          <w:b/>
          <w:bCs/>
          <w:kern w:val="0"/>
          <w:sz w:val="36"/>
          <w:szCs w:val="36"/>
          <w14:ligatures w14:val="none"/>
        </w:rPr>
        <w:t>1. Introduction</w:t>
      </w:r>
    </w:p>
    <w:p w14:paraId="2D96DEF6"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Explainable Artificial Intelligence (XAI) has emerged as a cornerstone of modern machine learning, addressing the inherent "black box" nature of advanced predictive algorithms. As machine learning systems transition from experimental lab settings to critical components of societal infrastructure—influencing everything from autonomous vehicle navigation to financial credit approvals—the demand for transparency and interpretability has reached an all-time high [1]. This report investigates the application of XAI techniques to the specific problem of kidney stone prediction using urine analysis data. The primary objective is to develop a predictive framework that balances high-performance classification with clear, human-understandable justifications that can be used by clinical professionals.</w:t>
      </w:r>
    </w:p>
    <w:p w14:paraId="0FF45D96"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The imperative for XAI is driven by four primary pillars: trust, ethics, regulation, and accountability. In high-stakes domains, stakeholders are often unwilling to adopt AI tools unless they can comprehend the reasoning behind a specific output [2]. Furthermore, ethical considerations require that models be audited for hidden biases to ensure they do not reinforce discriminatory patterns. From a regulatory perspective, frameworks such as the European Union’s AI Act increasingly mandate that individuals have a "right to an explanation" for automated decisions that significantly impact their welfare [3]. Finally, explainability provides a mechanism for accountability, allowing developers to diagnose why a model failed and determine whether the error was due to data quality or algorithmic limitations.</w:t>
      </w:r>
    </w:p>
    <w:p w14:paraId="2CB6EB48"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 xml:space="preserve">While traditional "white-box" models, such as linear regression and simple decision trees, offer intrinsic interpretability, they often lack the predictive power required for complex biological datasets. Conversely, ensemble methods like Random Forest and </w:t>
      </w:r>
      <w:proofErr w:type="spellStart"/>
      <w:r w:rsidRPr="00816C04">
        <w:rPr>
          <w:rFonts w:ascii="Times New Roman" w:eastAsia="Times New Roman" w:hAnsi="Times New Roman" w:cs="Times New Roman"/>
          <w:kern w:val="0"/>
          <w14:ligatures w14:val="none"/>
        </w:rPr>
        <w:t>XGBoost</w:t>
      </w:r>
      <w:proofErr w:type="spellEnd"/>
      <w:r w:rsidRPr="00816C04">
        <w:rPr>
          <w:rFonts w:ascii="Times New Roman" w:eastAsia="Times New Roman" w:hAnsi="Times New Roman" w:cs="Times New Roman"/>
          <w:kern w:val="0"/>
          <w14:ligatures w14:val="none"/>
        </w:rPr>
        <w:t xml:space="preserve"> offer superior accuracy but operate through intricate decision processes that are opaque to human users. This study bridges this gap by implementing post-hoc explainability methods—specifically SHAP and LIME—to reveal the internal logic of these complex models. This report provides a small-scale literature review of recent XAI advancements, details the experimental design used for kidney stone prediction, and presents a comprehensive analysis of the results through an explainability lens.</w:t>
      </w:r>
    </w:p>
    <w:p w14:paraId="006CEDF2" w14:textId="77777777" w:rsidR="00816C04" w:rsidRPr="00816C04" w:rsidRDefault="00816C04" w:rsidP="00816C04">
      <w:pPr>
        <w:spacing w:after="100" w:afterAutospacing="1" w:line="240" w:lineRule="auto"/>
        <w:outlineLvl w:val="1"/>
        <w:rPr>
          <w:rFonts w:ascii="Times New Roman" w:eastAsia="Times New Roman" w:hAnsi="Times New Roman" w:cs="Times New Roman"/>
          <w:b/>
          <w:bCs/>
          <w:kern w:val="0"/>
          <w:sz w:val="36"/>
          <w:szCs w:val="36"/>
          <w14:ligatures w14:val="none"/>
        </w:rPr>
      </w:pPr>
      <w:r w:rsidRPr="00816C04">
        <w:rPr>
          <w:rFonts w:ascii="Times New Roman" w:eastAsia="Times New Roman" w:hAnsi="Times New Roman" w:cs="Times New Roman"/>
          <w:b/>
          <w:bCs/>
          <w:kern w:val="0"/>
          <w:sz w:val="36"/>
          <w:szCs w:val="36"/>
          <w14:ligatures w14:val="none"/>
        </w:rPr>
        <w:t>2. Small-scale Literature Review</w:t>
      </w:r>
    </w:p>
    <w:p w14:paraId="6DF106A6" w14:textId="77777777" w:rsidR="00816C04" w:rsidRPr="00816C04" w:rsidRDefault="00816C04" w:rsidP="00816C04">
      <w:pPr>
        <w:spacing w:after="100" w:afterAutospacing="1" w:line="240" w:lineRule="auto"/>
        <w:outlineLvl w:val="2"/>
        <w:rPr>
          <w:rFonts w:ascii="Times New Roman" w:eastAsia="Times New Roman" w:hAnsi="Times New Roman" w:cs="Times New Roman"/>
          <w:b/>
          <w:bCs/>
          <w:kern w:val="0"/>
          <w:sz w:val="27"/>
          <w:szCs w:val="27"/>
          <w14:ligatures w14:val="none"/>
        </w:rPr>
      </w:pPr>
      <w:r w:rsidRPr="00816C04">
        <w:rPr>
          <w:rFonts w:ascii="Times New Roman" w:eastAsia="Times New Roman" w:hAnsi="Times New Roman" w:cs="Times New Roman"/>
          <w:b/>
          <w:bCs/>
          <w:kern w:val="0"/>
          <w:sz w:val="27"/>
          <w:szCs w:val="27"/>
          <w14:ligatures w14:val="none"/>
        </w:rPr>
        <w:t>2.1 Taxonomy and Evolution of Explainable AI</w:t>
      </w:r>
    </w:p>
    <w:p w14:paraId="5298EED0"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 xml:space="preserve">The work of Arrieta et al. [1] provides one of the most comprehensive taxonomies of XAI to date. They distinguish between "transparent" models, which are understandable by design (e.g., k-Nearest </w:t>
      </w:r>
      <w:proofErr w:type="spellStart"/>
      <w:r w:rsidRPr="00816C04">
        <w:rPr>
          <w:rFonts w:ascii="Times New Roman" w:eastAsia="Times New Roman" w:hAnsi="Times New Roman" w:cs="Times New Roman"/>
          <w:kern w:val="0"/>
          <w14:ligatures w14:val="none"/>
        </w:rPr>
        <w:t>Neighbors</w:t>
      </w:r>
      <w:proofErr w:type="spellEnd"/>
      <w:r w:rsidRPr="00816C04">
        <w:rPr>
          <w:rFonts w:ascii="Times New Roman" w:eastAsia="Times New Roman" w:hAnsi="Times New Roman" w:cs="Times New Roman"/>
          <w:kern w:val="0"/>
          <w14:ligatures w14:val="none"/>
        </w:rPr>
        <w:t xml:space="preserve">), and "post-hoc" explainability, which is applied to pre-trained black-box models. Their research emphasizes that as deep learning becomes more pervasive across industries, the choice of an explainability method must be tailored to the target audience. For instance, while a data scientist might require detailed feature importance scores to debug a model, an end-user might only need a simple "if-then" counterfactual to </w:t>
      </w:r>
      <w:r w:rsidRPr="00816C04">
        <w:rPr>
          <w:rFonts w:ascii="Times New Roman" w:eastAsia="Times New Roman" w:hAnsi="Times New Roman" w:cs="Times New Roman"/>
          <w:kern w:val="0"/>
          <w14:ligatures w14:val="none"/>
        </w:rPr>
        <w:lastRenderedPageBreak/>
        <w:t>understand a decision. This paper highlights that XAI is no longer an "optional feature" but a fundamental requirement for responsible AI deployment in the 21st century.</w:t>
      </w:r>
    </w:p>
    <w:p w14:paraId="500E8524" w14:textId="77777777" w:rsidR="00816C04" w:rsidRPr="00816C04" w:rsidRDefault="00816C04" w:rsidP="00816C04">
      <w:pPr>
        <w:spacing w:after="100" w:afterAutospacing="1" w:line="240" w:lineRule="auto"/>
        <w:outlineLvl w:val="2"/>
        <w:rPr>
          <w:rFonts w:ascii="Times New Roman" w:eastAsia="Times New Roman" w:hAnsi="Times New Roman" w:cs="Times New Roman"/>
          <w:b/>
          <w:bCs/>
          <w:kern w:val="0"/>
          <w:sz w:val="27"/>
          <w:szCs w:val="27"/>
          <w14:ligatures w14:val="none"/>
        </w:rPr>
      </w:pPr>
      <w:r w:rsidRPr="00816C04">
        <w:rPr>
          <w:rFonts w:ascii="Times New Roman" w:eastAsia="Times New Roman" w:hAnsi="Times New Roman" w:cs="Times New Roman"/>
          <w:b/>
          <w:bCs/>
          <w:kern w:val="0"/>
          <w:sz w:val="27"/>
          <w:szCs w:val="27"/>
          <w14:ligatures w14:val="none"/>
        </w:rPr>
        <w:t>2.2 The Case Against Explaining Black Boxes</w:t>
      </w:r>
    </w:p>
    <w:p w14:paraId="58169F47"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In a seminal 2022 paper, Rudin et al. [4] challenge the growing reliance on post-hoc explanations for high-stakes decision-making. They argue that post-hoc methods like LIME and SHAP can provide justifications that are "locally faithful" but globally misleading, potentially masking flawed model logic. Instead, they advocate for the development of "intrinsically interpretable" models that are designed to be understood from the outset. Their research debunks the common myth of an "accuracy-interpretability trade-off," demonstrating that for many tabular datasets, simple and interpretable models can achieve parity with complex neural networks if features are engineered with sufficient domain expertise. This perspective is critical for our study, as it justifies the inclusion of Logistic Regression as a baseline for comparison with ensemble methods.</w:t>
      </w:r>
    </w:p>
    <w:p w14:paraId="76E94187" w14:textId="77777777" w:rsidR="00816C04" w:rsidRPr="00816C04" w:rsidRDefault="00816C04" w:rsidP="00816C04">
      <w:pPr>
        <w:spacing w:after="100" w:afterAutospacing="1" w:line="240" w:lineRule="auto"/>
        <w:outlineLvl w:val="2"/>
        <w:rPr>
          <w:rFonts w:ascii="Times New Roman" w:eastAsia="Times New Roman" w:hAnsi="Times New Roman" w:cs="Times New Roman"/>
          <w:b/>
          <w:bCs/>
          <w:kern w:val="0"/>
          <w:sz w:val="27"/>
          <w:szCs w:val="27"/>
          <w14:ligatures w14:val="none"/>
        </w:rPr>
      </w:pPr>
      <w:r w:rsidRPr="00816C04">
        <w:rPr>
          <w:rFonts w:ascii="Times New Roman" w:eastAsia="Times New Roman" w:hAnsi="Times New Roman" w:cs="Times New Roman"/>
          <w:b/>
          <w:bCs/>
          <w:kern w:val="0"/>
          <w:sz w:val="27"/>
          <w:szCs w:val="27"/>
          <w14:ligatures w14:val="none"/>
        </w:rPr>
        <w:t>2.3 Frameworks for Interpretable Machine Learning</w:t>
      </w:r>
    </w:p>
    <w:p w14:paraId="6D83D6F8"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 xml:space="preserve">Molnar’s research [5] focuses on the practical implementation of interpretability frameworks. He highlights the distinction between global and local interpretability. Global interpretability allows stakeholders to understand the overall </w:t>
      </w:r>
      <w:proofErr w:type="spellStart"/>
      <w:r w:rsidRPr="00816C04">
        <w:rPr>
          <w:rFonts w:ascii="Times New Roman" w:eastAsia="Times New Roman" w:hAnsi="Times New Roman" w:cs="Times New Roman"/>
          <w:kern w:val="0"/>
          <w14:ligatures w14:val="none"/>
        </w:rPr>
        <w:t>behavior</w:t>
      </w:r>
      <w:proofErr w:type="spellEnd"/>
      <w:r w:rsidRPr="00816C04">
        <w:rPr>
          <w:rFonts w:ascii="Times New Roman" w:eastAsia="Times New Roman" w:hAnsi="Times New Roman" w:cs="Times New Roman"/>
          <w:kern w:val="0"/>
          <w14:ligatures w14:val="none"/>
        </w:rPr>
        <w:t xml:space="preserve"> of the model—such as which features are the most influential across the entire population. Local interpretability, on the other hand, focuses on a single instance, answering the question: "Why did the model make this specific prediction for this specific individual?" Molnar argues that a robust XAI strategy must incorporate both perspectives to provide a complete picture of model reliability. This dual approach is reflected in our experimental design, which uses Global Feature Importance alongside local LIME and SHAP analysis.</w:t>
      </w:r>
    </w:p>
    <w:p w14:paraId="75DADCC1" w14:textId="77777777" w:rsidR="00816C04" w:rsidRPr="00816C04" w:rsidRDefault="00816C04" w:rsidP="00816C04">
      <w:pPr>
        <w:spacing w:after="100" w:afterAutospacing="1" w:line="240" w:lineRule="auto"/>
        <w:outlineLvl w:val="2"/>
        <w:rPr>
          <w:rFonts w:ascii="Times New Roman" w:eastAsia="Times New Roman" w:hAnsi="Times New Roman" w:cs="Times New Roman"/>
          <w:b/>
          <w:bCs/>
          <w:kern w:val="0"/>
          <w:sz w:val="27"/>
          <w:szCs w:val="27"/>
          <w14:ligatures w14:val="none"/>
        </w:rPr>
      </w:pPr>
      <w:r w:rsidRPr="00816C04">
        <w:rPr>
          <w:rFonts w:ascii="Times New Roman" w:eastAsia="Times New Roman" w:hAnsi="Times New Roman" w:cs="Times New Roman"/>
          <w:b/>
          <w:bCs/>
          <w:kern w:val="0"/>
          <w:sz w:val="27"/>
          <w:szCs w:val="27"/>
          <w14:ligatures w14:val="none"/>
        </w:rPr>
        <w:t>2.4 Legal and Ethical Dimensions of XAI</w:t>
      </w:r>
    </w:p>
    <w:p w14:paraId="6853D145"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Wachter et al. [3] provide a critical analysis of the legal landscape surrounding AI. They examine how upcoming regulations like the EU AI Act will impose strict transparency requirements on "high-risk" AI systems. Their work introduces the concept of "counterfactual explanations," which inform a user what changes to their input would be necessary to achieve a different outcome (e.g., "if your urea level had been 5% lower, you would have been classified as healthy"). This approach is noted for its high utility in helping users take actionable steps based on AI predictions. Their research suggests that the future of XAI will be increasingly dictated by legal mandates rather than just technical preferences.</w:t>
      </w:r>
    </w:p>
    <w:p w14:paraId="72903954" w14:textId="77777777" w:rsidR="00816C04" w:rsidRPr="00816C04" w:rsidRDefault="00816C04" w:rsidP="00816C04">
      <w:pPr>
        <w:spacing w:after="100" w:afterAutospacing="1" w:line="240" w:lineRule="auto"/>
        <w:outlineLvl w:val="2"/>
        <w:rPr>
          <w:rFonts w:ascii="Times New Roman" w:eastAsia="Times New Roman" w:hAnsi="Times New Roman" w:cs="Times New Roman"/>
          <w:b/>
          <w:bCs/>
          <w:kern w:val="0"/>
          <w:sz w:val="27"/>
          <w:szCs w:val="27"/>
          <w14:ligatures w14:val="none"/>
        </w:rPr>
      </w:pPr>
      <w:r w:rsidRPr="00816C04">
        <w:rPr>
          <w:rFonts w:ascii="Times New Roman" w:eastAsia="Times New Roman" w:hAnsi="Times New Roman" w:cs="Times New Roman"/>
          <w:b/>
          <w:bCs/>
          <w:kern w:val="0"/>
          <w:sz w:val="27"/>
          <w:szCs w:val="27"/>
          <w14:ligatures w14:val="none"/>
        </w:rPr>
        <w:t>2.5 Evaluating the Fidelity of XAI Methods</w:t>
      </w:r>
    </w:p>
    <w:p w14:paraId="21F42F9F"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 xml:space="preserve">A 2024 systematic review by Saarela and </w:t>
      </w:r>
      <w:proofErr w:type="spellStart"/>
      <w:r w:rsidRPr="00816C04">
        <w:rPr>
          <w:rFonts w:ascii="Times New Roman" w:eastAsia="Times New Roman" w:hAnsi="Times New Roman" w:cs="Times New Roman"/>
          <w:kern w:val="0"/>
          <w14:ligatures w14:val="none"/>
        </w:rPr>
        <w:t>Podgorelec</w:t>
      </w:r>
      <w:proofErr w:type="spellEnd"/>
      <w:r w:rsidRPr="00816C04">
        <w:rPr>
          <w:rFonts w:ascii="Times New Roman" w:eastAsia="Times New Roman" w:hAnsi="Times New Roman" w:cs="Times New Roman"/>
          <w:kern w:val="0"/>
          <w14:ligatures w14:val="none"/>
        </w:rPr>
        <w:t xml:space="preserve"> [6] evaluates the consistency and stability of various XAI techniques across diverse industrial applications. They identify a major challenge in the field: "explanation inconsistency," where different XAI methods (e.g., SHAP vs. LIME) provide conflicting explanations for the same prediction. They suggest that SHAP, being rooted in cooperative game theory, offers higher theoretical consistency, while LIME is more flexible and computationally efficient. This paper underscores the importance of using multiple XAI techniques to cross-validate findings, a strategy we have adopted in our analysis of kidney stone predictors.</w:t>
      </w:r>
    </w:p>
    <w:p w14:paraId="2FD3B404" w14:textId="77777777" w:rsidR="00816C04" w:rsidRPr="00816C04" w:rsidRDefault="00816C04" w:rsidP="00816C04">
      <w:pPr>
        <w:spacing w:after="100" w:afterAutospacing="1" w:line="240" w:lineRule="auto"/>
        <w:outlineLvl w:val="1"/>
        <w:rPr>
          <w:rFonts w:ascii="Times New Roman" w:eastAsia="Times New Roman" w:hAnsi="Times New Roman" w:cs="Times New Roman"/>
          <w:b/>
          <w:bCs/>
          <w:kern w:val="0"/>
          <w:sz w:val="36"/>
          <w:szCs w:val="36"/>
          <w14:ligatures w14:val="none"/>
        </w:rPr>
      </w:pPr>
      <w:r w:rsidRPr="00816C04">
        <w:rPr>
          <w:rFonts w:ascii="Times New Roman" w:eastAsia="Times New Roman" w:hAnsi="Times New Roman" w:cs="Times New Roman"/>
          <w:b/>
          <w:bCs/>
          <w:kern w:val="0"/>
          <w:sz w:val="36"/>
          <w:szCs w:val="36"/>
          <w14:ligatures w14:val="none"/>
        </w:rPr>
        <w:lastRenderedPageBreak/>
        <w:t>3. Theoretical Framework</w:t>
      </w:r>
    </w:p>
    <w:p w14:paraId="67ADBB58"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The distinction between transparency, interpretability, and explainability is often blurred, yet they represent different facets of the XAI domain.</w:t>
      </w:r>
    </w:p>
    <w:p w14:paraId="0EF8FA29" w14:textId="77777777" w:rsidR="00816C04" w:rsidRPr="00816C04" w:rsidRDefault="00816C04" w:rsidP="00816C04">
      <w:pPr>
        <w:numPr>
          <w:ilvl w:val="0"/>
          <w:numId w:val="3"/>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Transparency</w:t>
      </w:r>
      <w:r w:rsidRPr="00816C04">
        <w:rPr>
          <w:rFonts w:ascii="Times New Roman" w:eastAsia="Times New Roman" w:hAnsi="Times New Roman" w:cs="Times New Roman"/>
          <w:kern w:val="0"/>
          <w14:ligatures w14:val="none"/>
        </w:rPr>
        <w:t xml:space="preserve"> refers to the "openness" of the model. A model is transparent if its internal parameters (weights, coefficients, or logic gates) are visible and can be mathematically audited.</w:t>
      </w:r>
    </w:p>
    <w:p w14:paraId="00A1AC8C" w14:textId="77777777" w:rsidR="00816C04" w:rsidRPr="00816C04" w:rsidRDefault="00816C04" w:rsidP="00816C04">
      <w:pPr>
        <w:numPr>
          <w:ilvl w:val="0"/>
          <w:numId w:val="3"/>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Interpretability</w:t>
      </w:r>
      <w:r w:rsidRPr="00816C04">
        <w:rPr>
          <w:rFonts w:ascii="Times New Roman" w:eastAsia="Times New Roman" w:hAnsi="Times New Roman" w:cs="Times New Roman"/>
          <w:kern w:val="0"/>
          <w14:ligatures w14:val="none"/>
        </w:rPr>
        <w:t xml:space="preserve"> is a human-centric metric, defined as the degree to which a person can consistently predict what the model will do given a change in input. It focuses on the cause-and-effect relationship within the model.</w:t>
      </w:r>
    </w:p>
    <w:p w14:paraId="55652C6F" w14:textId="77777777" w:rsidR="00816C04" w:rsidRPr="00816C04" w:rsidRDefault="00816C04" w:rsidP="00816C04">
      <w:pPr>
        <w:numPr>
          <w:ilvl w:val="0"/>
          <w:numId w:val="3"/>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Explainability</w:t>
      </w:r>
      <w:r w:rsidRPr="00816C04">
        <w:rPr>
          <w:rFonts w:ascii="Times New Roman" w:eastAsia="Times New Roman" w:hAnsi="Times New Roman" w:cs="Times New Roman"/>
          <w:kern w:val="0"/>
          <w14:ligatures w14:val="none"/>
        </w:rPr>
        <w:t xml:space="preserve"> is a broader concept that includes the interface through which information is conveyed. It encompasses the visual aids, natural language justifications, and statistical summaries provided to the user.</w:t>
      </w:r>
    </w:p>
    <w:p w14:paraId="2566734C"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In this study, we utilize the "ante-hoc" vs. "post-hoc" framework. Ante-hoc models (e.g., Logistic Regression) are interpretable by design. Post-hoc techniques (e.g., SHAP and LIME) are used to extract explanations from models that are not inherently transparent (e.g., Random Forest). By comparing these two approaches, we can evaluate whether the increased predictive power of black-box models is worth the additional complexity of their explanations.</w:t>
      </w:r>
    </w:p>
    <w:p w14:paraId="6661E8CC" w14:textId="77777777" w:rsidR="00816C04" w:rsidRPr="00816C04" w:rsidRDefault="00816C04" w:rsidP="00816C04">
      <w:pPr>
        <w:spacing w:after="100" w:afterAutospacing="1" w:line="240" w:lineRule="auto"/>
        <w:outlineLvl w:val="1"/>
        <w:rPr>
          <w:rFonts w:ascii="Times New Roman" w:eastAsia="Times New Roman" w:hAnsi="Times New Roman" w:cs="Times New Roman"/>
          <w:b/>
          <w:bCs/>
          <w:kern w:val="0"/>
          <w:sz w:val="36"/>
          <w:szCs w:val="36"/>
          <w14:ligatures w14:val="none"/>
        </w:rPr>
      </w:pPr>
      <w:r w:rsidRPr="00816C04">
        <w:rPr>
          <w:rFonts w:ascii="Times New Roman" w:eastAsia="Times New Roman" w:hAnsi="Times New Roman" w:cs="Times New Roman"/>
          <w:b/>
          <w:bCs/>
          <w:kern w:val="0"/>
          <w:sz w:val="36"/>
          <w:szCs w:val="36"/>
          <w14:ligatures w14:val="none"/>
        </w:rPr>
        <w:t>4. Experimental Design</w:t>
      </w:r>
    </w:p>
    <w:p w14:paraId="552CD12B" w14:textId="77777777" w:rsidR="00816C04" w:rsidRPr="00816C04" w:rsidRDefault="00816C04" w:rsidP="00816C04">
      <w:pPr>
        <w:spacing w:after="100" w:afterAutospacing="1" w:line="240" w:lineRule="auto"/>
        <w:outlineLvl w:val="2"/>
        <w:rPr>
          <w:rFonts w:ascii="Times New Roman" w:eastAsia="Times New Roman" w:hAnsi="Times New Roman" w:cs="Times New Roman"/>
          <w:b/>
          <w:bCs/>
          <w:kern w:val="0"/>
          <w:sz w:val="27"/>
          <w:szCs w:val="27"/>
          <w14:ligatures w14:val="none"/>
        </w:rPr>
      </w:pPr>
      <w:r w:rsidRPr="00816C04">
        <w:rPr>
          <w:rFonts w:ascii="Times New Roman" w:eastAsia="Times New Roman" w:hAnsi="Times New Roman" w:cs="Times New Roman"/>
          <w:b/>
          <w:bCs/>
          <w:kern w:val="0"/>
          <w:sz w:val="27"/>
          <w:szCs w:val="27"/>
          <w14:ligatures w14:val="none"/>
        </w:rPr>
        <w:t>4.1 Dataset Selection and Feature Analysis</w:t>
      </w:r>
    </w:p>
    <w:p w14:paraId="33615083"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The dataset utilized in this study consists of 79 urine specimens, each characterized by six physical and chemical parameters. These features are critical markers used in clinical pathology to assess the risk of nephrolithiasis (kidney stone formation):</w:t>
      </w:r>
    </w:p>
    <w:p w14:paraId="375A8F07" w14:textId="77777777" w:rsidR="00816C04" w:rsidRPr="00816C04" w:rsidRDefault="00816C04" w:rsidP="00816C04">
      <w:pPr>
        <w:numPr>
          <w:ilvl w:val="0"/>
          <w:numId w:val="4"/>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Specific Gravity</w:t>
      </w:r>
      <w:r w:rsidRPr="00816C04">
        <w:rPr>
          <w:rFonts w:ascii="Times New Roman" w:eastAsia="Times New Roman" w:hAnsi="Times New Roman" w:cs="Times New Roman"/>
          <w:kern w:val="0"/>
          <w14:ligatures w14:val="none"/>
        </w:rPr>
        <w:t>: A measure of urine concentration.</w:t>
      </w:r>
    </w:p>
    <w:p w14:paraId="282DC66D" w14:textId="77777777" w:rsidR="00816C04" w:rsidRPr="00816C04" w:rsidRDefault="00816C04" w:rsidP="00816C04">
      <w:pPr>
        <w:numPr>
          <w:ilvl w:val="0"/>
          <w:numId w:val="4"/>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pH</w:t>
      </w:r>
      <w:r w:rsidRPr="00816C04">
        <w:rPr>
          <w:rFonts w:ascii="Times New Roman" w:eastAsia="Times New Roman" w:hAnsi="Times New Roman" w:cs="Times New Roman"/>
          <w:kern w:val="0"/>
          <w14:ligatures w14:val="none"/>
        </w:rPr>
        <w:t>: The acidity or alkalinity of the urine.</w:t>
      </w:r>
    </w:p>
    <w:p w14:paraId="7F2216FD" w14:textId="77777777" w:rsidR="00816C04" w:rsidRPr="00816C04" w:rsidRDefault="00816C04" w:rsidP="00816C04">
      <w:pPr>
        <w:numPr>
          <w:ilvl w:val="0"/>
          <w:numId w:val="4"/>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Osmolarity</w:t>
      </w:r>
      <w:r w:rsidRPr="00816C04">
        <w:rPr>
          <w:rFonts w:ascii="Times New Roman" w:eastAsia="Times New Roman" w:hAnsi="Times New Roman" w:cs="Times New Roman"/>
          <w:kern w:val="0"/>
          <w14:ligatures w14:val="none"/>
        </w:rPr>
        <w:t xml:space="preserve">: The concentration of particles per </w:t>
      </w:r>
      <w:proofErr w:type="spellStart"/>
      <w:r w:rsidRPr="00816C04">
        <w:rPr>
          <w:rFonts w:ascii="Times New Roman" w:eastAsia="Times New Roman" w:hAnsi="Times New Roman" w:cs="Times New Roman"/>
          <w:kern w:val="0"/>
          <w14:ligatures w14:val="none"/>
        </w:rPr>
        <w:t>liter</w:t>
      </w:r>
      <w:proofErr w:type="spellEnd"/>
      <w:r w:rsidRPr="00816C04">
        <w:rPr>
          <w:rFonts w:ascii="Times New Roman" w:eastAsia="Times New Roman" w:hAnsi="Times New Roman" w:cs="Times New Roman"/>
          <w:kern w:val="0"/>
          <w14:ligatures w14:val="none"/>
        </w:rPr>
        <w:t xml:space="preserve"> of solution.</w:t>
      </w:r>
    </w:p>
    <w:p w14:paraId="59D8EE7B" w14:textId="77777777" w:rsidR="00816C04" w:rsidRPr="00816C04" w:rsidRDefault="00816C04" w:rsidP="00816C04">
      <w:pPr>
        <w:numPr>
          <w:ilvl w:val="0"/>
          <w:numId w:val="4"/>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Conductivity</w:t>
      </w:r>
      <w:r w:rsidRPr="00816C04">
        <w:rPr>
          <w:rFonts w:ascii="Times New Roman" w:eastAsia="Times New Roman" w:hAnsi="Times New Roman" w:cs="Times New Roman"/>
          <w:kern w:val="0"/>
          <w14:ligatures w14:val="none"/>
        </w:rPr>
        <w:t>: The ability of the urine to conduct electricity, related to ion concentration.</w:t>
      </w:r>
    </w:p>
    <w:p w14:paraId="7241C736" w14:textId="77777777" w:rsidR="00816C04" w:rsidRPr="00816C04" w:rsidRDefault="00816C04" w:rsidP="00816C04">
      <w:pPr>
        <w:numPr>
          <w:ilvl w:val="0"/>
          <w:numId w:val="4"/>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Urea</w:t>
      </w:r>
      <w:r w:rsidRPr="00816C04">
        <w:rPr>
          <w:rFonts w:ascii="Times New Roman" w:eastAsia="Times New Roman" w:hAnsi="Times New Roman" w:cs="Times New Roman"/>
          <w:kern w:val="0"/>
          <w14:ligatures w14:val="none"/>
        </w:rPr>
        <w:t>: A byproduct of protein metabolism.</w:t>
      </w:r>
    </w:p>
    <w:p w14:paraId="60845D59" w14:textId="77777777" w:rsidR="00816C04" w:rsidRPr="00816C04" w:rsidRDefault="00816C04" w:rsidP="00816C04">
      <w:pPr>
        <w:numPr>
          <w:ilvl w:val="0"/>
          <w:numId w:val="4"/>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Calcium (calc)</w:t>
      </w:r>
      <w:r w:rsidRPr="00816C04">
        <w:rPr>
          <w:rFonts w:ascii="Times New Roman" w:eastAsia="Times New Roman" w:hAnsi="Times New Roman" w:cs="Times New Roman"/>
          <w:kern w:val="0"/>
          <w14:ligatures w14:val="none"/>
        </w:rPr>
        <w:t>: The concentration of calcium ions, often the primary constituent of stones.</w:t>
      </w:r>
    </w:p>
    <w:p w14:paraId="50FE0D67"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To determine the predictive potential of these features, a Mann-Whitney U test was conducted to evaluate statistical significance between the "Stone" and "Healthy" groups.</w:t>
      </w:r>
    </w:p>
    <w:p w14:paraId="3D54FBBD" w14:textId="77777777" w:rsidR="00D562F1" w:rsidRPr="00173D8C" w:rsidRDefault="00D562F1" w:rsidP="00D562F1">
      <w:pPr>
        <w:spacing w:after="100" w:afterAutospacing="1"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t>Table 1: Statistical Significance of Urine Characteristics (Mann-Whitney U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990"/>
        <w:gridCol w:w="2242"/>
      </w:tblGrid>
      <w:tr w:rsidR="00D562F1" w:rsidRPr="00173D8C" w14:paraId="3F3A91DD" w14:textId="77777777" w:rsidTr="00E47D7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4A5AE7"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E1035"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t>P-Value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09540"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t>Significant? (p&lt;0.05)</w:t>
            </w:r>
          </w:p>
        </w:tc>
      </w:tr>
      <w:tr w:rsidR="00D562F1" w:rsidRPr="00173D8C" w14:paraId="326A4E5F" w14:textId="77777777" w:rsidTr="00E47D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FAAE6A"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Calcium (calc)</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1FE42"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0.000008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41D71"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True</w:t>
            </w:r>
          </w:p>
        </w:tc>
      </w:tr>
      <w:tr w:rsidR="00D562F1" w:rsidRPr="00173D8C" w14:paraId="670C5B7E" w14:textId="77777777" w:rsidTr="00E47D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4D4F94"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Gravity (gravity)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2BC07"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0.000208</w:t>
            </w:r>
          </w:p>
        </w:tc>
        <w:tc>
          <w:tcPr>
            <w:tcW w:w="0" w:type="auto"/>
            <w:tcBorders>
              <w:top w:val="single" w:sz="6" w:space="0" w:color="auto"/>
              <w:left w:val="single" w:sz="6" w:space="0" w:color="auto"/>
              <w:bottom w:val="single" w:sz="6" w:space="0" w:color="auto"/>
              <w:right w:val="single" w:sz="6" w:space="0" w:color="auto"/>
            </w:tcBorders>
            <w:vAlign w:val="center"/>
            <w:hideMark/>
          </w:tcPr>
          <w:p w14:paraId="76243B85"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True</w:t>
            </w:r>
          </w:p>
        </w:tc>
      </w:tr>
      <w:tr w:rsidR="00D562F1" w:rsidRPr="00173D8C" w14:paraId="73367450" w14:textId="77777777" w:rsidTr="00E47D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1EEC7A"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lastRenderedPageBreak/>
              <w:t>Urea (urea)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30041"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0.017017</w:t>
            </w:r>
          </w:p>
        </w:tc>
        <w:tc>
          <w:tcPr>
            <w:tcW w:w="0" w:type="auto"/>
            <w:tcBorders>
              <w:top w:val="single" w:sz="6" w:space="0" w:color="auto"/>
              <w:left w:val="single" w:sz="6" w:space="0" w:color="auto"/>
              <w:bottom w:val="single" w:sz="6" w:space="0" w:color="auto"/>
              <w:right w:val="single" w:sz="6" w:space="0" w:color="auto"/>
            </w:tcBorders>
            <w:vAlign w:val="center"/>
            <w:hideMark/>
          </w:tcPr>
          <w:p w14:paraId="7A0D81B8"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True</w:t>
            </w:r>
          </w:p>
        </w:tc>
      </w:tr>
      <w:tr w:rsidR="00D562F1" w:rsidRPr="00173D8C" w14:paraId="2670FA6C" w14:textId="77777777" w:rsidTr="00E47D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1926AA"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Osmolarity (</w:t>
            </w:r>
            <w:proofErr w:type="spellStart"/>
            <w:r w:rsidRPr="00173D8C">
              <w:rPr>
                <w:rFonts w:ascii="Times New Roman" w:eastAsia="Times New Roman" w:hAnsi="Times New Roman" w:cs="Times New Roman"/>
                <w:kern w:val="0"/>
                <w14:ligatures w14:val="none"/>
              </w:rPr>
              <w:t>osmo</w:t>
            </w:r>
            <w:proofErr w:type="spellEnd"/>
            <w:r w:rsidRPr="00173D8C">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CF623"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0.043391</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B8743"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True</w:t>
            </w:r>
          </w:p>
        </w:tc>
      </w:tr>
      <w:tr w:rsidR="00D562F1" w:rsidRPr="00173D8C" w14:paraId="21C1469B" w14:textId="77777777" w:rsidTr="00E47D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43B5FC"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pH (</w:t>
            </w:r>
            <w:proofErr w:type="spellStart"/>
            <w:r w:rsidRPr="00173D8C">
              <w:rPr>
                <w:rFonts w:ascii="Times New Roman" w:eastAsia="Times New Roman" w:hAnsi="Times New Roman" w:cs="Times New Roman"/>
                <w:kern w:val="0"/>
                <w14:ligatures w14:val="none"/>
              </w:rPr>
              <w:t>ph</w:t>
            </w:r>
            <w:proofErr w:type="spellEnd"/>
            <w:r w:rsidRPr="00173D8C">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95997"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0.248670</w:t>
            </w:r>
          </w:p>
        </w:tc>
        <w:tc>
          <w:tcPr>
            <w:tcW w:w="0" w:type="auto"/>
            <w:tcBorders>
              <w:top w:val="single" w:sz="6" w:space="0" w:color="auto"/>
              <w:left w:val="single" w:sz="6" w:space="0" w:color="auto"/>
              <w:bottom w:val="single" w:sz="6" w:space="0" w:color="auto"/>
              <w:right w:val="single" w:sz="6" w:space="0" w:color="auto"/>
            </w:tcBorders>
            <w:vAlign w:val="center"/>
            <w:hideMark/>
          </w:tcPr>
          <w:p w14:paraId="0ADED5EB"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False</w:t>
            </w:r>
          </w:p>
        </w:tc>
      </w:tr>
      <w:tr w:rsidR="00D562F1" w:rsidRPr="00173D8C" w14:paraId="644CA607" w14:textId="77777777" w:rsidTr="00E47D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BE5E8F"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Conductivity (</w:t>
            </w:r>
            <w:proofErr w:type="spellStart"/>
            <w:r w:rsidRPr="00173D8C">
              <w:rPr>
                <w:rFonts w:ascii="Times New Roman" w:eastAsia="Times New Roman" w:hAnsi="Times New Roman" w:cs="Times New Roman"/>
                <w:kern w:val="0"/>
                <w14:ligatures w14:val="none"/>
              </w:rPr>
              <w:t>cond</w:t>
            </w:r>
            <w:proofErr w:type="spellEnd"/>
            <w:r w:rsidRPr="00173D8C">
              <w:rPr>
                <w:rFonts w:ascii="Times New Roman" w:eastAsia="Times New Roman"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E5AE8"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0.579189</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250A5"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False</w:t>
            </w:r>
          </w:p>
        </w:tc>
      </w:tr>
    </w:tbl>
    <w:p w14:paraId="6B8A3D72" w14:textId="77777777" w:rsidR="00D562F1" w:rsidRPr="00173D8C" w:rsidRDefault="00D562F1" w:rsidP="00D562F1">
      <w:pPr>
        <w:rPr>
          <w:rFonts w:ascii="Times New Roman" w:hAnsi="Times New Roman" w:cs="Times New Roman"/>
          <w:lang w:val="en-US"/>
        </w:rPr>
      </w:pPr>
    </w:p>
    <w:p w14:paraId="316435A0" w14:textId="77777777" w:rsidR="00816C04" w:rsidRPr="00816C04" w:rsidRDefault="00816C04" w:rsidP="00816C04">
      <w:pPr>
        <w:spacing w:after="100" w:afterAutospacing="1" w:line="240" w:lineRule="auto"/>
        <w:outlineLvl w:val="2"/>
        <w:rPr>
          <w:rFonts w:ascii="Times New Roman" w:eastAsia="Times New Roman" w:hAnsi="Times New Roman" w:cs="Times New Roman"/>
          <w:b/>
          <w:bCs/>
          <w:kern w:val="0"/>
          <w:sz w:val="27"/>
          <w:szCs w:val="27"/>
          <w14:ligatures w14:val="none"/>
        </w:rPr>
      </w:pPr>
      <w:r w:rsidRPr="00816C04">
        <w:rPr>
          <w:rFonts w:ascii="Times New Roman" w:eastAsia="Times New Roman" w:hAnsi="Times New Roman" w:cs="Times New Roman"/>
          <w:b/>
          <w:bCs/>
          <w:kern w:val="0"/>
          <w:sz w:val="27"/>
          <w:szCs w:val="27"/>
          <w14:ligatures w14:val="none"/>
        </w:rPr>
        <w:t>4.2 Data Preprocessing and Feature Engineering</w:t>
      </w:r>
    </w:p>
    <w:p w14:paraId="6C6A14A9"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Given the small sample size (n=79) and potential class imbalance, several preprocessing steps were essential:</w:t>
      </w:r>
    </w:p>
    <w:p w14:paraId="3CA799EC" w14:textId="77777777" w:rsidR="00816C04" w:rsidRPr="00816C04" w:rsidRDefault="00816C04" w:rsidP="00816C04">
      <w:pPr>
        <w:numPr>
          <w:ilvl w:val="0"/>
          <w:numId w:val="5"/>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Handling Missing Values</w:t>
      </w:r>
      <w:r w:rsidRPr="00816C04">
        <w:rPr>
          <w:rFonts w:ascii="Times New Roman" w:eastAsia="Times New Roman" w:hAnsi="Times New Roman" w:cs="Times New Roman"/>
          <w:kern w:val="0"/>
          <w14:ligatures w14:val="none"/>
        </w:rPr>
        <w:t>: Mean imputation was used for minor missing data points to maintain dataset integrity.</w:t>
      </w:r>
    </w:p>
    <w:p w14:paraId="04C8B640" w14:textId="77777777" w:rsidR="00816C04" w:rsidRPr="00816C04" w:rsidRDefault="00816C04" w:rsidP="00816C04">
      <w:pPr>
        <w:numPr>
          <w:ilvl w:val="0"/>
          <w:numId w:val="5"/>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SMOTE (Synthetic Minority Over-sampling Technique)</w:t>
      </w:r>
      <w:r w:rsidRPr="00816C04">
        <w:rPr>
          <w:rFonts w:ascii="Times New Roman" w:eastAsia="Times New Roman" w:hAnsi="Times New Roman" w:cs="Times New Roman"/>
          <w:kern w:val="0"/>
          <w14:ligatures w14:val="none"/>
        </w:rPr>
        <w:t>: To prevent the models from biasing toward the majority class, SMOTE was applied to create synthetic examples of the minority class in the training set. This ensures the model learns the characteristics of kidney stone formation effectively.</w:t>
      </w:r>
    </w:p>
    <w:p w14:paraId="23045B9E" w14:textId="77777777" w:rsidR="00816C04" w:rsidRPr="00816C04" w:rsidRDefault="00816C04" w:rsidP="00816C04">
      <w:pPr>
        <w:numPr>
          <w:ilvl w:val="0"/>
          <w:numId w:val="5"/>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Z-Score Normalization</w:t>
      </w:r>
      <w:r w:rsidRPr="00816C04">
        <w:rPr>
          <w:rFonts w:ascii="Times New Roman" w:eastAsia="Times New Roman" w:hAnsi="Times New Roman" w:cs="Times New Roman"/>
          <w:kern w:val="0"/>
          <w14:ligatures w14:val="none"/>
        </w:rPr>
        <w:t>: Features like Osmolarity (range 200–1200) and pH (range 4–8) exist on vastly different scales. Z-score normalization was applied to ensure that no single feature dominated the model's learning process due to its numerical magnitude.</w:t>
      </w:r>
    </w:p>
    <w:p w14:paraId="793B6FDF" w14:textId="77777777" w:rsidR="00816C04" w:rsidRPr="00816C04" w:rsidRDefault="00816C04" w:rsidP="00816C04">
      <w:pPr>
        <w:spacing w:after="100" w:afterAutospacing="1" w:line="240" w:lineRule="auto"/>
        <w:outlineLvl w:val="2"/>
        <w:rPr>
          <w:rFonts w:ascii="Times New Roman" w:eastAsia="Times New Roman" w:hAnsi="Times New Roman" w:cs="Times New Roman"/>
          <w:b/>
          <w:bCs/>
          <w:kern w:val="0"/>
          <w:sz w:val="27"/>
          <w:szCs w:val="27"/>
          <w14:ligatures w14:val="none"/>
        </w:rPr>
      </w:pPr>
      <w:r w:rsidRPr="00816C04">
        <w:rPr>
          <w:rFonts w:ascii="Times New Roman" w:eastAsia="Times New Roman" w:hAnsi="Times New Roman" w:cs="Times New Roman"/>
          <w:b/>
          <w:bCs/>
          <w:kern w:val="0"/>
          <w:sz w:val="27"/>
          <w:szCs w:val="27"/>
          <w14:ligatures w14:val="none"/>
        </w:rPr>
        <w:t>4.3 Implementation of Machine Learning Models</w:t>
      </w:r>
    </w:p>
    <w:p w14:paraId="783FB60B"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 xml:space="preserve">Three distinct </w:t>
      </w:r>
      <w:proofErr w:type="spellStart"/>
      <w:r w:rsidRPr="00816C04">
        <w:rPr>
          <w:rFonts w:ascii="Times New Roman" w:eastAsia="Times New Roman" w:hAnsi="Times New Roman" w:cs="Times New Roman"/>
          <w:kern w:val="0"/>
          <w14:ligatures w14:val="none"/>
        </w:rPr>
        <w:t>modeling</w:t>
      </w:r>
      <w:proofErr w:type="spellEnd"/>
      <w:r w:rsidRPr="00816C04">
        <w:rPr>
          <w:rFonts w:ascii="Times New Roman" w:eastAsia="Times New Roman" w:hAnsi="Times New Roman" w:cs="Times New Roman"/>
          <w:kern w:val="0"/>
          <w14:ligatures w14:val="none"/>
        </w:rPr>
        <w:t xml:space="preserve"> architectures were selected for comparison:</w:t>
      </w:r>
    </w:p>
    <w:p w14:paraId="3F37C3C0" w14:textId="77777777" w:rsidR="00816C04" w:rsidRPr="00816C04" w:rsidRDefault="00816C04" w:rsidP="00816C04">
      <w:pPr>
        <w:numPr>
          <w:ilvl w:val="0"/>
          <w:numId w:val="6"/>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Random Forest</w:t>
      </w:r>
      <w:r w:rsidRPr="00816C04">
        <w:rPr>
          <w:rFonts w:ascii="Times New Roman" w:eastAsia="Times New Roman" w:hAnsi="Times New Roman" w:cs="Times New Roman"/>
          <w:kern w:val="0"/>
          <w14:ligatures w14:val="none"/>
        </w:rPr>
        <w:t>: An ensemble of decision trees that uses bagging to reduce variance. It is known for its robustness and ability to capture non-linear relationships.</w:t>
      </w:r>
    </w:p>
    <w:p w14:paraId="595D6B0D" w14:textId="77777777" w:rsidR="00816C04" w:rsidRPr="00816C04" w:rsidRDefault="00816C04" w:rsidP="00816C04">
      <w:pPr>
        <w:numPr>
          <w:ilvl w:val="0"/>
          <w:numId w:val="6"/>
        </w:numPr>
        <w:spacing w:after="100" w:afterAutospacing="1" w:line="240" w:lineRule="auto"/>
        <w:rPr>
          <w:rFonts w:ascii="Times New Roman" w:eastAsia="Times New Roman" w:hAnsi="Times New Roman" w:cs="Times New Roman"/>
          <w:kern w:val="0"/>
          <w14:ligatures w14:val="none"/>
        </w:rPr>
      </w:pPr>
      <w:proofErr w:type="spellStart"/>
      <w:r w:rsidRPr="00816C04">
        <w:rPr>
          <w:rFonts w:ascii="Times New Roman" w:eastAsia="Times New Roman" w:hAnsi="Times New Roman" w:cs="Times New Roman"/>
          <w:b/>
          <w:bCs/>
          <w:kern w:val="0"/>
          <w14:ligatures w14:val="none"/>
        </w:rPr>
        <w:t>XGBoost</w:t>
      </w:r>
      <w:proofErr w:type="spellEnd"/>
      <w:r w:rsidRPr="00816C04">
        <w:rPr>
          <w:rFonts w:ascii="Times New Roman" w:eastAsia="Times New Roman" w:hAnsi="Times New Roman" w:cs="Times New Roman"/>
          <w:b/>
          <w:bCs/>
          <w:kern w:val="0"/>
          <w14:ligatures w14:val="none"/>
        </w:rPr>
        <w:t xml:space="preserve"> (Extreme Gradient Boosting)</w:t>
      </w:r>
      <w:r w:rsidRPr="00816C04">
        <w:rPr>
          <w:rFonts w:ascii="Times New Roman" w:eastAsia="Times New Roman" w:hAnsi="Times New Roman" w:cs="Times New Roman"/>
          <w:kern w:val="0"/>
          <w14:ligatures w14:val="none"/>
        </w:rPr>
        <w:t>: A high-performance boosting algorithm that sequentially corrects the errors of previous trees.</w:t>
      </w:r>
    </w:p>
    <w:p w14:paraId="6FE0A471" w14:textId="77777777" w:rsidR="00816C04" w:rsidRPr="00816C04" w:rsidRDefault="00816C04" w:rsidP="00816C04">
      <w:pPr>
        <w:numPr>
          <w:ilvl w:val="0"/>
          <w:numId w:val="6"/>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Logistic Regression</w:t>
      </w:r>
      <w:r w:rsidRPr="00816C04">
        <w:rPr>
          <w:rFonts w:ascii="Times New Roman" w:eastAsia="Times New Roman" w:hAnsi="Times New Roman" w:cs="Times New Roman"/>
          <w:kern w:val="0"/>
          <w14:ligatures w14:val="none"/>
        </w:rPr>
        <w:t>: Used in two configurations—"Minimal" (using only the top 2 features) and "Moderate" (using 4 significant features)—to serve as an interpretable baseline.</w:t>
      </w:r>
    </w:p>
    <w:p w14:paraId="18117146" w14:textId="77777777" w:rsidR="00816C04" w:rsidRPr="00816C04" w:rsidRDefault="00816C04" w:rsidP="00816C04">
      <w:pPr>
        <w:spacing w:after="100" w:afterAutospacing="1" w:line="240" w:lineRule="auto"/>
        <w:outlineLvl w:val="1"/>
        <w:rPr>
          <w:rFonts w:ascii="Times New Roman" w:eastAsia="Times New Roman" w:hAnsi="Times New Roman" w:cs="Times New Roman"/>
          <w:b/>
          <w:bCs/>
          <w:kern w:val="0"/>
          <w:sz w:val="36"/>
          <w:szCs w:val="36"/>
          <w14:ligatures w14:val="none"/>
        </w:rPr>
      </w:pPr>
      <w:r w:rsidRPr="00816C04">
        <w:rPr>
          <w:rFonts w:ascii="Times New Roman" w:eastAsia="Times New Roman" w:hAnsi="Times New Roman" w:cs="Times New Roman"/>
          <w:b/>
          <w:bCs/>
          <w:kern w:val="0"/>
          <w:sz w:val="36"/>
          <w:szCs w:val="36"/>
          <w14:ligatures w14:val="none"/>
        </w:rPr>
        <w:t>5. Experimental Results and Discussion</w:t>
      </w:r>
    </w:p>
    <w:p w14:paraId="70334565" w14:textId="77777777" w:rsidR="00816C04" w:rsidRPr="00816C04" w:rsidRDefault="00816C04" w:rsidP="00816C04">
      <w:pPr>
        <w:spacing w:after="100" w:afterAutospacing="1" w:line="240" w:lineRule="auto"/>
        <w:outlineLvl w:val="2"/>
        <w:rPr>
          <w:rFonts w:ascii="Times New Roman" w:eastAsia="Times New Roman" w:hAnsi="Times New Roman" w:cs="Times New Roman"/>
          <w:b/>
          <w:bCs/>
          <w:kern w:val="0"/>
          <w:sz w:val="27"/>
          <w:szCs w:val="27"/>
          <w14:ligatures w14:val="none"/>
        </w:rPr>
      </w:pPr>
      <w:r w:rsidRPr="00816C04">
        <w:rPr>
          <w:rFonts w:ascii="Times New Roman" w:eastAsia="Times New Roman" w:hAnsi="Times New Roman" w:cs="Times New Roman"/>
          <w:b/>
          <w:bCs/>
          <w:kern w:val="0"/>
          <w:sz w:val="27"/>
          <w:szCs w:val="27"/>
          <w14:ligatures w14:val="none"/>
        </w:rPr>
        <w:t>5.1 Performance Evaluation</w:t>
      </w:r>
    </w:p>
    <w:p w14:paraId="79FA3204"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The models were evaluated using 5-fold cross-validation and a held-out test set (30%).</w:t>
      </w:r>
    </w:p>
    <w:p w14:paraId="0E5DCD1A" w14:textId="77777777" w:rsidR="00D562F1" w:rsidRPr="00173D8C" w:rsidRDefault="00D562F1" w:rsidP="00D562F1">
      <w:pPr>
        <w:spacing w:after="100" w:afterAutospacing="1"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t>Table 2: Comparative Model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1942"/>
        <w:gridCol w:w="1752"/>
        <w:gridCol w:w="1390"/>
        <w:gridCol w:w="730"/>
        <w:gridCol w:w="1058"/>
      </w:tblGrid>
      <w:tr w:rsidR="00D562F1" w:rsidRPr="00173D8C" w14:paraId="1FCDEEA8" w14:textId="77777777" w:rsidTr="00E47D75">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92057C"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FE931DF"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t>Features Used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02B3153"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t>Mean CV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FF38C"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t>Test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F3D1E"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t>Recall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87A06"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t>AUC Score</w:t>
            </w:r>
          </w:p>
        </w:tc>
      </w:tr>
      <w:tr w:rsidR="00D562F1" w:rsidRPr="00173D8C" w14:paraId="6646C900" w14:textId="77777777" w:rsidTr="00E47D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495888"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t>Random Forest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62769"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All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29DFD"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87.18%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3F19E"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8F3DF"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071B4"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0.793</w:t>
            </w:r>
          </w:p>
        </w:tc>
      </w:tr>
      <w:tr w:rsidR="00D562F1" w:rsidRPr="00173D8C" w14:paraId="48776115" w14:textId="77777777" w:rsidTr="00E47D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99F132"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proofErr w:type="spellStart"/>
            <w:r w:rsidRPr="00173D8C">
              <w:rPr>
                <w:rFonts w:ascii="Times New Roman" w:eastAsia="Times New Roman" w:hAnsi="Times New Roman" w:cs="Times New Roman"/>
                <w:b/>
                <w:bCs/>
                <w:kern w:val="0"/>
                <w14:ligatures w14:val="none"/>
              </w:rPr>
              <w:t>XGBoost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0C6F017"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All features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F595E5"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87.18%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44F7A"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71.0%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9DAA1"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52E20"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0.707</w:t>
            </w:r>
          </w:p>
        </w:tc>
      </w:tr>
      <w:tr w:rsidR="00D562F1" w:rsidRPr="00173D8C" w14:paraId="690C1066" w14:textId="77777777" w:rsidTr="00E47D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D44C34"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lastRenderedPageBreak/>
              <w:t>Logistic Reg (Moderate)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C3E1C"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 xml:space="preserve">calc, gravity, urea, </w:t>
            </w:r>
            <w:proofErr w:type="spellStart"/>
            <w:r w:rsidRPr="00173D8C">
              <w:rPr>
                <w:rFonts w:ascii="Times New Roman" w:eastAsia="Times New Roman" w:hAnsi="Times New Roman" w:cs="Times New Roman"/>
                <w:kern w:val="0"/>
                <w14:ligatures w14:val="none"/>
              </w:rPr>
              <w:t>osmo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E677C21"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77.56%</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1F487"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79.0%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DEA028"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80.0%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2F274"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0.793</w:t>
            </w:r>
          </w:p>
        </w:tc>
      </w:tr>
      <w:tr w:rsidR="00D562F1" w:rsidRPr="00173D8C" w14:paraId="76853624" w14:textId="77777777" w:rsidTr="00E47D75">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DE051B"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b/>
                <w:bCs/>
                <w:kern w:val="0"/>
                <w14:ligatures w14:val="none"/>
              </w:rPr>
              <w:t>Logistic Reg (Minimal)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68D6F"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calc, gravity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CD71B"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76.0%</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50359"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67.0%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E2D53"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D8147" w14:textId="77777777" w:rsidR="00D562F1" w:rsidRPr="00173D8C" w:rsidRDefault="00D562F1" w:rsidP="00E47D75">
            <w:pPr>
              <w:spacing w:after="0" w:line="240" w:lineRule="auto"/>
              <w:rPr>
                <w:rFonts w:ascii="Times New Roman" w:eastAsia="Times New Roman" w:hAnsi="Times New Roman" w:cs="Times New Roman"/>
                <w:kern w:val="0"/>
                <w14:ligatures w14:val="none"/>
              </w:rPr>
            </w:pPr>
            <w:r w:rsidRPr="00173D8C">
              <w:rPr>
                <w:rFonts w:ascii="Times New Roman" w:eastAsia="Times New Roman" w:hAnsi="Times New Roman" w:cs="Times New Roman"/>
                <w:kern w:val="0"/>
                <w14:ligatures w14:val="none"/>
              </w:rPr>
              <w:t>-</w:t>
            </w:r>
          </w:p>
        </w:tc>
      </w:tr>
    </w:tbl>
    <w:p w14:paraId="6F7AE981" w14:textId="77777777" w:rsidR="00D562F1" w:rsidRDefault="00D562F1" w:rsidP="00816C04">
      <w:pPr>
        <w:spacing w:after="100" w:afterAutospacing="1" w:line="240" w:lineRule="auto"/>
        <w:rPr>
          <w:rFonts w:ascii="Times New Roman" w:eastAsia="Times New Roman" w:hAnsi="Times New Roman" w:cs="Times New Roman"/>
          <w:kern w:val="0"/>
          <w14:ligatures w14:val="none"/>
        </w:rPr>
      </w:pPr>
    </w:p>
    <w:p w14:paraId="595CDF64"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The results indicate that while the complex Random Forest model achieved the highest cross-validation score, the Moderate Logistic Regression model performed remarkably well on the test set. This suggests that the relationship between urine characteristics and stone formation may be largely linear, supporting Rudin’s assertion [4] that simpler models can often suffice for tabular data.</w:t>
      </w:r>
    </w:p>
    <w:p w14:paraId="5AF2DDF6" w14:textId="77777777" w:rsidR="00816C04" w:rsidRPr="00816C04" w:rsidRDefault="00816C04" w:rsidP="00816C04">
      <w:pPr>
        <w:spacing w:after="100" w:afterAutospacing="1" w:line="240" w:lineRule="auto"/>
        <w:outlineLvl w:val="2"/>
        <w:rPr>
          <w:rFonts w:ascii="Times New Roman" w:eastAsia="Times New Roman" w:hAnsi="Times New Roman" w:cs="Times New Roman"/>
          <w:b/>
          <w:bCs/>
          <w:kern w:val="0"/>
          <w:sz w:val="27"/>
          <w:szCs w:val="27"/>
          <w14:ligatures w14:val="none"/>
        </w:rPr>
      </w:pPr>
      <w:r w:rsidRPr="00816C04">
        <w:rPr>
          <w:rFonts w:ascii="Times New Roman" w:eastAsia="Times New Roman" w:hAnsi="Times New Roman" w:cs="Times New Roman"/>
          <w:b/>
          <w:bCs/>
          <w:kern w:val="0"/>
          <w:sz w:val="27"/>
          <w:szCs w:val="27"/>
          <w14:ligatures w14:val="none"/>
        </w:rPr>
        <w:t>5.2 Global Feature Importance and Multicollinearity</w:t>
      </w:r>
    </w:p>
    <w:p w14:paraId="323A1004"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 xml:space="preserve">A global analysis of the Random Forest model revealed that </w:t>
      </w:r>
      <w:r w:rsidRPr="00816C04">
        <w:rPr>
          <w:rFonts w:ascii="Times New Roman" w:eastAsia="Times New Roman" w:hAnsi="Times New Roman" w:cs="Times New Roman"/>
          <w:b/>
          <w:bCs/>
          <w:kern w:val="0"/>
          <w14:ligatures w14:val="none"/>
        </w:rPr>
        <w:t>Calcium</w:t>
      </w:r>
      <w:r w:rsidRPr="00816C04">
        <w:rPr>
          <w:rFonts w:ascii="Times New Roman" w:eastAsia="Times New Roman" w:hAnsi="Times New Roman" w:cs="Times New Roman"/>
          <w:kern w:val="0"/>
          <w14:ligatures w14:val="none"/>
        </w:rPr>
        <w:t xml:space="preserve"> was the most influential feature, accounting for 37.2% of the decision-making weight. This was followed by </w:t>
      </w:r>
      <w:r w:rsidRPr="00816C04">
        <w:rPr>
          <w:rFonts w:ascii="Times New Roman" w:eastAsia="Times New Roman" w:hAnsi="Times New Roman" w:cs="Times New Roman"/>
          <w:b/>
          <w:bCs/>
          <w:kern w:val="0"/>
          <w14:ligatures w14:val="none"/>
        </w:rPr>
        <w:t>Specific Gravity</w:t>
      </w:r>
      <w:r w:rsidRPr="00816C04">
        <w:rPr>
          <w:rFonts w:ascii="Times New Roman" w:eastAsia="Times New Roman" w:hAnsi="Times New Roman" w:cs="Times New Roman"/>
          <w:kern w:val="0"/>
          <w14:ligatures w14:val="none"/>
        </w:rPr>
        <w:t xml:space="preserve"> and </w:t>
      </w:r>
      <w:r w:rsidRPr="00816C04">
        <w:rPr>
          <w:rFonts w:ascii="Times New Roman" w:eastAsia="Times New Roman" w:hAnsi="Times New Roman" w:cs="Times New Roman"/>
          <w:b/>
          <w:bCs/>
          <w:kern w:val="0"/>
          <w14:ligatures w14:val="none"/>
        </w:rPr>
        <w:t>Urea</w:t>
      </w:r>
      <w:r w:rsidRPr="00816C04">
        <w:rPr>
          <w:rFonts w:ascii="Times New Roman" w:eastAsia="Times New Roman" w:hAnsi="Times New Roman" w:cs="Times New Roman"/>
          <w:kern w:val="0"/>
          <w14:ligatures w14:val="none"/>
        </w:rPr>
        <w:t>.</w:t>
      </w:r>
    </w:p>
    <w:p w14:paraId="788547A3"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Interestingly, a "triangle of multicollinearity" was observed between Calcium, Specific Gravity, and Osmolarity (all correlations &gt; 0.85). This makes sense from a physical chemistry perspective: as urine becomes more concentrated (higher gravity), the concentration of dissolved solutes like calcium and salts (osmolarity) naturally increases. This multicollinearity can confuse simple models, but ensemble methods like Random Forest are generally more resilient to these correlations.</w:t>
      </w:r>
    </w:p>
    <w:p w14:paraId="2C1A1E6B" w14:textId="77777777" w:rsidR="00816C04" w:rsidRPr="00816C04" w:rsidRDefault="00816C04" w:rsidP="00816C04">
      <w:pPr>
        <w:spacing w:after="100" w:afterAutospacing="1" w:line="240" w:lineRule="auto"/>
        <w:outlineLvl w:val="2"/>
        <w:rPr>
          <w:rFonts w:ascii="Times New Roman" w:eastAsia="Times New Roman" w:hAnsi="Times New Roman" w:cs="Times New Roman"/>
          <w:b/>
          <w:bCs/>
          <w:kern w:val="0"/>
          <w:sz w:val="27"/>
          <w:szCs w:val="27"/>
          <w14:ligatures w14:val="none"/>
        </w:rPr>
      </w:pPr>
      <w:r w:rsidRPr="00816C04">
        <w:rPr>
          <w:rFonts w:ascii="Times New Roman" w:eastAsia="Times New Roman" w:hAnsi="Times New Roman" w:cs="Times New Roman"/>
          <w:b/>
          <w:bCs/>
          <w:kern w:val="0"/>
          <w:sz w:val="27"/>
          <w:szCs w:val="27"/>
          <w14:ligatures w14:val="none"/>
        </w:rPr>
        <w:t>5.3 SHAP Analysis</w:t>
      </w:r>
    </w:p>
    <w:p w14:paraId="010DBF6C"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SHAP (</w:t>
      </w:r>
      <w:proofErr w:type="spellStart"/>
      <w:r w:rsidRPr="00816C04">
        <w:rPr>
          <w:rFonts w:ascii="Times New Roman" w:eastAsia="Times New Roman" w:hAnsi="Times New Roman" w:cs="Times New Roman"/>
          <w:kern w:val="0"/>
          <w14:ligatures w14:val="none"/>
        </w:rPr>
        <w:t>SHapley</w:t>
      </w:r>
      <w:proofErr w:type="spellEnd"/>
      <w:r w:rsidRPr="00816C04">
        <w:rPr>
          <w:rFonts w:ascii="Times New Roman" w:eastAsia="Times New Roman" w:hAnsi="Times New Roman" w:cs="Times New Roman"/>
          <w:kern w:val="0"/>
          <w14:ligatures w14:val="none"/>
        </w:rPr>
        <w:t xml:space="preserve"> Additive </w:t>
      </w:r>
      <w:proofErr w:type="spellStart"/>
      <w:r w:rsidRPr="00816C04">
        <w:rPr>
          <w:rFonts w:ascii="Times New Roman" w:eastAsia="Times New Roman" w:hAnsi="Times New Roman" w:cs="Times New Roman"/>
          <w:kern w:val="0"/>
          <w14:ligatures w14:val="none"/>
        </w:rPr>
        <w:t>exPlanations</w:t>
      </w:r>
      <w:proofErr w:type="spellEnd"/>
      <w:r w:rsidRPr="00816C04">
        <w:rPr>
          <w:rFonts w:ascii="Times New Roman" w:eastAsia="Times New Roman" w:hAnsi="Times New Roman" w:cs="Times New Roman"/>
          <w:kern w:val="0"/>
          <w14:ligatures w14:val="none"/>
        </w:rPr>
        <w:t>) was used to decompose the prediction for each patient. Rooted in cooperative game theory, SHAP assigns each feature a "Shapley value," representing its contribution to the deviation of the prediction from the average model output.</w:t>
      </w:r>
    </w:p>
    <w:p w14:paraId="07754FD4"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 xml:space="preserve">SHAP analysis revealed a crucial insight: while the </w:t>
      </w:r>
      <w:proofErr w:type="spellStart"/>
      <w:r w:rsidRPr="00816C04">
        <w:rPr>
          <w:rFonts w:ascii="Times New Roman" w:eastAsia="Times New Roman" w:hAnsi="Times New Roman" w:cs="Times New Roman"/>
          <w:kern w:val="0"/>
          <w14:ligatures w14:val="none"/>
        </w:rPr>
        <w:t>XGBoost</w:t>
      </w:r>
      <w:proofErr w:type="spellEnd"/>
      <w:r w:rsidRPr="00816C04">
        <w:rPr>
          <w:rFonts w:ascii="Times New Roman" w:eastAsia="Times New Roman" w:hAnsi="Times New Roman" w:cs="Times New Roman"/>
          <w:kern w:val="0"/>
          <w14:ligatures w14:val="none"/>
        </w:rPr>
        <w:t xml:space="preserve"> model appeared to give high importance to pH in its internal metrics, the SHAP values showed that pH actually had a negligible effect on the final classification for most patients. This allowed us to "filter out" pH as a spurious correlation, refining our understanding of what actually drives the model's decisions.</w:t>
      </w:r>
    </w:p>
    <w:p w14:paraId="3A843755" w14:textId="77777777" w:rsidR="00816C04" w:rsidRPr="00816C04" w:rsidRDefault="00816C04" w:rsidP="00816C04">
      <w:pPr>
        <w:spacing w:after="100" w:afterAutospacing="1" w:line="240" w:lineRule="auto"/>
        <w:outlineLvl w:val="2"/>
        <w:rPr>
          <w:rFonts w:ascii="Times New Roman" w:eastAsia="Times New Roman" w:hAnsi="Times New Roman" w:cs="Times New Roman"/>
          <w:b/>
          <w:bCs/>
          <w:kern w:val="0"/>
          <w:sz w:val="27"/>
          <w:szCs w:val="27"/>
          <w14:ligatures w14:val="none"/>
        </w:rPr>
      </w:pPr>
      <w:r w:rsidRPr="00816C04">
        <w:rPr>
          <w:rFonts w:ascii="Times New Roman" w:eastAsia="Times New Roman" w:hAnsi="Times New Roman" w:cs="Times New Roman"/>
          <w:b/>
          <w:bCs/>
          <w:kern w:val="0"/>
          <w:sz w:val="27"/>
          <w:szCs w:val="27"/>
          <w14:ligatures w14:val="none"/>
        </w:rPr>
        <w:t>5.4 Expanded LIME Justification and Case Studies</w:t>
      </w:r>
    </w:p>
    <w:p w14:paraId="7D4B8983"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 xml:space="preserve">Local Interpretable Model-agnostic Explanations (LIME) were implemented to provide "reason codes" for individual predictions. LIME works by perturbing the input data around a specific instance and training a simple linear model on these perturbations to approximate the black box's local </w:t>
      </w:r>
      <w:proofErr w:type="spellStart"/>
      <w:r w:rsidRPr="00816C04">
        <w:rPr>
          <w:rFonts w:ascii="Times New Roman" w:eastAsia="Times New Roman" w:hAnsi="Times New Roman" w:cs="Times New Roman"/>
          <w:kern w:val="0"/>
          <w14:ligatures w14:val="none"/>
        </w:rPr>
        <w:t>behavior</w:t>
      </w:r>
      <w:proofErr w:type="spellEnd"/>
      <w:r w:rsidRPr="00816C04">
        <w:rPr>
          <w:rFonts w:ascii="Times New Roman" w:eastAsia="Times New Roman" w:hAnsi="Times New Roman" w:cs="Times New Roman"/>
          <w:kern w:val="0"/>
          <w14:ligatures w14:val="none"/>
        </w:rPr>
        <w:t>.</w:t>
      </w:r>
    </w:p>
    <w:p w14:paraId="55E74FB7" w14:textId="77777777" w:rsidR="00816C04" w:rsidRPr="00816C04" w:rsidRDefault="00816C04" w:rsidP="00816C04">
      <w:pPr>
        <w:numPr>
          <w:ilvl w:val="0"/>
          <w:numId w:val="7"/>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Case Study 1: Patient 6 (Healthy/True Negative)</w:t>
      </w:r>
      <w:r w:rsidRPr="00816C04">
        <w:rPr>
          <w:rFonts w:ascii="Times New Roman" w:eastAsia="Times New Roman" w:hAnsi="Times New Roman" w:cs="Times New Roman"/>
          <w:kern w:val="0"/>
          <w14:ligatures w14:val="none"/>
        </w:rPr>
        <w:t xml:space="preserve">: This patient presented a high calcium level, which usually triggers a "Stone" prediction. However, the model </w:t>
      </w:r>
      <w:r w:rsidRPr="00816C04">
        <w:rPr>
          <w:rFonts w:ascii="Times New Roman" w:eastAsia="Times New Roman" w:hAnsi="Times New Roman" w:cs="Times New Roman"/>
          <w:kern w:val="0"/>
          <w14:ligatures w14:val="none"/>
        </w:rPr>
        <w:lastRenderedPageBreak/>
        <w:t xml:space="preserve">correctly predicted "Healthy." LIME analysis revealed that the model placed high negative weight on the patient’s </w:t>
      </w:r>
      <w:r w:rsidRPr="00816C04">
        <w:rPr>
          <w:rFonts w:ascii="Times New Roman" w:eastAsia="Times New Roman" w:hAnsi="Times New Roman" w:cs="Times New Roman"/>
          <w:b/>
          <w:bCs/>
          <w:kern w:val="0"/>
          <w14:ligatures w14:val="none"/>
        </w:rPr>
        <w:t>Specific Gravity</w:t>
      </w:r>
      <w:r w:rsidRPr="00816C04">
        <w:rPr>
          <w:rFonts w:ascii="Times New Roman" w:eastAsia="Times New Roman" w:hAnsi="Times New Roman" w:cs="Times New Roman"/>
          <w:kern w:val="0"/>
          <w14:ligatures w14:val="none"/>
        </w:rPr>
        <w:t xml:space="preserve"> and </w:t>
      </w:r>
      <w:r w:rsidRPr="00816C04">
        <w:rPr>
          <w:rFonts w:ascii="Times New Roman" w:eastAsia="Times New Roman" w:hAnsi="Times New Roman" w:cs="Times New Roman"/>
          <w:b/>
          <w:bCs/>
          <w:kern w:val="0"/>
          <w14:ligatures w14:val="none"/>
        </w:rPr>
        <w:t>Urea</w:t>
      </w:r>
      <w:r w:rsidRPr="00816C04">
        <w:rPr>
          <w:rFonts w:ascii="Times New Roman" w:eastAsia="Times New Roman" w:hAnsi="Times New Roman" w:cs="Times New Roman"/>
          <w:kern w:val="0"/>
          <w14:ligatures w14:val="none"/>
        </w:rPr>
        <w:t xml:space="preserve"> levels. Essentially, the model "reasoned" that because the urine was highly dilute (low gravity), the high calcium concentration was not sufficient to reach the saturation point required for crystal formation. This demonstrates that the model learned a sophisticated interaction between concentration and solute levels, rather than just acting as a simple calcium detector.</w:t>
      </w:r>
    </w:p>
    <w:p w14:paraId="25E9F354" w14:textId="77777777" w:rsidR="00816C04" w:rsidRPr="00816C04" w:rsidRDefault="00816C04" w:rsidP="00816C04">
      <w:pPr>
        <w:numPr>
          <w:ilvl w:val="0"/>
          <w:numId w:val="7"/>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Case Study 2: Patient 8 (Stone/False Negative)</w:t>
      </w:r>
      <w:r w:rsidRPr="00816C04">
        <w:rPr>
          <w:rFonts w:ascii="Times New Roman" w:eastAsia="Times New Roman" w:hAnsi="Times New Roman" w:cs="Times New Roman"/>
          <w:kern w:val="0"/>
          <w14:ligatures w14:val="none"/>
        </w:rPr>
        <w:t>: This patient was a confirmed stone former but had unusually low urinary calcium. The Random Forest model predicted "Healthy" with 94% confidence. LIME analysis exposed a critical "blind spot": the model’s logic was almost entirely dominated by the calcium feature. Because the calcium was low, the model ignored other subtle indicators (such as high urea and low pH) that might have suggested non-calcium-based stones (e.g., uric acid stones). This LIME-driven discovery is invaluable; it tells us that our model is currently a "hypercalciuria detector" rather than a general "kidney stone detector," highlighting the need for more diverse training data that includes low-calcium stone cases.</w:t>
      </w:r>
    </w:p>
    <w:p w14:paraId="1B289ACF" w14:textId="77777777" w:rsidR="00816C04" w:rsidRPr="00816C04" w:rsidRDefault="00816C04" w:rsidP="00816C04">
      <w:pPr>
        <w:spacing w:after="100" w:afterAutospacing="1" w:line="240" w:lineRule="auto"/>
        <w:outlineLvl w:val="1"/>
        <w:rPr>
          <w:rFonts w:ascii="Times New Roman" w:eastAsia="Times New Roman" w:hAnsi="Times New Roman" w:cs="Times New Roman"/>
          <w:b/>
          <w:bCs/>
          <w:kern w:val="0"/>
          <w:sz w:val="36"/>
          <w:szCs w:val="36"/>
          <w14:ligatures w14:val="none"/>
        </w:rPr>
      </w:pPr>
      <w:r w:rsidRPr="00816C04">
        <w:rPr>
          <w:rFonts w:ascii="Times New Roman" w:eastAsia="Times New Roman" w:hAnsi="Times New Roman" w:cs="Times New Roman"/>
          <w:b/>
          <w:bCs/>
          <w:kern w:val="0"/>
          <w:sz w:val="36"/>
          <w:szCs w:val="36"/>
          <w14:ligatures w14:val="none"/>
        </w:rPr>
        <w:t>6. Conclusion and Future Work</w:t>
      </w:r>
    </w:p>
    <w:p w14:paraId="7FC7C100"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This project successfully demonstrated the application of XAI techniques to the problem of kidney stone prediction. By using a combination of global importance scores, SHAP values, and LIME local surrogates, we were able to peel back the layers of a Random Forest "black box." The Random Forest model emerged as the most robust performer, but the XAI analysis was the most revealing component of the study. It allowed us to identify both the model's strengths (capturing non-linear interactions between gravity and calcium) and its significant "blind spot" (inability to detect non-calcium stones).</w:t>
      </w:r>
    </w:p>
    <w:p w14:paraId="2D4419FB"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Future work should focus on two areas:</w:t>
      </w:r>
    </w:p>
    <w:p w14:paraId="28A58B20" w14:textId="77777777" w:rsidR="00816C04" w:rsidRPr="00816C04" w:rsidRDefault="00816C04" w:rsidP="00816C04">
      <w:pPr>
        <w:numPr>
          <w:ilvl w:val="0"/>
          <w:numId w:val="8"/>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Data Expansion</w:t>
      </w:r>
      <w:r w:rsidRPr="00816C04">
        <w:rPr>
          <w:rFonts w:ascii="Times New Roman" w:eastAsia="Times New Roman" w:hAnsi="Times New Roman" w:cs="Times New Roman"/>
          <w:kern w:val="0"/>
          <w14:ligatures w14:val="none"/>
        </w:rPr>
        <w:t>: Incorporating patient demographics, medical history, and dietary habits could help the model distinguish between different types of stone formation mechanisms.</w:t>
      </w:r>
    </w:p>
    <w:p w14:paraId="71D71567" w14:textId="77777777" w:rsidR="00816C04" w:rsidRPr="00816C04" w:rsidRDefault="00816C04" w:rsidP="00816C04">
      <w:pPr>
        <w:numPr>
          <w:ilvl w:val="0"/>
          <w:numId w:val="8"/>
        </w:num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b/>
          <w:bCs/>
          <w:kern w:val="0"/>
          <w14:ligatures w14:val="none"/>
        </w:rPr>
        <w:t>Explanation Fidelity</w:t>
      </w:r>
      <w:r w:rsidRPr="00816C04">
        <w:rPr>
          <w:rFonts w:ascii="Times New Roman" w:eastAsia="Times New Roman" w:hAnsi="Times New Roman" w:cs="Times New Roman"/>
          <w:kern w:val="0"/>
          <w14:ligatures w14:val="none"/>
        </w:rPr>
        <w:t>: Future iterations should include quantitative metrics to measure "explanation stability"—ensuring that the justifications provided to the user do not change drastically with minor, irrelevant changes in the input data.</w:t>
      </w:r>
    </w:p>
    <w:p w14:paraId="635CF4E5" w14:textId="77777777"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Ultimately, this study confirms that in the clinical domain, a prediction without a clear explanation is only half a solution. XAI provides the transparency necessary to transform machine learning from a black-box tool into a reliable partner for medical decision-making.</w:t>
      </w:r>
    </w:p>
    <w:p w14:paraId="002BE55D" w14:textId="77777777" w:rsidR="00816C04" w:rsidRPr="00816C04" w:rsidRDefault="00816C04" w:rsidP="00816C04">
      <w:pPr>
        <w:spacing w:after="0" w:line="240" w:lineRule="auto"/>
        <w:rPr>
          <w:rFonts w:ascii="Times New Roman" w:eastAsia="Times New Roman" w:hAnsi="Times New Roman" w:cs="Times New Roman"/>
          <w:kern w:val="0"/>
          <w14:ligatures w14:val="none"/>
        </w:rPr>
      </w:pPr>
    </w:p>
    <w:p w14:paraId="2F0AD10A" w14:textId="77777777" w:rsidR="00816C04" w:rsidRPr="00816C04" w:rsidRDefault="00816C04" w:rsidP="00816C04">
      <w:pPr>
        <w:spacing w:after="100" w:afterAutospacing="1" w:line="240" w:lineRule="auto"/>
        <w:outlineLvl w:val="1"/>
        <w:rPr>
          <w:rFonts w:ascii="Times New Roman" w:eastAsia="Times New Roman" w:hAnsi="Times New Roman" w:cs="Times New Roman"/>
          <w:b/>
          <w:bCs/>
          <w:kern w:val="0"/>
          <w:sz w:val="36"/>
          <w:szCs w:val="36"/>
          <w14:ligatures w14:val="none"/>
        </w:rPr>
      </w:pPr>
      <w:r w:rsidRPr="00816C04">
        <w:rPr>
          <w:rFonts w:ascii="Times New Roman" w:eastAsia="Times New Roman" w:hAnsi="Times New Roman" w:cs="Times New Roman"/>
          <w:b/>
          <w:bCs/>
          <w:kern w:val="0"/>
          <w:sz w:val="36"/>
          <w:szCs w:val="36"/>
          <w14:ligatures w14:val="none"/>
        </w:rPr>
        <w:t>7. References</w:t>
      </w:r>
    </w:p>
    <w:p w14:paraId="4D024593" w14:textId="23C09E3E"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 xml:space="preserve">[1] A. Barredo Arrieta et al., "Explainable Artificial Intelligence (XAI): Concepts, taxonomies, opportunities and challenges toward responsible AI," </w:t>
      </w:r>
      <w:r w:rsidRPr="00816C04">
        <w:rPr>
          <w:rFonts w:ascii="Times New Roman" w:eastAsia="Times New Roman" w:hAnsi="Times New Roman" w:cs="Times New Roman"/>
          <w:i/>
          <w:iCs/>
          <w:kern w:val="0"/>
          <w14:ligatures w14:val="none"/>
        </w:rPr>
        <w:t>Information Fusion</w:t>
      </w:r>
      <w:r w:rsidRPr="00816C04">
        <w:rPr>
          <w:rFonts w:ascii="Times New Roman" w:eastAsia="Times New Roman" w:hAnsi="Times New Roman" w:cs="Times New Roman"/>
          <w:kern w:val="0"/>
          <w14:ligatures w14:val="none"/>
        </w:rPr>
        <w:t>, vol. 58, pp. 82–115, 2020.</w:t>
      </w:r>
      <w:r w:rsidR="000C577B">
        <w:rPr>
          <w:rFonts w:ascii="Times New Roman" w:eastAsia="Times New Roman" w:hAnsi="Times New Roman" w:cs="Times New Roman"/>
          <w:kern w:val="0"/>
          <w14:ligatures w14:val="none"/>
        </w:rPr>
        <w:t xml:space="preserve"> </w:t>
      </w:r>
      <w:r w:rsidR="000C577B" w:rsidRPr="000C577B">
        <w:rPr>
          <w:rFonts w:ascii="Times New Roman" w:eastAsia="Times New Roman" w:hAnsi="Times New Roman" w:cs="Times New Roman"/>
          <w:kern w:val="0"/>
          <w14:ligatures w14:val="none"/>
        </w:rPr>
        <w:t>https://doi.org/10.1016/j.inffus.2019.12.012</w:t>
      </w:r>
    </w:p>
    <w:p w14:paraId="6B33F191" w14:textId="0B4C9B64"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lastRenderedPageBreak/>
        <w:t xml:space="preserve">[2] H. </w:t>
      </w:r>
      <w:proofErr w:type="spellStart"/>
      <w:r w:rsidRPr="00816C04">
        <w:rPr>
          <w:rFonts w:ascii="Times New Roman" w:eastAsia="Times New Roman" w:hAnsi="Times New Roman" w:cs="Times New Roman"/>
          <w:kern w:val="0"/>
          <w14:ligatures w14:val="none"/>
        </w:rPr>
        <w:t>Linardatos</w:t>
      </w:r>
      <w:proofErr w:type="spellEnd"/>
      <w:r w:rsidRPr="00816C04">
        <w:rPr>
          <w:rFonts w:ascii="Times New Roman" w:eastAsia="Times New Roman" w:hAnsi="Times New Roman" w:cs="Times New Roman"/>
          <w:kern w:val="0"/>
          <w14:ligatures w14:val="none"/>
        </w:rPr>
        <w:t xml:space="preserve">, V. </w:t>
      </w:r>
      <w:proofErr w:type="spellStart"/>
      <w:r w:rsidRPr="00816C04">
        <w:rPr>
          <w:rFonts w:ascii="Times New Roman" w:eastAsia="Times New Roman" w:hAnsi="Times New Roman" w:cs="Times New Roman"/>
          <w:kern w:val="0"/>
          <w14:ligatures w14:val="none"/>
        </w:rPr>
        <w:t>Papastefanopoulos</w:t>
      </w:r>
      <w:proofErr w:type="spellEnd"/>
      <w:r w:rsidRPr="00816C04">
        <w:rPr>
          <w:rFonts w:ascii="Times New Roman" w:eastAsia="Times New Roman" w:hAnsi="Times New Roman" w:cs="Times New Roman"/>
          <w:kern w:val="0"/>
          <w14:ligatures w14:val="none"/>
        </w:rPr>
        <w:t xml:space="preserve">, and S. </w:t>
      </w:r>
      <w:proofErr w:type="spellStart"/>
      <w:r w:rsidRPr="00816C04">
        <w:rPr>
          <w:rFonts w:ascii="Times New Roman" w:eastAsia="Times New Roman" w:hAnsi="Times New Roman" w:cs="Times New Roman"/>
          <w:kern w:val="0"/>
          <w14:ligatures w14:val="none"/>
        </w:rPr>
        <w:t>Kotsiantis</w:t>
      </w:r>
      <w:proofErr w:type="spellEnd"/>
      <w:r w:rsidRPr="00816C04">
        <w:rPr>
          <w:rFonts w:ascii="Times New Roman" w:eastAsia="Times New Roman" w:hAnsi="Times New Roman" w:cs="Times New Roman"/>
          <w:kern w:val="0"/>
          <w14:ligatures w14:val="none"/>
        </w:rPr>
        <w:t xml:space="preserve">, "Explainable AI: A Review of Machine Learning Interpretability Methods," </w:t>
      </w:r>
      <w:r w:rsidRPr="00816C04">
        <w:rPr>
          <w:rFonts w:ascii="Times New Roman" w:eastAsia="Times New Roman" w:hAnsi="Times New Roman" w:cs="Times New Roman"/>
          <w:i/>
          <w:iCs/>
          <w:kern w:val="0"/>
          <w14:ligatures w14:val="none"/>
        </w:rPr>
        <w:t>Entropy</w:t>
      </w:r>
      <w:r w:rsidRPr="00816C04">
        <w:rPr>
          <w:rFonts w:ascii="Times New Roman" w:eastAsia="Times New Roman" w:hAnsi="Times New Roman" w:cs="Times New Roman"/>
          <w:kern w:val="0"/>
          <w14:ligatures w14:val="none"/>
        </w:rPr>
        <w:t>, vol. 23, no. 1, p. 18, 2020.</w:t>
      </w:r>
      <w:r w:rsidR="000C577B">
        <w:rPr>
          <w:rFonts w:ascii="Times New Roman" w:eastAsia="Times New Roman" w:hAnsi="Times New Roman" w:cs="Times New Roman"/>
          <w:kern w:val="0"/>
          <w14:ligatures w14:val="none"/>
        </w:rPr>
        <w:t xml:space="preserve"> </w:t>
      </w:r>
      <w:r w:rsidR="000C577B" w:rsidRPr="000C577B">
        <w:rPr>
          <w:rFonts w:ascii="Times New Roman" w:eastAsia="Times New Roman" w:hAnsi="Times New Roman" w:cs="Times New Roman"/>
          <w:kern w:val="0"/>
          <w14:ligatures w14:val="none"/>
        </w:rPr>
        <w:t>https://doi.org/10.3390/e23010018</w:t>
      </w:r>
    </w:p>
    <w:p w14:paraId="42C7275C" w14:textId="747E1CEC"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 xml:space="preserve">[3] S. Wachter et al., "The EU AI Act: A legal framework for trustworthy AI," </w:t>
      </w:r>
      <w:r w:rsidRPr="00816C04">
        <w:rPr>
          <w:rFonts w:ascii="Times New Roman" w:eastAsia="Times New Roman" w:hAnsi="Times New Roman" w:cs="Times New Roman"/>
          <w:i/>
          <w:iCs/>
          <w:kern w:val="0"/>
          <w14:ligatures w14:val="none"/>
        </w:rPr>
        <w:t>Computer Law &amp; Security Review</w:t>
      </w:r>
      <w:r w:rsidRPr="00816C04">
        <w:rPr>
          <w:rFonts w:ascii="Times New Roman" w:eastAsia="Times New Roman" w:hAnsi="Times New Roman" w:cs="Times New Roman"/>
          <w:kern w:val="0"/>
          <w14:ligatures w14:val="none"/>
        </w:rPr>
        <w:t>, vol. 47, p. 105782, 2023.</w:t>
      </w:r>
      <w:r w:rsidR="000C577B" w:rsidRPr="000C577B">
        <w:t xml:space="preserve"> </w:t>
      </w:r>
      <w:r w:rsidR="000C577B" w:rsidRPr="000C577B">
        <w:rPr>
          <w:rFonts w:ascii="Times New Roman" w:eastAsia="Times New Roman" w:hAnsi="Times New Roman" w:cs="Times New Roman"/>
          <w:kern w:val="0"/>
          <w14:ligatures w14:val="none"/>
        </w:rPr>
        <w:t>https://doi.org/10.1016/j.clsr.2022.105682</w:t>
      </w:r>
    </w:p>
    <w:p w14:paraId="6D3DCC9C" w14:textId="5E521389"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 xml:space="preserve">[4] C. Rudin et al., "Interpretable machine learning: Fundamental principles and 10 grand challenges," </w:t>
      </w:r>
      <w:r w:rsidRPr="00816C04">
        <w:rPr>
          <w:rFonts w:ascii="Times New Roman" w:eastAsia="Times New Roman" w:hAnsi="Times New Roman" w:cs="Times New Roman"/>
          <w:i/>
          <w:iCs/>
          <w:kern w:val="0"/>
          <w14:ligatures w14:val="none"/>
        </w:rPr>
        <w:t>Statistics Surveys</w:t>
      </w:r>
      <w:r w:rsidRPr="00816C04">
        <w:rPr>
          <w:rFonts w:ascii="Times New Roman" w:eastAsia="Times New Roman" w:hAnsi="Times New Roman" w:cs="Times New Roman"/>
          <w:kern w:val="0"/>
          <w14:ligatures w14:val="none"/>
        </w:rPr>
        <w:t>, vol. 16, pp. 1–50, 2022.</w:t>
      </w:r>
      <w:r w:rsidR="000C577B">
        <w:rPr>
          <w:rFonts w:ascii="Times New Roman" w:eastAsia="Times New Roman" w:hAnsi="Times New Roman" w:cs="Times New Roman"/>
          <w:kern w:val="0"/>
          <w14:ligatures w14:val="none"/>
        </w:rPr>
        <w:t xml:space="preserve"> </w:t>
      </w:r>
      <w:r w:rsidR="000C577B" w:rsidRPr="000C577B">
        <w:rPr>
          <w:rFonts w:ascii="Times New Roman" w:eastAsia="Times New Roman" w:hAnsi="Times New Roman" w:cs="Times New Roman"/>
          <w:kern w:val="0"/>
          <w14:ligatures w14:val="none"/>
        </w:rPr>
        <w:t>https://doi.org/10.1214/21-SS133</w:t>
      </w:r>
    </w:p>
    <w:p w14:paraId="76DF74DB" w14:textId="70BBA8B2"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 xml:space="preserve">[5] C. Molnar, </w:t>
      </w:r>
      <w:r w:rsidRPr="00816C04">
        <w:rPr>
          <w:rFonts w:ascii="Times New Roman" w:eastAsia="Times New Roman" w:hAnsi="Times New Roman" w:cs="Times New Roman"/>
          <w:i/>
          <w:iCs/>
          <w:kern w:val="0"/>
          <w14:ligatures w14:val="none"/>
        </w:rPr>
        <w:t>Interpretable Machine Learning: A Guide for Making Black Box Models Explainable</w:t>
      </w:r>
      <w:r w:rsidRPr="00816C04">
        <w:rPr>
          <w:rFonts w:ascii="Times New Roman" w:eastAsia="Times New Roman" w:hAnsi="Times New Roman" w:cs="Times New Roman"/>
          <w:kern w:val="0"/>
          <w14:ligatures w14:val="none"/>
        </w:rPr>
        <w:t>, 2nd ed. Morrisville, NC, USA: Lulu Press, 2022</w:t>
      </w:r>
      <w:r w:rsidR="000C577B">
        <w:rPr>
          <w:rFonts w:ascii="Times New Roman" w:eastAsia="Times New Roman" w:hAnsi="Times New Roman" w:cs="Times New Roman"/>
          <w:kern w:val="0"/>
          <w14:ligatures w14:val="none"/>
        </w:rPr>
        <w:t xml:space="preserve">. </w:t>
      </w:r>
      <w:r w:rsidR="000C577B" w:rsidRPr="000C577B">
        <w:rPr>
          <w:rFonts w:ascii="Times New Roman" w:eastAsia="Times New Roman" w:hAnsi="Times New Roman" w:cs="Times New Roman"/>
          <w:kern w:val="0"/>
          <w14:ligatures w14:val="none"/>
        </w:rPr>
        <w:t>https://freecomputerbooks.com/Interpretable-Machine-Learning-A-Guide-for-Making-Black-Box-Models-Explainable.html</w:t>
      </w:r>
    </w:p>
    <w:p w14:paraId="7592DCE2" w14:textId="3415C15B"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 xml:space="preserve">[6] H. Saarela and V. </w:t>
      </w:r>
      <w:proofErr w:type="spellStart"/>
      <w:r w:rsidRPr="00816C04">
        <w:rPr>
          <w:rFonts w:ascii="Times New Roman" w:eastAsia="Times New Roman" w:hAnsi="Times New Roman" w:cs="Times New Roman"/>
          <w:kern w:val="0"/>
          <w14:ligatures w14:val="none"/>
        </w:rPr>
        <w:t>Podgorelec</w:t>
      </w:r>
      <w:proofErr w:type="spellEnd"/>
      <w:r w:rsidRPr="00816C04">
        <w:rPr>
          <w:rFonts w:ascii="Times New Roman" w:eastAsia="Times New Roman" w:hAnsi="Times New Roman" w:cs="Times New Roman"/>
          <w:kern w:val="0"/>
          <w14:ligatures w14:val="none"/>
        </w:rPr>
        <w:t xml:space="preserve">, "Recent Applications of Explainable AI (XAI): A Systematic Literature Review," </w:t>
      </w:r>
      <w:r w:rsidRPr="00816C04">
        <w:rPr>
          <w:rFonts w:ascii="Times New Roman" w:eastAsia="Times New Roman" w:hAnsi="Times New Roman" w:cs="Times New Roman"/>
          <w:i/>
          <w:iCs/>
          <w:kern w:val="0"/>
          <w14:ligatures w14:val="none"/>
        </w:rPr>
        <w:t>Applied Sciences</w:t>
      </w:r>
      <w:r w:rsidRPr="00816C04">
        <w:rPr>
          <w:rFonts w:ascii="Times New Roman" w:eastAsia="Times New Roman" w:hAnsi="Times New Roman" w:cs="Times New Roman"/>
          <w:kern w:val="0"/>
          <w14:ligatures w14:val="none"/>
        </w:rPr>
        <w:t>, vol. 14, no. 1, p. 234, 2024.</w:t>
      </w:r>
      <w:r w:rsidR="000C577B">
        <w:rPr>
          <w:rFonts w:ascii="Times New Roman" w:eastAsia="Times New Roman" w:hAnsi="Times New Roman" w:cs="Times New Roman"/>
          <w:kern w:val="0"/>
          <w14:ligatures w14:val="none"/>
        </w:rPr>
        <w:t xml:space="preserve"> </w:t>
      </w:r>
      <w:r w:rsidR="000C577B" w:rsidRPr="000C577B">
        <w:rPr>
          <w:rFonts w:ascii="Times New Roman" w:eastAsia="Times New Roman" w:hAnsi="Times New Roman" w:cs="Times New Roman"/>
          <w:kern w:val="0"/>
          <w14:ligatures w14:val="none"/>
        </w:rPr>
        <w:t>https://www.bohrium.com/en/paper-details/applied-sciences-vol-14-pages-8884-recent-applications-of-explainable-ai-xai-a-systematic-literature-review/1048823420294266926-96529</w:t>
      </w:r>
    </w:p>
    <w:p w14:paraId="10AB430E" w14:textId="77777777" w:rsidR="000C577B" w:rsidRPr="000C577B" w:rsidRDefault="00816C04" w:rsidP="000C577B">
      <w:pPr>
        <w:rPr>
          <w:rFonts w:ascii="Times New Roman" w:eastAsia="Times New Roman" w:hAnsi="Times New Roman" w:cs="Times New Roman"/>
          <w:kern w:val="0"/>
          <w14:ligatures w14:val="none"/>
        </w:rPr>
      </w:pPr>
      <w:r w:rsidRPr="00816C04">
        <w:rPr>
          <w:rFonts w:ascii="Times New Roman" w:eastAsia="Times New Roman" w:hAnsi="Times New Roman" w:cs="Times New Roman"/>
          <w:kern w:val="0"/>
          <w14:ligatures w14:val="none"/>
        </w:rPr>
        <w:t>[</w:t>
      </w:r>
      <w:r w:rsidR="000C577B">
        <w:rPr>
          <w:rFonts w:ascii="Times New Roman" w:eastAsia="Times New Roman" w:hAnsi="Times New Roman" w:cs="Times New Roman"/>
          <w:kern w:val="0"/>
          <w14:ligatures w14:val="none"/>
        </w:rPr>
        <w:t>7</w:t>
      </w:r>
      <w:r w:rsidRPr="00816C04">
        <w:rPr>
          <w:rFonts w:ascii="Times New Roman" w:eastAsia="Times New Roman" w:hAnsi="Times New Roman" w:cs="Times New Roman"/>
          <w:kern w:val="0"/>
          <w14:ligatures w14:val="none"/>
        </w:rPr>
        <w:t xml:space="preserve">] D. Gunning et al., "XAI—Explainable Artificial Intelligence," </w:t>
      </w:r>
      <w:r w:rsidRPr="00816C04">
        <w:rPr>
          <w:rFonts w:ascii="Times New Roman" w:eastAsia="Times New Roman" w:hAnsi="Times New Roman" w:cs="Times New Roman"/>
          <w:i/>
          <w:iCs/>
          <w:kern w:val="0"/>
          <w14:ligatures w14:val="none"/>
        </w:rPr>
        <w:t>Science Robotics</w:t>
      </w:r>
      <w:r w:rsidRPr="00816C04">
        <w:rPr>
          <w:rFonts w:ascii="Times New Roman" w:eastAsia="Times New Roman" w:hAnsi="Times New Roman" w:cs="Times New Roman"/>
          <w:kern w:val="0"/>
          <w14:ligatures w14:val="none"/>
        </w:rPr>
        <w:t>, vol. 4, no. 37, 2021.</w:t>
      </w:r>
      <w:r w:rsidR="000C577B">
        <w:rPr>
          <w:rFonts w:ascii="Times New Roman" w:eastAsia="Times New Roman" w:hAnsi="Times New Roman" w:cs="Times New Roman"/>
          <w:kern w:val="0"/>
          <w14:ligatures w14:val="none"/>
        </w:rPr>
        <w:t xml:space="preserve"> </w:t>
      </w:r>
      <w:r w:rsidR="000C577B" w:rsidRPr="000C577B">
        <w:rPr>
          <w:rFonts w:ascii="Times New Roman" w:eastAsia="Times New Roman" w:hAnsi="Times New Roman" w:cs="Times New Roman"/>
          <w:kern w:val="0"/>
          <w14:ligatures w14:val="none"/>
        </w:rPr>
        <w:t>https://doi.org/10.1126/scirobotics.aay7120</w:t>
      </w:r>
    </w:p>
    <w:p w14:paraId="790BD37B" w14:textId="15383433" w:rsidR="00816C04" w:rsidRPr="00816C04" w:rsidRDefault="00816C04" w:rsidP="00816C04">
      <w:pPr>
        <w:spacing w:after="100" w:afterAutospacing="1" w:line="240" w:lineRule="auto"/>
        <w:rPr>
          <w:rFonts w:ascii="Times New Roman" w:eastAsia="Times New Roman" w:hAnsi="Times New Roman" w:cs="Times New Roman"/>
          <w:kern w:val="0"/>
          <w14:ligatures w14:val="none"/>
        </w:rPr>
      </w:pPr>
    </w:p>
    <w:p w14:paraId="55BD112A" w14:textId="77777777" w:rsidR="00816C04" w:rsidRPr="00816C04" w:rsidRDefault="00816C04" w:rsidP="00816C04">
      <w:pPr>
        <w:rPr>
          <w:rFonts w:ascii="Times New Roman" w:hAnsi="Times New Roman" w:cs="Times New Roman"/>
        </w:rPr>
      </w:pPr>
    </w:p>
    <w:sectPr w:rsidR="00816C04" w:rsidRPr="00816C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5B57"/>
    <w:multiLevelType w:val="multilevel"/>
    <w:tmpl w:val="C010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065FC"/>
    <w:multiLevelType w:val="multilevel"/>
    <w:tmpl w:val="848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43F3A"/>
    <w:multiLevelType w:val="multilevel"/>
    <w:tmpl w:val="B97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B473D8"/>
    <w:multiLevelType w:val="multilevel"/>
    <w:tmpl w:val="0A7EE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A92C2B"/>
    <w:multiLevelType w:val="multilevel"/>
    <w:tmpl w:val="3C90E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BE6BE6"/>
    <w:multiLevelType w:val="multilevel"/>
    <w:tmpl w:val="26F2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DA7950"/>
    <w:multiLevelType w:val="multilevel"/>
    <w:tmpl w:val="690E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F4C27"/>
    <w:multiLevelType w:val="multilevel"/>
    <w:tmpl w:val="95F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319455">
    <w:abstractNumId w:val="6"/>
  </w:num>
  <w:num w:numId="2" w16cid:durableId="562638077">
    <w:abstractNumId w:val="2"/>
  </w:num>
  <w:num w:numId="3" w16cid:durableId="439572317">
    <w:abstractNumId w:val="0"/>
  </w:num>
  <w:num w:numId="4" w16cid:durableId="1834489133">
    <w:abstractNumId w:val="5"/>
  </w:num>
  <w:num w:numId="5" w16cid:durableId="451024231">
    <w:abstractNumId w:val="1"/>
  </w:num>
  <w:num w:numId="6" w16cid:durableId="2109111330">
    <w:abstractNumId w:val="4"/>
  </w:num>
  <w:num w:numId="7" w16cid:durableId="1983928787">
    <w:abstractNumId w:val="7"/>
  </w:num>
  <w:num w:numId="8" w16cid:durableId="658776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C04"/>
    <w:rsid w:val="000C577B"/>
    <w:rsid w:val="00285712"/>
    <w:rsid w:val="003A1C8E"/>
    <w:rsid w:val="00816C04"/>
    <w:rsid w:val="009B0117"/>
    <w:rsid w:val="00D562F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C81C7"/>
  <w15:chartTrackingRefBased/>
  <w15:docId w15:val="{223A1D93-1FAA-CA4A-9FCC-142F355D4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C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16C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16C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6C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6C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6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C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16C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16C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6C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6C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6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C04"/>
    <w:rPr>
      <w:rFonts w:eastAsiaTheme="majorEastAsia" w:cstheme="majorBidi"/>
      <w:color w:val="272727" w:themeColor="text1" w:themeTint="D8"/>
    </w:rPr>
  </w:style>
  <w:style w:type="paragraph" w:styleId="Title">
    <w:name w:val="Title"/>
    <w:basedOn w:val="Normal"/>
    <w:next w:val="Normal"/>
    <w:link w:val="TitleChar"/>
    <w:uiPriority w:val="10"/>
    <w:qFormat/>
    <w:rsid w:val="00816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C04"/>
    <w:pPr>
      <w:spacing w:before="160"/>
      <w:jc w:val="center"/>
    </w:pPr>
    <w:rPr>
      <w:i/>
      <w:iCs/>
      <w:color w:val="404040" w:themeColor="text1" w:themeTint="BF"/>
    </w:rPr>
  </w:style>
  <w:style w:type="character" w:customStyle="1" w:styleId="QuoteChar">
    <w:name w:val="Quote Char"/>
    <w:basedOn w:val="DefaultParagraphFont"/>
    <w:link w:val="Quote"/>
    <w:uiPriority w:val="29"/>
    <w:rsid w:val="00816C04"/>
    <w:rPr>
      <w:i/>
      <w:iCs/>
      <w:color w:val="404040" w:themeColor="text1" w:themeTint="BF"/>
    </w:rPr>
  </w:style>
  <w:style w:type="paragraph" w:styleId="ListParagraph">
    <w:name w:val="List Paragraph"/>
    <w:basedOn w:val="Normal"/>
    <w:uiPriority w:val="34"/>
    <w:qFormat/>
    <w:rsid w:val="00816C04"/>
    <w:pPr>
      <w:ind w:left="720"/>
      <w:contextualSpacing/>
    </w:pPr>
  </w:style>
  <w:style w:type="character" w:styleId="IntenseEmphasis">
    <w:name w:val="Intense Emphasis"/>
    <w:basedOn w:val="DefaultParagraphFont"/>
    <w:uiPriority w:val="21"/>
    <w:qFormat/>
    <w:rsid w:val="00816C04"/>
    <w:rPr>
      <w:i/>
      <w:iCs/>
      <w:color w:val="2F5496" w:themeColor="accent1" w:themeShade="BF"/>
    </w:rPr>
  </w:style>
  <w:style w:type="paragraph" w:styleId="IntenseQuote">
    <w:name w:val="Intense Quote"/>
    <w:basedOn w:val="Normal"/>
    <w:next w:val="Normal"/>
    <w:link w:val="IntenseQuoteChar"/>
    <w:uiPriority w:val="30"/>
    <w:qFormat/>
    <w:rsid w:val="00816C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6C04"/>
    <w:rPr>
      <w:i/>
      <w:iCs/>
      <w:color w:val="2F5496" w:themeColor="accent1" w:themeShade="BF"/>
    </w:rPr>
  </w:style>
  <w:style w:type="character" w:styleId="IntenseReference">
    <w:name w:val="Intense Reference"/>
    <w:basedOn w:val="DefaultParagraphFont"/>
    <w:uiPriority w:val="32"/>
    <w:qFormat/>
    <w:rsid w:val="00816C04"/>
    <w:rPr>
      <w:b/>
      <w:bCs/>
      <w:smallCaps/>
      <w:color w:val="2F5496" w:themeColor="accent1" w:themeShade="BF"/>
      <w:spacing w:val="5"/>
    </w:rPr>
  </w:style>
  <w:style w:type="paragraph" w:styleId="NormalWeb">
    <w:name w:val="Normal (Web)"/>
    <w:basedOn w:val="Normal"/>
    <w:uiPriority w:val="99"/>
    <w:semiHidden/>
    <w:unhideWhenUsed/>
    <w:rsid w:val="00816C0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h-inline">
    <w:name w:val="math-inline"/>
    <w:basedOn w:val="DefaultParagraphFont"/>
    <w:rsid w:val="00816C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2347</Words>
  <Characters>15023</Characters>
  <Application>Microsoft Office Word</Application>
  <DocSecurity>0</DocSecurity>
  <Lines>357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Dave Ng</cp:lastModifiedBy>
  <cp:revision>2</cp:revision>
  <dcterms:created xsi:type="dcterms:W3CDTF">2026-01-20T03:48:00Z</dcterms:created>
  <dcterms:modified xsi:type="dcterms:W3CDTF">2026-01-31T05:43:00Z</dcterms:modified>
</cp:coreProperties>
</file>