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B141F" w14:textId="371769EA" w:rsidR="00456E20" w:rsidRPr="00DB1CE9" w:rsidRDefault="00456E20">
      <w:pPr>
        <w:rPr>
          <w:rFonts w:ascii="Arial" w:hAnsi="Arial" w:cs="Arial"/>
          <w:b/>
          <w:sz w:val="20"/>
          <w:szCs w:val="20"/>
        </w:rPr>
      </w:pPr>
    </w:p>
    <w:p w14:paraId="35DDD4DD" w14:textId="1A3BF7C8" w:rsidR="00B12B2A" w:rsidRPr="00DB1CE9" w:rsidRDefault="00B12B2A">
      <w:pPr>
        <w:rPr>
          <w:rFonts w:ascii="Arial" w:hAnsi="Arial" w:cs="Arial"/>
          <w:b/>
          <w:sz w:val="20"/>
          <w:szCs w:val="20"/>
        </w:rPr>
      </w:pPr>
    </w:p>
    <w:p w14:paraId="099D70CD" w14:textId="5B167ECF" w:rsidR="00B12B2A" w:rsidRDefault="004C4AA5">
      <w:pPr>
        <w:rPr>
          <w:rFonts w:ascii="Arial" w:hAnsi="Arial" w:cs="Arial"/>
          <w:b/>
          <w:sz w:val="20"/>
          <w:szCs w:val="20"/>
        </w:rPr>
      </w:pPr>
      <w:r w:rsidRPr="00DB1CE9">
        <w:rPr>
          <w:rFonts w:ascii="Arial" w:hAnsi="Arial" w:cs="Arial"/>
          <w:b/>
          <w:sz w:val="20"/>
          <w:szCs w:val="20"/>
        </w:rPr>
        <w:t>Sample Collection</w:t>
      </w:r>
    </w:p>
    <w:p w14:paraId="090BBC92" w14:textId="224DD9B3" w:rsidR="00DB1CE9" w:rsidRDefault="00DB1CE9">
      <w:pPr>
        <w:rPr>
          <w:rFonts w:ascii="Arial" w:hAnsi="Arial" w:cs="Arial"/>
          <w:b/>
          <w:sz w:val="20"/>
          <w:szCs w:val="20"/>
        </w:rPr>
      </w:pPr>
    </w:p>
    <w:p w14:paraId="1FA56565" w14:textId="19903C2F" w:rsidR="00DB1CE9" w:rsidRPr="00DB1CE9" w:rsidRDefault="00DB1CE9">
      <w:pPr>
        <w:rPr>
          <w:rFonts w:ascii="Arial" w:hAnsi="Arial" w:cs="Arial"/>
          <w:sz w:val="20"/>
          <w:szCs w:val="20"/>
        </w:rPr>
      </w:pPr>
      <w:r>
        <w:rPr>
          <w:rFonts w:ascii="Arial" w:hAnsi="Arial" w:cs="Arial"/>
          <w:sz w:val="20"/>
          <w:szCs w:val="20"/>
        </w:rPr>
        <w:t xml:space="preserve">Info about IDing patients and </w:t>
      </w:r>
      <w:r w:rsidRPr="00DF2F69">
        <w:rPr>
          <w:rFonts w:ascii="Arial" w:hAnsi="Arial" w:cs="Arial"/>
          <w:sz w:val="20"/>
          <w:szCs w:val="20"/>
          <w:highlight w:val="yellow"/>
        </w:rPr>
        <w:t xml:space="preserve">metadata survey. </w:t>
      </w:r>
      <w:r w:rsidR="00EC0366" w:rsidRPr="00DF2F69">
        <w:rPr>
          <w:rFonts w:ascii="Arial" w:hAnsi="Arial" w:cs="Arial"/>
          <w:sz w:val="20"/>
          <w:szCs w:val="20"/>
          <w:highlight w:val="yellow"/>
        </w:rPr>
        <w:t>Sampling procedure (I should be able to write it up and double check with Dr. Moore, etc.).</w:t>
      </w:r>
      <w:r w:rsidR="00EC0366">
        <w:rPr>
          <w:rFonts w:ascii="Arial" w:hAnsi="Arial" w:cs="Arial"/>
          <w:sz w:val="20"/>
          <w:szCs w:val="20"/>
        </w:rPr>
        <w:t xml:space="preserve"> </w:t>
      </w:r>
    </w:p>
    <w:p w14:paraId="03AA1E10" w14:textId="304FF5B3" w:rsidR="00E7660E" w:rsidRPr="00DB1CE9" w:rsidRDefault="00E7660E">
      <w:pPr>
        <w:rPr>
          <w:rFonts w:ascii="Arial" w:hAnsi="Arial" w:cs="Arial"/>
          <w:b/>
          <w:sz w:val="20"/>
          <w:szCs w:val="20"/>
        </w:rPr>
      </w:pPr>
    </w:p>
    <w:p w14:paraId="3071E2FC" w14:textId="08C00660" w:rsidR="004C4AA5" w:rsidRPr="00DB1CE9" w:rsidRDefault="00E7660E">
      <w:pPr>
        <w:rPr>
          <w:rFonts w:ascii="Arial" w:hAnsi="Arial" w:cs="Arial"/>
          <w:sz w:val="20"/>
          <w:szCs w:val="20"/>
        </w:rPr>
      </w:pPr>
      <w:r w:rsidRPr="00DB1CE9">
        <w:rPr>
          <w:rFonts w:ascii="Arial" w:hAnsi="Arial" w:cs="Arial"/>
          <w:sz w:val="20"/>
          <w:szCs w:val="20"/>
        </w:rPr>
        <w:t>Two swabs were collected from each site (bilaterally from the vaginal and oral sites, sequ</w:t>
      </w:r>
      <w:r w:rsidR="00C14271" w:rsidRPr="00DB1CE9">
        <w:rPr>
          <w:rFonts w:ascii="Arial" w:hAnsi="Arial" w:cs="Arial"/>
          <w:sz w:val="20"/>
          <w:szCs w:val="20"/>
        </w:rPr>
        <w:t xml:space="preserve">entially for the rectal swabs) due to the incompatibility of performing genomic and metabolomics analysis on the same sample – each method requires use of the entire swab. The swabs from the patient’s left side, and second rectal swab, were selected for genomic analysis. Swabs from the right side, and first rectal swab, were used for metabolomic analysis. </w:t>
      </w:r>
    </w:p>
    <w:p w14:paraId="5D972196" w14:textId="77777777" w:rsidR="00C14271" w:rsidRPr="00DB1CE9" w:rsidRDefault="00C14271">
      <w:pPr>
        <w:rPr>
          <w:rFonts w:ascii="Arial" w:hAnsi="Arial" w:cs="Arial"/>
          <w:b/>
          <w:sz w:val="20"/>
          <w:szCs w:val="20"/>
        </w:rPr>
      </w:pPr>
    </w:p>
    <w:p w14:paraId="39EECFB3" w14:textId="35B1DD13" w:rsidR="004C4AA5" w:rsidRDefault="00CA6F7C">
      <w:pPr>
        <w:rPr>
          <w:rFonts w:ascii="Arial" w:hAnsi="Arial" w:cs="Arial"/>
          <w:b/>
          <w:sz w:val="20"/>
          <w:szCs w:val="20"/>
        </w:rPr>
      </w:pPr>
      <w:r w:rsidRPr="00DB1CE9">
        <w:rPr>
          <w:rFonts w:ascii="Arial" w:hAnsi="Arial" w:cs="Arial"/>
          <w:b/>
          <w:sz w:val="20"/>
          <w:szCs w:val="20"/>
        </w:rPr>
        <w:t>Laboratory Methods</w:t>
      </w:r>
    </w:p>
    <w:p w14:paraId="6139EBF4" w14:textId="77777777" w:rsidR="0070156A" w:rsidRPr="00DB1CE9" w:rsidRDefault="0070156A">
      <w:pPr>
        <w:rPr>
          <w:rFonts w:ascii="Arial" w:hAnsi="Arial" w:cs="Arial"/>
          <w:b/>
          <w:sz w:val="20"/>
          <w:szCs w:val="20"/>
        </w:rPr>
      </w:pPr>
    </w:p>
    <w:p w14:paraId="373861FA" w14:textId="39E51854" w:rsidR="00E4648E" w:rsidRPr="00DB1CE9" w:rsidRDefault="00E4648E">
      <w:pPr>
        <w:rPr>
          <w:rFonts w:ascii="Arial" w:hAnsi="Arial" w:cs="Arial"/>
          <w:sz w:val="20"/>
          <w:szCs w:val="20"/>
        </w:rPr>
      </w:pPr>
    </w:p>
    <w:p w14:paraId="73C05F5E" w14:textId="4FF82CF3" w:rsidR="00BB3EA1" w:rsidRPr="00DB1CE9" w:rsidRDefault="00BB3EA1">
      <w:pPr>
        <w:rPr>
          <w:rFonts w:ascii="Arial" w:hAnsi="Arial" w:cs="Arial"/>
          <w:i/>
          <w:sz w:val="20"/>
          <w:szCs w:val="20"/>
        </w:rPr>
      </w:pPr>
      <w:r w:rsidRPr="00DB1CE9">
        <w:rPr>
          <w:rFonts w:ascii="Arial" w:hAnsi="Arial" w:cs="Arial"/>
          <w:i/>
          <w:sz w:val="20"/>
          <w:szCs w:val="20"/>
        </w:rPr>
        <w:t>DNA-based methods</w:t>
      </w:r>
    </w:p>
    <w:p w14:paraId="24E30E6E" w14:textId="4C3C7DEF" w:rsidR="007E74C3" w:rsidRPr="00DB1CE9" w:rsidRDefault="00E61473">
      <w:pPr>
        <w:rPr>
          <w:rFonts w:ascii="Arial" w:hAnsi="Arial" w:cs="Arial"/>
          <w:sz w:val="20"/>
          <w:szCs w:val="20"/>
        </w:rPr>
      </w:pPr>
      <w:r w:rsidRPr="00DB1CE9">
        <w:rPr>
          <w:rFonts w:ascii="Arial" w:hAnsi="Arial" w:cs="Arial"/>
          <w:sz w:val="20"/>
          <w:szCs w:val="20"/>
        </w:rPr>
        <w:t xml:space="preserve">DNA was extracted from swabs using </w:t>
      </w:r>
      <w:r w:rsidR="00CE0A57" w:rsidRPr="00DB1CE9">
        <w:rPr>
          <w:rFonts w:ascii="Arial" w:hAnsi="Arial" w:cs="Arial"/>
          <w:sz w:val="20"/>
          <w:szCs w:val="20"/>
        </w:rPr>
        <w:t xml:space="preserve">the MoBio PowerSoil DNA Isolation Kit (now Qiagen DNeasy PowerSoil </w:t>
      </w:r>
      <w:r w:rsidR="00B74B5C" w:rsidRPr="00DB1CE9">
        <w:rPr>
          <w:rFonts w:ascii="Arial" w:hAnsi="Arial" w:cs="Arial"/>
          <w:sz w:val="20"/>
          <w:szCs w:val="20"/>
        </w:rPr>
        <w:t>Kit), following manufacturer’s protoc</w:t>
      </w:r>
      <w:r w:rsidR="004E3778" w:rsidRPr="00DB1CE9">
        <w:rPr>
          <w:rFonts w:ascii="Arial" w:hAnsi="Arial" w:cs="Arial"/>
          <w:sz w:val="20"/>
          <w:szCs w:val="20"/>
        </w:rPr>
        <w:t>o</w:t>
      </w:r>
      <w:r w:rsidR="00B74B5C" w:rsidRPr="00DB1CE9">
        <w:rPr>
          <w:rFonts w:ascii="Arial" w:hAnsi="Arial" w:cs="Arial"/>
          <w:sz w:val="20"/>
          <w:szCs w:val="20"/>
        </w:rPr>
        <w:t xml:space="preserve">ls with the addition </w:t>
      </w:r>
      <w:r w:rsidR="000812E0" w:rsidRPr="00DB1CE9">
        <w:rPr>
          <w:rFonts w:ascii="Arial" w:hAnsi="Arial" w:cs="Arial"/>
          <w:sz w:val="20"/>
          <w:szCs w:val="20"/>
        </w:rPr>
        <w:t>of a 10-</w:t>
      </w:r>
      <w:r w:rsidR="00B74B5C" w:rsidRPr="00DB1CE9">
        <w:rPr>
          <w:rFonts w:ascii="Arial" w:hAnsi="Arial" w:cs="Arial"/>
          <w:sz w:val="20"/>
          <w:szCs w:val="20"/>
        </w:rPr>
        <w:t xml:space="preserve">minute incubation at 60 </w:t>
      </w:r>
      <w:r w:rsidR="00B74B5C" w:rsidRPr="00DB1CE9">
        <w:rPr>
          <w:rFonts w:ascii="Arial" w:hAnsi="Arial" w:cs="Arial"/>
          <w:sz w:val="20"/>
          <w:szCs w:val="20"/>
        </w:rPr>
        <w:sym w:font="Symbol" w:char="F0B0"/>
      </w:r>
      <w:r w:rsidR="00B74B5C" w:rsidRPr="00DB1CE9">
        <w:rPr>
          <w:rFonts w:ascii="Arial" w:hAnsi="Arial" w:cs="Arial"/>
          <w:sz w:val="20"/>
          <w:szCs w:val="20"/>
        </w:rPr>
        <w:t>C prior to</w:t>
      </w:r>
      <w:r w:rsidR="007E4E5F">
        <w:rPr>
          <w:rFonts w:ascii="Arial" w:hAnsi="Arial" w:cs="Arial"/>
          <w:sz w:val="20"/>
          <w:szCs w:val="20"/>
        </w:rPr>
        <w:t xml:space="preserve"> the </w:t>
      </w:r>
      <w:r w:rsidR="007E4E5F" w:rsidRPr="0070156A">
        <w:rPr>
          <w:rFonts w:ascii="Arial" w:hAnsi="Arial" w:cs="Arial"/>
          <w:sz w:val="20"/>
          <w:szCs w:val="20"/>
        </w:rPr>
        <w:t>initial</w:t>
      </w:r>
      <w:r w:rsidR="00B74B5C" w:rsidRPr="0070156A">
        <w:rPr>
          <w:rFonts w:ascii="Arial" w:hAnsi="Arial" w:cs="Arial"/>
          <w:sz w:val="20"/>
          <w:szCs w:val="20"/>
        </w:rPr>
        <w:t xml:space="preserve"> vortexing. </w:t>
      </w:r>
      <w:r w:rsidR="003D577D">
        <w:rPr>
          <w:rFonts w:ascii="Arial" w:hAnsi="Arial" w:cs="Arial"/>
          <w:sz w:val="20"/>
          <w:szCs w:val="20"/>
        </w:rPr>
        <w:t xml:space="preserve">Applied Biosystems’ </w:t>
      </w:r>
      <w:r w:rsidR="0070156A" w:rsidRPr="003D577D">
        <w:rPr>
          <w:rFonts w:ascii="Arial" w:hAnsi="Arial" w:cs="Arial"/>
          <w:sz w:val="20"/>
          <w:szCs w:val="20"/>
        </w:rPr>
        <w:t>S</w:t>
      </w:r>
      <w:r w:rsidR="003D577D" w:rsidRPr="003D577D">
        <w:rPr>
          <w:rFonts w:ascii="Arial" w:hAnsi="Arial" w:cs="Arial"/>
          <w:sz w:val="20"/>
          <w:szCs w:val="20"/>
        </w:rPr>
        <w:t>YBR Green PCR</w:t>
      </w:r>
      <w:r w:rsidR="0070156A" w:rsidRPr="003D577D">
        <w:rPr>
          <w:rFonts w:ascii="Arial" w:hAnsi="Arial" w:cs="Arial"/>
          <w:sz w:val="20"/>
          <w:szCs w:val="20"/>
        </w:rPr>
        <w:t xml:space="preserve"> Master Mix and </w:t>
      </w:r>
      <w:r w:rsidR="0070156A" w:rsidRPr="003D577D">
        <w:rPr>
          <w:rFonts w:ascii="Arial" w:hAnsi="Arial" w:cs="Arial"/>
          <w:i/>
          <w:sz w:val="20"/>
          <w:szCs w:val="20"/>
        </w:rPr>
        <w:t>Escherichia coli</w:t>
      </w:r>
      <w:r w:rsidR="0070156A" w:rsidRPr="003D577D">
        <w:rPr>
          <w:rFonts w:ascii="Arial" w:hAnsi="Arial" w:cs="Arial"/>
          <w:sz w:val="20"/>
          <w:szCs w:val="20"/>
        </w:rPr>
        <w:t xml:space="preserve"> standards of known </w:t>
      </w:r>
      <w:r w:rsidR="007708B9">
        <w:rPr>
          <w:rFonts w:ascii="Arial" w:hAnsi="Arial" w:cs="Arial"/>
          <w:sz w:val="20"/>
          <w:szCs w:val="20"/>
        </w:rPr>
        <w:t>16S gene copy number</w:t>
      </w:r>
      <w:r w:rsidR="0070156A" w:rsidRPr="0070156A">
        <w:rPr>
          <w:rFonts w:ascii="Arial" w:hAnsi="Arial" w:cs="Arial"/>
          <w:sz w:val="20"/>
          <w:szCs w:val="20"/>
        </w:rPr>
        <w:t xml:space="preserve"> </w:t>
      </w:r>
      <w:r w:rsidR="0070156A">
        <w:rPr>
          <w:rFonts w:ascii="Arial" w:hAnsi="Arial" w:cs="Arial"/>
          <w:sz w:val="20"/>
          <w:szCs w:val="20"/>
        </w:rPr>
        <w:t>were used to</w:t>
      </w:r>
      <w:r w:rsidR="00E103FE" w:rsidRPr="0070156A">
        <w:rPr>
          <w:rFonts w:ascii="Arial" w:hAnsi="Arial" w:cs="Arial"/>
          <w:sz w:val="20"/>
          <w:szCs w:val="20"/>
        </w:rPr>
        <w:t xml:space="preserve"> quantif</w:t>
      </w:r>
      <w:r w:rsidR="0070156A">
        <w:rPr>
          <w:rFonts w:ascii="Arial" w:hAnsi="Arial" w:cs="Arial"/>
          <w:sz w:val="20"/>
          <w:szCs w:val="20"/>
        </w:rPr>
        <w:t>y</w:t>
      </w:r>
      <w:r w:rsidR="0033234E" w:rsidRPr="0070156A">
        <w:rPr>
          <w:rFonts w:ascii="Arial" w:hAnsi="Arial" w:cs="Arial"/>
          <w:sz w:val="20"/>
          <w:szCs w:val="20"/>
        </w:rPr>
        <w:t xml:space="preserve"> each extract</w:t>
      </w:r>
      <w:r w:rsidR="00E103FE" w:rsidRPr="0070156A">
        <w:rPr>
          <w:rFonts w:ascii="Arial" w:hAnsi="Arial" w:cs="Arial"/>
          <w:sz w:val="20"/>
          <w:szCs w:val="20"/>
        </w:rPr>
        <w:t xml:space="preserve"> using qPCR with </w:t>
      </w:r>
      <w:r w:rsidR="0070156A" w:rsidRPr="0070156A">
        <w:rPr>
          <w:rFonts w:ascii="Arial" w:hAnsi="Arial" w:cs="Arial"/>
          <w:sz w:val="20"/>
          <w:szCs w:val="20"/>
        </w:rPr>
        <w:t xml:space="preserve">the 515F (GTGCCAGCMGCCGCGGTAA) </w:t>
      </w:r>
      <w:r w:rsidR="00E103FE" w:rsidRPr="0070156A">
        <w:rPr>
          <w:rFonts w:ascii="Arial" w:hAnsi="Arial" w:cs="Arial"/>
          <w:sz w:val="20"/>
          <w:szCs w:val="20"/>
        </w:rPr>
        <w:t xml:space="preserve">and </w:t>
      </w:r>
      <w:r w:rsidR="0070156A" w:rsidRPr="0070156A">
        <w:rPr>
          <w:rFonts w:ascii="Arial" w:hAnsi="Arial" w:cs="Arial"/>
          <w:sz w:val="20"/>
          <w:szCs w:val="20"/>
        </w:rPr>
        <w:t>806R (GGACTACHVGGGTWTCTAAT) Caporaso primers</w:t>
      </w:r>
      <w:r w:rsidR="00384BDD">
        <w:rPr>
          <w:rFonts w:ascii="Arial" w:hAnsi="Arial" w:cs="Arial"/>
          <w:sz w:val="20"/>
          <w:szCs w:val="20"/>
        </w:rPr>
        <w:t xml:space="preserve"> </w:t>
      </w:r>
      <w:r w:rsidR="00384BDD">
        <w:rPr>
          <w:rFonts w:ascii="Arial" w:hAnsi="Arial" w:cs="Arial"/>
          <w:sz w:val="20"/>
          <w:szCs w:val="20"/>
        </w:rPr>
        <w:fldChar w:fldCharType="begin"/>
      </w:r>
      <w:r w:rsidR="00384BDD">
        <w:rPr>
          <w:rFonts w:ascii="Arial" w:hAnsi="Arial" w:cs="Arial"/>
          <w:sz w:val="20"/>
          <w:szCs w:val="20"/>
        </w:rPr>
        <w:instrText xml:space="preserve"> ADDIN EN.CITE &lt;EndNote&gt;&lt;Cite&gt;&lt;Author&gt;Caporaso&lt;/Author&gt;&lt;Year&gt;2011&lt;/Year&gt;&lt;RecNum&gt;24&lt;/RecNum&gt;&lt;DisplayText&gt;(Caporaso et al. 2011)&lt;/DisplayText&gt;&lt;record&gt;&lt;rec-number&gt;24&lt;/rec-number&gt;&lt;foreign-keys&gt;&lt;key app="EN" db-id="v2ep95t9t25t2peps9fpwtwwwapx9sfez5w5" timestamp="1539791478"&gt;24&lt;/key&gt;&lt;/foreign-keys&gt;&lt;ref-type name="Journal Article"&gt;17&lt;/ref-type&gt;&lt;contributors&gt;&lt;authors&gt;&lt;author&gt;Caporaso, J Gregory&lt;/author&gt;&lt;author&gt;Lauber, Christian L&lt;/author&gt;&lt;author&gt;Walters, William A&lt;/author&gt;&lt;author&gt;Berg-Lyons, Donna&lt;/author&gt;&lt;author&gt;Lozupone, Catherine A&lt;/author&gt;&lt;author&gt;Turnbaugh, Peter J&lt;/author&gt;&lt;author&gt;Fierer, Noah&lt;/author&gt;&lt;author&gt;Knight, Rob&lt;/author&gt;&lt;/authors&gt;&lt;/contributors&gt;&lt;titles&gt;&lt;title&gt;Global patterns of 16S rRNA diversity at a depth of millions of sequences per sample&lt;/title&gt;&lt;secondary-title&gt;Proceedings of the national academy of sciences&lt;/secondary-title&gt;&lt;/titles&gt;&lt;periodical&gt;&lt;full-title&gt;Proceedings of the National Academy of Sciences&lt;/full-title&gt;&lt;/periodical&gt;&lt;pages&gt;4516-4522&lt;/pages&gt;&lt;volume&gt;108&lt;/volume&gt;&lt;number&gt;Supplement 1&lt;/number&gt;&lt;dates&gt;&lt;year&gt;2011&lt;/year&gt;&lt;/dates&gt;&lt;isbn&gt;0027-8424&lt;/isbn&gt;&lt;urls&gt;&lt;/urls&gt;&lt;/record&gt;&lt;/Cite&gt;&lt;/EndNote&gt;</w:instrText>
      </w:r>
      <w:r w:rsidR="00384BDD">
        <w:rPr>
          <w:rFonts w:ascii="Arial" w:hAnsi="Arial" w:cs="Arial"/>
          <w:sz w:val="20"/>
          <w:szCs w:val="20"/>
        </w:rPr>
        <w:fldChar w:fldCharType="separate"/>
      </w:r>
      <w:r w:rsidR="00384BDD">
        <w:rPr>
          <w:rFonts w:ascii="Arial" w:hAnsi="Arial" w:cs="Arial"/>
          <w:noProof/>
          <w:sz w:val="20"/>
          <w:szCs w:val="20"/>
        </w:rPr>
        <w:t>(Caporaso et al. 2011)</w:t>
      </w:r>
      <w:r w:rsidR="00384BDD">
        <w:rPr>
          <w:rFonts w:ascii="Arial" w:hAnsi="Arial" w:cs="Arial"/>
          <w:sz w:val="20"/>
          <w:szCs w:val="20"/>
        </w:rPr>
        <w:fldChar w:fldCharType="end"/>
      </w:r>
      <w:r w:rsidR="00E103FE" w:rsidRPr="00DB1CE9">
        <w:rPr>
          <w:rFonts w:ascii="Arial" w:hAnsi="Arial" w:cs="Arial"/>
          <w:sz w:val="20"/>
          <w:szCs w:val="20"/>
        </w:rPr>
        <w:t xml:space="preserve">. </w:t>
      </w:r>
      <w:r w:rsidR="002F2A99" w:rsidRPr="00DB1CE9">
        <w:rPr>
          <w:rFonts w:ascii="Arial" w:hAnsi="Arial" w:cs="Arial"/>
          <w:sz w:val="20"/>
          <w:szCs w:val="20"/>
        </w:rPr>
        <w:t>Extracts</w:t>
      </w:r>
      <w:r w:rsidR="00E103FE" w:rsidRPr="00DB1CE9">
        <w:rPr>
          <w:rFonts w:ascii="Arial" w:hAnsi="Arial" w:cs="Arial"/>
          <w:sz w:val="20"/>
          <w:szCs w:val="20"/>
        </w:rPr>
        <w:t xml:space="preserve"> were </w:t>
      </w:r>
      <w:r w:rsidR="00385ECC" w:rsidRPr="00DB1CE9">
        <w:rPr>
          <w:rFonts w:ascii="Arial" w:hAnsi="Arial" w:cs="Arial"/>
          <w:sz w:val="20"/>
          <w:szCs w:val="20"/>
        </w:rPr>
        <w:t>grouped</w:t>
      </w:r>
      <w:r w:rsidR="00430C59">
        <w:rPr>
          <w:rFonts w:ascii="Arial" w:hAnsi="Arial" w:cs="Arial"/>
          <w:sz w:val="20"/>
          <w:szCs w:val="20"/>
        </w:rPr>
        <w:t xml:space="preserve"> together</w:t>
      </w:r>
      <w:r w:rsidR="00385ECC" w:rsidRPr="00DB1CE9">
        <w:rPr>
          <w:rFonts w:ascii="Arial" w:hAnsi="Arial" w:cs="Arial"/>
          <w:sz w:val="20"/>
          <w:szCs w:val="20"/>
        </w:rPr>
        <w:t xml:space="preserve"> based on </w:t>
      </w:r>
      <w:r w:rsidR="00430C59">
        <w:rPr>
          <w:rFonts w:ascii="Arial" w:hAnsi="Arial" w:cs="Arial"/>
          <w:sz w:val="20"/>
          <w:szCs w:val="20"/>
        </w:rPr>
        <w:t xml:space="preserve">16S rRNA gene </w:t>
      </w:r>
      <w:r w:rsidR="00384BDD">
        <w:rPr>
          <w:rFonts w:ascii="Arial" w:hAnsi="Arial" w:cs="Arial"/>
          <w:sz w:val="20"/>
          <w:szCs w:val="20"/>
        </w:rPr>
        <w:t>copy number</w:t>
      </w:r>
      <w:r w:rsidR="00385ECC" w:rsidRPr="00DB1CE9">
        <w:rPr>
          <w:rFonts w:ascii="Arial" w:hAnsi="Arial" w:cs="Arial"/>
          <w:sz w:val="20"/>
          <w:szCs w:val="20"/>
        </w:rPr>
        <w:t xml:space="preserve"> and diluted to the same </w:t>
      </w:r>
      <w:r w:rsidR="00384BDD">
        <w:rPr>
          <w:rFonts w:ascii="Arial" w:hAnsi="Arial" w:cs="Arial"/>
          <w:sz w:val="20"/>
          <w:szCs w:val="20"/>
        </w:rPr>
        <w:t>copy number</w:t>
      </w:r>
      <w:r w:rsidR="00385ECC" w:rsidRPr="00DB1CE9">
        <w:rPr>
          <w:rFonts w:ascii="Arial" w:hAnsi="Arial" w:cs="Arial"/>
          <w:sz w:val="20"/>
          <w:szCs w:val="20"/>
        </w:rPr>
        <w:t xml:space="preserve"> within each group.</w:t>
      </w:r>
      <w:r w:rsidR="00E103FE" w:rsidRPr="00DB1CE9">
        <w:rPr>
          <w:rFonts w:ascii="Arial" w:hAnsi="Arial" w:cs="Arial"/>
          <w:sz w:val="20"/>
          <w:szCs w:val="20"/>
        </w:rPr>
        <w:t xml:space="preserve"> </w:t>
      </w:r>
      <w:r w:rsidR="00E44A46" w:rsidRPr="00DB1CE9">
        <w:rPr>
          <w:rFonts w:ascii="Arial" w:hAnsi="Arial" w:cs="Arial"/>
          <w:sz w:val="20"/>
          <w:szCs w:val="20"/>
        </w:rPr>
        <w:t>Following dilution, extracts were</w:t>
      </w:r>
      <w:r w:rsidR="006F1F93" w:rsidRPr="00DB1CE9">
        <w:rPr>
          <w:rFonts w:ascii="Arial" w:hAnsi="Arial" w:cs="Arial"/>
          <w:sz w:val="20"/>
          <w:szCs w:val="20"/>
        </w:rPr>
        <w:t xml:space="preserve"> </w:t>
      </w:r>
      <w:r w:rsidR="00584CB1" w:rsidRPr="00DB1CE9">
        <w:rPr>
          <w:rFonts w:ascii="Arial" w:hAnsi="Arial" w:cs="Arial"/>
          <w:sz w:val="20"/>
          <w:szCs w:val="20"/>
        </w:rPr>
        <w:t>PCR amplif</w:t>
      </w:r>
      <w:r w:rsidR="00646001" w:rsidRPr="00DB1CE9">
        <w:rPr>
          <w:rFonts w:ascii="Arial" w:hAnsi="Arial" w:cs="Arial"/>
          <w:sz w:val="20"/>
          <w:szCs w:val="20"/>
        </w:rPr>
        <w:t>ied in triplicate with a unique, error-correcting Golay barcode for each sample</w:t>
      </w:r>
      <w:r w:rsidR="00D675FC" w:rsidRPr="00DB1CE9">
        <w:rPr>
          <w:rFonts w:ascii="Arial" w:hAnsi="Arial" w:cs="Arial"/>
          <w:sz w:val="20"/>
          <w:szCs w:val="20"/>
        </w:rPr>
        <w:t xml:space="preserve"> and primers </w:t>
      </w:r>
      <w:r w:rsidR="007708B9">
        <w:rPr>
          <w:rFonts w:ascii="Arial" w:hAnsi="Arial" w:cs="Arial"/>
          <w:sz w:val="20"/>
          <w:szCs w:val="20"/>
        </w:rPr>
        <w:t xml:space="preserve">515F and 806R </w:t>
      </w:r>
      <w:r w:rsidR="007708B9">
        <w:rPr>
          <w:rFonts w:ascii="Arial" w:hAnsi="Arial" w:cs="Arial"/>
          <w:sz w:val="20"/>
          <w:szCs w:val="20"/>
        </w:rPr>
        <w:fldChar w:fldCharType="begin"/>
      </w:r>
      <w:r w:rsidR="007708B9">
        <w:rPr>
          <w:rFonts w:ascii="Arial" w:hAnsi="Arial" w:cs="Arial"/>
          <w:sz w:val="20"/>
          <w:szCs w:val="20"/>
        </w:rPr>
        <w:instrText xml:space="preserve"> ADDIN EN.CITE &lt;EndNote&gt;&lt;Cite&gt;&lt;Author&gt;Caporaso&lt;/Author&gt;&lt;Year&gt;2011&lt;/Year&gt;&lt;RecNum&gt;24&lt;/RecNum&gt;&lt;DisplayText&gt;(Caporaso et al. 2011)&lt;/DisplayText&gt;&lt;record&gt;&lt;rec-number&gt;24&lt;/rec-number&gt;&lt;foreign-keys&gt;&lt;key app="EN" db-id="v2ep95t9t25t2peps9fpwtwwwapx9sfez5w5" timestamp="1539791478"&gt;24&lt;/key&gt;&lt;/foreign-keys&gt;&lt;ref-type name="Journal Article"&gt;17&lt;/ref-type&gt;&lt;contributors&gt;&lt;authors&gt;&lt;author&gt;Caporaso, J Gregory&lt;/author&gt;&lt;author&gt;Lauber, Christian L&lt;/author&gt;&lt;author&gt;Walters, William A&lt;/author&gt;&lt;author&gt;Berg-Lyons, Donna&lt;/author&gt;&lt;author&gt;Lozupone, Catherine A&lt;/author&gt;&lt;author&gt;Turnbaugh, Peter J&lt;/author&gt;&lt;author&gt;Fierer, Noah&lt;/author&gt;&lt;author&gt;Knight, Rob&lt;/author&gt;&lt;/authors&gt;&lt;/contributors&gt;&lt;titles&gt;&lt;title&gt;Global patterns of 16S rRNA diversity at a depth of millions of sequences per sample&lt;/title&gt;&lt;secondary-title&gt;Proceedings of the national academy of sciences&lt;/secondary-title&gt;&lt;/titles&gt;&lt;periodical&gt;&lt;full-title&gt;Proceedings of the National Academy of Sciences&lt;/full-title&gt;&lt;/periodical&gt;&lt;pages&gt;4516-4522&lt;/pages&gt;&lt;volume&gt;108&lt;/volume&gt;&lt;number&gt;Supplement 1&lt;/number&gt;&lt;dates&gt;&lt;year&gt;2011&lt;/year&gt;&lt;/dates&gt;&lt;isbn&gt;0027-8424&lt;/isbn&gt;&lt;urls&gt;&lt;/urls&gt;&lt;/record&gt;&lt;/Cite&gt;&lt;/EndNote&gt;</w:instrText>
      </w:r>
      <w:r w:rsidR="007708B9">
        <w:rPr>
          <w:rFonts w:ascii="Arial" w:hAnsi="Arial" w:cs="Arial"/>
          <w:sz w:val="20"/>
          <w:szCs w:val="20"/>
        </w:rPr>
        <w:fldChar w:fldCharType="separate"/>
      </w:r>
      <w:r w:rsidR="007708B9">
        <w:rPr>
          <w:rFonts w:ascii="Arial" w:hAnsi="Arial" w:cs="Arial"/>
          <w:noProof/>
          <w:sz w:val="20"/>
          <w:szCs w:val="20"/>
        </w:rPr>
        <w:t>(Caporaso et al. 2011)</w:t>
      </w:r>
      <w:r w:rsidR="007708B9">
        <w:rPr>
          <w:rFonts w:ascii="Arial" w:hAnsi="Arial" w:cs="Arial"/>
          <w:sz w:val="20"/>
          <w:szCs w:val="20"/>
        </w:rPr>
        <w:fldChar w:fldCharType="end"/>
      </w:r>
      <w:r w:rsidR="005951A5">
        <w:rPr>
          <w:rFonts w:ascii="Arial" w:hAnsi="Arial" w:cs="Arial"/>
          <w:sz w:val="20"/>
          <w:szCs w:val="20"/>
        </w:rPr>
        <w:t>. Purified PCR products were</w:t>
      </w:r>
      <w:bookmarkStart w:id="0" w:name="_GoBack"/>
      <w:bookmarkEnd w:id="0"/>
      <w:r w:rsidR="004617BD" w:rsidRPr="00DB1CE9">
        <w:rPr>
          <w:rFonts w:ascii="Arial" w:hAnsi="Arial" w:cs="Arial"/>
          <w:sz w:val="20"/>
          <w:szCs w:val="20"/>
        </w:rPr>
        <w:t xml:space="preserve"> seque</w:t>
      </w:r>
      <w:r w:rsidR="005467FD">
        <w:rPr>
          <w:rFonts w:ascii="Arial" w:hAnsi="Arial" w:cs="Arial"/>
          <w:sz w:val="20"/>
          <w:szCs w:val="20"/>
        </w:rPr>
        <w:t>nced on an Illumina MiSeq with 2x250 kits.</w:t>
      </w:r>
    </w:p>
    <w:p w14:paraId="3CD137C9" w14:textId="4155E83F" w:rsidR="0068040B" w:rsidRPr="00DB1CE9" w:rsidRDefault="0068040B">
      <w:pPr>
        <w:rPr>
          <w:rFonts w:ascii="Arial" w:hAnsi="Arial" w:cs="Arial"/>
          <w:sz w:val="20"/>
          <w:szCs w:val="20"/>
        </w:rPr>
      </w:pPr>
    </w:p>
    <w:p w14:paraId="17BB84A4" w14:textId="704F90FF" w:rsidR="0068040B" w:rsidRPr="00DB1CE9" w:rsidRDefault="009E4144">
      <w:pPr>
        <w:rPr>
          <w:rFonts w:ascii="Arial" w:hAnsi="Arial" w:cs="Arial"/>
          <w:i/>
          <w:sz w:val="20"/>
          <w:szCs w:val="20"/>
        </w:rPr>
      </w:pPr>
      <w:r w:rsidRPr="00DB1CE9">
        <w:rPr>
          <w:rFonts w:ascii="Arial" w:hAnsi="Arial" w:cs="Arial"/>
          <w:i/>
          <w:sz w:val="20"/>
          <w:szCs w:val="20"/>
        </w:rPr>
        <w:t>Metabolomics-based methods</w:t>
      </w:r>
    </w:p>
    <w:p w14:paraId="377A71C9" w14:textId="26E914E2" w:rsidR="00DE56D2" w:rsidRPr="00DB1CE9" w:rsidRDefault="00DE56D2">
      <w:pPr>
        <w:rPr>
          <w:rFonts w:ascii="Arial" w:hAnsi="Arial" w:cs="Arial"/>
          <w:sz w:val="20"/>
          <w:szCs w:val="20"/>
        </w:rPr>
      </w:pPr>
    </w:p>
    <w:p w14:paraId="56D2E1DD" w14:textId="732FCB3A" w:rsidR="003C1A3F" w:rsidRPr="00DB1CE9" w:rsidRDefault="003C1A3F">
      <w:pPr>
        <w:rPr>
          <w:rFonts w:ascii="Arial" w:hAnsi="Arial" w:cs="Arial"/>
          <w:sz w:val="20"/>
          <w:szCs w:val="20"/>
        </w:rPr>
      </w:pPr>
    </w:p>
    <w:p w14:paraId="0B945826" w14:textId="4C899C70" w:rsidR="003C1A3F" w:rsidRPr="00DB1CE9" w:rsidRDefault="003C1A3F">
      <w:pPr>
        <w:rPr>
          <w:rFonts w:ascii="Arial" w:hAnsi="Arial" w:cs="Arial"/>
          <w:b/>
          <w:sz w:val="20"/>
          <w:szCs w:val="20"/>
        </w:rPr>
      </w:pPr>
      <w:r w:rsidRPr="00DB1CE9">
        <w:rPr>
          <w:rFonts w:ascii="Arial" w:hAnsi="Arial" w:cs="Arial"/>
          <w:b/>
          <w:sz w:val="20"/>
          <w:szCs w:val="20"/>
        </w:rPr>
        <w:t xml:space="preserve">Bioinformatic </w:t>
      </w:r>
      <w:r w:rsidR="00FA596B">
        <w:rPr>
          <w:rFonts w:ascii="Arial" w:hAnsi="Arial" w:cs="Arial"/>
          <w:b/>
          <w:sz w:val="20"/>
          <w:szCs w:val="20"/>
        </w:rPr>
        <w:t>Processing</w:t>
      </w:r>
    </w:p>
    <w:p w14:paraId="054F077F" w14:textId="483F2114" w:rsidR="003C1A3F" w:rsidRDefault="003C1A3F">
      <w:pPr>
        <w:rPr>
          <w:rFonts w:ascii="Arial" w:hAnsi="Arial" w:cs="Arial"/>
          <w:b/>
          <w:sz w:val="20"/>
          <w:szCs w:val="20"/>
        </w:rPr>
      </w:pPr>
    </w:p>
    <w:p w14:paraId="38E7EDDE" w14:textId="41F0F840" w:rsidR="00100071" w:rsidRPr="00E97FF5" w:rsidRDefault="00623045">
      <w:pPr>
        <w:rPr>
          <w:rFonts w:ascii="Arial" w:hAnsi="Arial" w:cs="Arial"/>
          <w:sz w:val="20"/>
          <w:szCs w:val="20"/>
        </w:rPr>
      </w:pPr>
      <w:r>
        <w:rPr>
          <w:rFonts w:ascii="Arial" w:hAnsi="Arial" w:cs="Arial"/>
          <w:sz w:val="20"/>
          <w:szCs w:val="20"/>
        </w:rPr>
        <w:t>The resulting sequencing reads</w:t>
      </w:r>
      <w:r w:rsidR="00D6290C">
        <w:rPr>
          <w:rFonts w:ascii="Arial" w:hAnsi="Arial" w:cs="Arial"/>
          <w:sz w:val="20"/>
          <w:szCs w:val="20"/>
        </w:rPr>
        <w:t xml:space="preserve"> were filtered to remove reads with ambiguous bases and quality scores</w:t>
      </w:r>
      <w:r w:rsidR="00770F3B">
        <w:rPr>
          <w:rFonts w:ascii="Arial" w:hAnsi="Arial" w:cs="Arial"/>
          <w:sz w:val="20"/>
          <w:szCs w:val="20"/>
        </w:rPr>
        <w:t xml:space="preserve"> below 30 with AdapterRemoval2. Following quality filtering, sequences were demultiplexed in Qiime using the unique Golay barcode </w:t>
      </w:r>
      <w:r w:rsidR="00100071">
        <w:rPr>
          <w:rFonts w:ascii="Arial" w:hAnsi="Arial" w:cs="Arial"/>
          <w:sz w:val="20"/>
          <w:szCs w:val="20"/>
        </w:rPr>
        <w:t xml:space="preserve">for each sample. </w:t>
      </w:r>
      <w:r w:rsidR="00FB676E">
        <w:rPr>
          <w:rFonts w:ascii="Arial" w:hAnsi="Arial" w:cs="Arial"/>
          <w:sz w:val="20"/>
          <w:szCs w:val="20"/>
        </w:rPr>
        <w:t xml:space="preserve">Sequences occurring less than 5 times were removed, as they are unlikely to be true biological sequences, </w:t>
      </w:r>
      <w:r w:rsidR="009833D1">
        <w:rPr>
          <w:rFonts w:ascii="Arial" w:hAnsi="Arial" w:cs="Arial"/>
          <w:sz w:val="20"/>
          <w:szCs w:val="20"/>
        </w:rPr>
        <w:t xml:space="preserve">and </w:t>
      </w:r>
      <w:r w:rsidR="00C70F89">
        <w:rPr>
          <w:rFonts w:ascii="Arial" w:hAnsi="Arial" w:cs="Arial"/>
          <w:sz w:val="20"/>
          <w:szCs w:val="20"/>
        </w:rPr>
        <w:t xml:space="preserve">the remaining sequences were used to </w:t>
      </w:r>
      <w:r w:rsidR="00274853">
        <w:rPr>
          <w:rFonts w:ascii="Arial" w:hAnsi="Arial" w:cs="Arial"/>
          <w:sz w:val="20"/>
          <w:szCs w:val="20"/>
        </w:rPr>
        <w:t xml:space="preserve">cluster sequences at 97% into </w:t>
      </w:r>
      <w:r w:rsidR="009833D1">
        <w:rPr>
          <w:rFonts w:ascii="Arial" w:hAnsi="Arial" w:cs="Arial"/>
          <w:i/>
          <w:sz w:val="20"/>
          <w:szCs w:val="20"/>
        </w:rPr>
        <w:t>de novo</w:t>
      </w:r>
      <w:r w:rsidR="009833D1">
        <w:rPr>
          <w:rFonts w:ascii="Arial" w:hAnsi="Arial" w:cs="Arial"/>
          <w:sz w:val="20"/>
          <w:szCs w:val="20"/>
        </w:rPr>
        <w:t xml:space="preserve"> Oper</w:t>
      </w:r>
      <w:r w:rsidR="00C70F89">
        <w:rPr>
          <w:rFonts w:ascii="Arial" w:hAnsi="Arial" w:cs="Arial"/>
          <w:sz w:val="20"/>
          <w:szCs w:val="20"/>
        </w:rPr>
        <w:t>ational Taxonomic Units (OTUs)</w:t>
      </w:r>
      <w:r w:rsidR="00274853">
        <w:rPr>
          <w:rFonts w:ascii="Arial" w:hAnsi="Arial" w:cs="Arial"/>
          <w:sz w:val="20"/>
          <w:szCs w:val="20"/>
        </w:rPr>
        <w:t xml:space="preserve">. </w:t>
      </w:r>
      <w:r w:rsidR="007B1C54">
        <w:rPr>
          <w:rFonts w:ascii="Arial" w:hAnsi="Arial" w:cs="Arial"/>
          <w:sz w:val="20"/>
          <w:szCs w:val="20"/>
        </w:rPr>
        <w:t xml:space="preserve">The demultiplexed sequences were </w:t>
      </w:r>
      <w:r w:rsidR="00E97FF5">
        <w:rPr>
          <w:rFonts w:ascii="Arial" w:hAnsi="Arial" w:cs="Arial"/>
          <w:sz w:val="20"/>
          <w:szCs w:val="20"/>
        </w:rPr>
        <w:t xml:space="preserve">used to pick OTUs with USEARCH, which assigned each sequence to a </w:t>
      </w:r>
      <w:r w:rsidR="00E97FF5">
        <w:rPr>
          <w:rFonts w:ascii="Arial" w:hAnsi="Arial" w:cs="Arial"/>
          <w:i/>
          <w:sz w:val="20"/>
          <w:szCs w:val="20"/>
        </w:rPr>
        <w:t>de novo</w:t>
      </w:r>
      <w:r w:rsidR="00E97FF5">
        <w:rPr>
          <w:rFonts w:ascii="Arial" w:hAnsi="Arial" w:cs="Arial"/>
          <w:sz w:val="20"/>
          <w:szCs w:val="20"/>
        </w:rPr>
        <w:t xml:space="preserve"> </w:t>
      </w:r>
      <w:r w:rsidR="00C02C76">
        <w:rPr>
          <w:rFonts w:ascii="Arial" w:hAnsi="Arial" w:cs="Arial"/>
          <w:sz w:val="20"/>
          <w:szCs w:val="20"/>
        </w:rPr>
        <w:t xml:space="preserve">OTU. </w:t>
      </w:r>
    </w:p>
    <w:p w14:paraId="0FED767F" w14:textId="77777777" w:rsidR="00100071" w:rsidRDefault="00100071">
      <w:pPr>
        <w:rPr>
          <w:rFonts w:ascii="Arial" w:hAnsi="Arial" w:cs="Arial"/>
          <w:sz w:val="20"/>
          <w:szCs w:val="20"/>
        </w:rPr>
      </w:pPr>
    </w:p>
    <w:p w14:paraId="6A11AAC5" w14:textId="0B7B95DA" w:rsidR="003C1A3F" w:rsidRDefault="00100071">
      <w:pPr>
        <w:rPr>
          <w:rFonts w:ascii="Arial" w:hAnsi="Arial" w:cs="Arial"/>
          <w:sz w:val="20"/>
          <w:szCs w:val="20"/>
        </w:rPr>
      </w:pPr>
      <w:r>
        <w:rPr>
          <w:rFonts w:ascii="Arial" w:hAnsi="Arial" w:cs="Arial"/>
          <w:sz w:val="20"/>
          <w:szCs w:val="20"/>
        </w:rPr>
        <w:t>Because samples were sequenced across a number of MiSeq sequencing runs</w:t>
      </w:r>
      <w:r w:rsidR="00770F3B">
        <w:rPr>
          <w:rFonts w:ascii="Arial" w:hAnsi="Arial" w:cs="Arial"/>
          <w:sz w:val="20"/>
          <w:szCs w:val="20"/>
        </w:rPr>
        <w:t xml:space="preserve"> </w:t>
      </w:r>
      <w:r>
        <w:rPr>
          <w:rFonts w:ascii="Arial" w:hAnsi="Arial" w:cs="Arial"/>
          <w:sz w:val="20"/>
          <w:szCs w:val="20"/>
        </w:rPr>
        <w:t xml:space="preserve"> (rarefaction 9000). </w:t>
      </w:r>
    </w:p>
    <w:p w14:paraId="1F308751" w14:textId="23C3EDF8" w:rsidR="00FA596B" w:rsidRDefault="00FA596B">
      <w:pPr>
        <w:rPr>
          <w:rFonts w:ascii="Arial" w:hAnsi="Arial" w:cs="Arial"/>
          <w:sz w:val="20"/>
          <w:szCs w:val="20"/>
        </w:rPr>
      </w:pPr>
    </w:p>
    <w:p w14:paraId="2E8CF7C5" w14:textId="710A0EA4" w:rsidR="00FA596B" w:rsidRDefault="00FA596B">
      <w:pPr>
        <w:rPr>
          <w:rFonts w:ascii="Arial" w:hAnsi="Arial" w:cs="Arial"/>
          <w:sz w:val="20"/>
          <w:szCs w:val="20"/>
        </w:rPr>
      </w:pPr>
    </w:p>
    <w:p w14:paraId="29E08DC2" w14:textId="522C7A6F" w:rsidR="00FA596B" w:rsidRPr="00DA2EE9" w:rsidRDefault="00FA596B">
      <w:pPr>
        <w:rPr>
          <w:rFonts w:ascii="Arial" w:hAnsi="Arial" w:cs="Arial"/>
          <w:b/>
          <w:sz w:val="20"/>
          <w:szCs w:val="20"/>
        </w:rPr>
      </w:pPr>
      <w:r w:rsidRPr="00DA2EE9">
        <w:rPr>
          <w:rFonts w:ascii="Arial" w:hAnsi="Arial" w:cs="Arial"/>
          <w:b/>
          <w:sz w:val="20"/>
          <w:szCs w:val="20"/>
        </w:rPr>
        <w:t>Statistical Analysis</w:t>
      </w:r>
    </w:p>
    <w:p w14:paraId="6D1A0D37" w14:textId="5D33741D" w:rsidR="00B06444" w:rsidRDefault="00B06444">
      <w:pPr>
        <w:rPr>
          <w:rFonts w:ascii="Arial" w:hAnsi="Arial" w:cs="Arial"/>
          <w:sz w:val="20"/>
          <w:szCs w:val="20"/>
        </w:rPr>
      </w:pPr>
      <w:r>
        <w:rPr>
          <w:rFonts w:ascii="Arial" w:hAnsi="Arial" w:cs="Arial"/>
          <w:sz w:val="20"/>
          <w:szCs w:val="20"/>
        </w:rPr>
        <w:t xml:space="preserve">For the BJOG abstract the stats come from looking at the samples where we had enough sequence depth to analyze, ended up being 95 individuals. </w:t>
      </w:r>
      <w:r w:rsidR="00A17441">
        <w:rPr>
          <w:rFonts w:ascii="Arial" w:hAnsi="Arial" w:cs="Arial"/>
          <w:sz w:val="20"/>
          <w:szCs w:val="20"/>
        </w:rPr>
        <w:t xml:space="preserve">I called any sample that had greater than 50% abundance of a specific taxa as being dominated by that taxa (basically just Lactobacillus and Escherichia). For further reference, Parse 2 is L. iners, Parse 26 is L. jensenii, Parse 6 is L. crispastus, and Parse 4 is L. gasesri. For vaginal Eschericha dominance, I compared PFI &lt; 6 vs PFI. 24 months using Fisher’s exact test (5 of 18 dominant PFI &lt; 6, 0 of 28 PFI &gt; 24 months) resulting in a p-value of 0.0063. There wasn’t any difference in Lactobacillus dominance by group (haven’t done stats test yet but it’s clear visually that there isn’t a difference). But compared all </w:t>
      </w:r>
      <w:r w:rsidR="00924170">
        <w:rPr>
          <w:rFonts w:ascii="Arial" w:hAnsi="Arial" w:cs="Arial"/>
          <w:sz w:val="20"/>
          <w:szCs w:val="20"/>
        </w:rPr>
        <w:t>samples to see if our study had lower than expected lactobacillus dominated communities (not including benign)</w:t>
      </w:r>
      <w:r w:rsidR="00FA7A3B">
        <w:rPr>
          <w:rFonts w:ascii="Arial" w:hAnsi="Arial" w:cs="Arial"/>
          <w:sz w:val="20"/>
          <w:szCs w:val="20"/>
        </w:rPr>
        <w:t xml:space="preserve"> – compared to Brotman 2014 which had the most comparable methods (age, 16S amplicon)</w:t>
      </w:r>
      <w:r w:rsidR="00924170">
        <w:rPr>
          <w:rFonts w:ascii="Arial" w:hAnsi="Arial" w:cs="Arial"/>
          <w:sz w:val="20"/>
          <w:szCs w:val="20"/>
        </w:rPr>
        <w:t>.</w:t>
      </w:r>
      <w:r w:rsidR="00FA7A3B">
        <w:rPr>
          <w:rFonts w:ascii="Arial" w:hAnsi="Arial" w:cs="Arial"/>
          <w:sz w:val="20"/>
          <w:szCs w:val="20"/>
        </w:rPr>
        <w:t xml:space="preserve"> Our samples had significantly lower than expected lactobacillus dominated communites (25 out of 88, vs 15 out of 28, Fisher’s exact p-value </w:t>
      </w:r>
      <w:r w:rsidR="00503CE3">
        <w:rPr>
          <w:rFonts w:ascii="Arial" w:hAnsi="Arial" w:cs="Arial"/>
          <w:sz w:val="20"/>
          <w:szCs w:val="20"/>
        </w:rPr>
        <w:t>=</w:t>
      </w:r>
      <w:r w:rsidR="00FA7A3B">
        <w:rPr>
          <w:rFonts w:ascii="Arial" w:hAnsi="Arial" w:cs="Arial"/>
          <w:sz w:val="20"/>
          <w:szCs w:val="20"/>
        </w:rPr>
        <w:t xml:space="preserve"> 0.02</w:t>
      </w:r>
      <w:r w:rsidR="002C7A92">
        <w:rPr>
          <w:rFonts w:ascii="Arial" w:hAnsi="Arial" w:cs="Arial"/>
          <w:sz w:val="20"/>
          <w:szCs w:val="20"/>
        </w:rPr>
        <w:t>18</w:t>
      </w:r>
      <w:r w:rsidR="00FA7A3B">
        <w:rPr>
          <w:rFonts w:ascii="Arial" w:hAnsi="Arial" w:cs="Arial"/>
          <w:sz w:val="20"/>
          <w:szCs w:val="20"/>
        </w:rPr>
        <w:t>)</w:t>
      </w:r>
      <w:r w:rsidR="00924170">
        <w:rPr>
          <w:rFonts w:ascii="Arial" w:hAnsi="Arial" w:cs="Arial"/>
          <w:sz w:val="20"/>
          <w:szCs w:val="20"/>
        </w:rPr>
        <w:t xml:space="preserve"> Also need to double check that vaginal communities don’t change over time with chemotherapy. </w:t>
      </w:r>
    </w:p>
    <w:p w14:paraId="797998BC" w14:textId="77777777" w:rsidR="00384BDD" w:rsidRDefault="00384BDD">
      <w:pPr>
        <w:rPr>
          <w:rFonts w:ascii="Arial" w:hAnsi="Arial" w:cs="Arial"/>
          <w:sz w:val="20"/>
          <w:szCs w:val="20"/>
        </w:rPr>
      </w:pPr>
    </w:p>
    <w:p w14:paraId="21B8068F" w14:textId="77777777" w:rsidR="00384BDD" w:rsidRDefault="00384BDD">
      <w:pPr>
        <w:rPr>
          <w:rFonts w:ascii="Arial" w:hAnsi="Arial" w:cs="Arial"/>
          <w:sz w:val="20"/>
          <w:szCs w:val="20"/>
        </w:rPr>
      </w:pPr>
    </w:p>
    <w:p w14:paraId="3DB88D58" w14:textId="77777777" w:rsidR="007708B9" w:rsidRPr="007708B9" w:rsidRDefault="00384BDD" w:rsidP="007708B9">
      <w:pPr>
        <w:pStyle w:val="EndNoteBibliography"/>
        <w:ind w:left="720" w:hanging="720"/>
        <w:rPr>
          <w:noProof/>
        </w:rPr>
      </w:pPr>
      <w:r>
        <w:rPr>
          <w:rFonts w:ascii="Arial" w:hAnsi="Arial" w:cs="Arial"/>
          <w:sz w:val="20"/>
          <w:szCs w:val="20"/>
        </w:rPr>
        <w:fldChar w:fldCharType="begin"/>
      </w:r>
      <w:r>
        <w:rPr>
          <w:rFonts w:ascii="Arial" w:hAnsi="Arial" w:cs="Arial"/>
          <w:sz w:val="20"/>
          <w:szCs w:val="20"/>
        </w:rPr>
        <w:instrText xml:space="preserve"> ADDIN EN.REFLIST </w:instrText>
      </w:r>
      <w:r>
        <w:rPr>
          <w:rFonts w:ascii="Arial" w:hAnsi="Arial" w:cs="Arial"/>
          <w:sz w:val="20"/>
          <w:szCs w:val="20"/>
        </w:rPr>
        <w:fldChar w:fldCharType="separate"/>
      </w:r>
      <w:r w:rsidR="007708B9" w:rsidRPr="007708B9">
        <w:rPr>
          <w:noProof/>
        </w:rPr>
        <w:t>Caporaso JG, Lauber CL, Walters WA, Berg-Lyons D, Lozupone CA, Turnbaugh PJ, Fierer N, and Knight R. 2011. Global patterns of 16S rRNA diversity at a depth of millions of sequences per sample. Proceedings of the national academy of sciences 108(Supplement 1):4516-4522.</w:t>
      </w:r>
    </w:p>
    <w:p w14:paraId="19511378" w14:textId="396DA0A4" w:rsidR="00F358A6" w:rsidRPr="003C1A3F" w:rsidRDefault="00384BDD">
      <w:pPr>
        <w:rPr>
          <w:rFonts w:ascii="Arial" w:hAnsi="Arial" w:cs="Arial"/>
          <w:sz w:val="20"/>
          <w:szCs w:val="20"/>
        </w:rPr>
      </w:pPr>
      <w:r>
        <w:rPr>
          <w:rFonts w:ascii="Arial" w:hAnsi="Arial" w:cs="Arial"/>
          <w:sz w:val="20"/>
          <w:szCs w:val="20"/>
        </w:rPr>
        <w:fldChar w:fldCharType="end"/>
      </w:r>
    </w:p>
    <w:sectPr w:rsidR="00F358A6" w:rsidRPr="003C1A3F" w:rsidSect="001F7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J Physical Anthro_DJ&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ep95t9t25t2peps9fpwtwwwapx9sfez5w5&quot;&gt;ovarian_cancer_microbiome&lt;record-ids&gt;&lt;item&gt;24&lt;/item&gt;&lt;/record-ids&gt;&lt;/item&gt;&lt;/Libraries&gt;"/>
  </w:docVars>
  <w:rsids>
    <w:rsidRoot w:val="00834F46"/>
    <w:rsid w:val="00004CC4"/>
    <w:rsid w:val="00006E80"/>
    <w:rsid w:val="00037DB6"/>
    <w:rsid w:val="00050907"/>
    <w:rsid w:val="00055433"/>
    <w:rsid w:val="00057513"/>
    <w:rsid w:val="000812E0"/>
    <w:rsid w:val="00100071"/>
    <w:rsid w:val="001127ED"/>
    <w:rsid w:val="00154F27"/>
    <w:rsid w:val="001821B4"/>
    <w:rsid w:val="001F758F"/>
    <w:rsid w:val="00231B93"/>
    <w:rsid w:val="00236A5F"/>
    <w:rsid w:val="00241FB4"/>
    <w:rsid w:val="00265478"/>
    <w:rsid w:val="00274853"/>
    <w:rsid w:val="0029285A"/>
    <w:rsid w:val="00292EBE"/>
    <w:rsid w:val="0029543D"/>
    <w:rsid w:val="002C7A92"/>
    <w:rsid w:val="002E546B"/>
    <w:rsid w:val="002F2A99"/>
    <w:rsid w:val="0033234E"/>
    <w:rsid w:val="00384BDD"/>
    <w:rsid w:val="00384FB8"/>
    <w:rsid w:val="00385ECC"/>
    <w:rsid w:val="003C1A3F"/>
    <w:rsid w:val="003D577D"/>
    <w:rsid w:val="00430C59"/>
    <w:rsid w:val="00456E20"/>
    <w:rsid w:val="004617BD"/>
    <w:rsid w:val="00493EC3"/>
    <w:rsid w:val="004C4AA5"/>
    <w:rsid w:val="004E157D"/>
    <w:rsid w:val="004E3778"/>
    <w:rsid w:val="00503CE3"/>
    <w:rsid w:val="005467FD"/>
    <w:rsid w:val="00584CB1"/>
    <w:rsid w:val="005904DA"/>
    <w:rsid w:val="005951A5"/>
    <w:rsid w:val="00623045"/>
    <w:rsid w:val="00646001"/>
    <w:rsid w:val="00650FD1"/>
    <w:rsid w:val="00665572"/>
    <w:rsid w:val="0068040B"/>
    <w:rsid w:val="006A1DD8"/>
    <w:rsid w:val="006F1F93"/>
    <w:rsid w:val="0070156A"/>
    <w:rsid w:val="00720ADE"/>
    <w:rsid w:val="007603D3"/>
    <w:rsid w:val="007708B9"/>
    <w:rsid w:val="00770F3B"/>
    <w:rsid w:val="007B1C54"/>
    <w:rsid w:val="007C4994"/>
    <w:rsid w:val="007E4E5F"/>
    <w:rsid w:val="007E74C3"/>
    <w:rsid w:val="00834F46"/>
    <w:rsid w:val="00835568"/>
    <w:rsid w:val="00860A40"/>
    <w:rsid w:val="00924170"/>
    <w:rsid w:val="009833D1"/>
    <w:rsid w:val="009E4144"/>
    <w:rsid w:val="00A17441"/>
    <w:rsid w:val="00A22E3B"/>
    <w:rsid w:val="00A64586"/>
    <w:rsid w:val="00AA12F6"/>
    <w:rsid w:val="00B06444"/>
    <w:rsid w:val="00B12B2A"/>
    <w:rsid w:val="00B13E85"/>
    <w:rsid w:val="00B74B5C"/>
    <w:rsid w:val="00BB3EA1"/>
    <w:rsid w:val="00C02C76"/>
    <w:rsid w:val="00C1419D"/>
    <w:rsid w:val="00C14271"/>
    <w:rsid w:val="00C70F89"/>
    <w:rsid w:val="00C77F5B"/>
    <w:rsid w:val="00CA6F7C"/>
    <w:rsid w:val="00CC799E"/>
    <w:rsid w:val="00CE0A57"/>
    <w:rsid w:val="00D015DF"/>
    <w:rsid w:val="00D37104"/>
    <w:rsid w:val="00D6290C"/>
    <w:rsid w:val="00D675FC"/>
    <w:rsid w:val="00D7544E"/>
    <w:rsid w:val="00DA2EE9"/>
    <w:rsid w:val="00DB1CE9"/>
    <w:rsid w:val="00DE56D2"/>
    <w:rsid w:val="00DF2F69"/>
    <w:rsid w:val="00E103FE"/>
    <w:rsid w:val="00E23EAA"/>
    <w:rsid w:val="00E44A46"/>
    <w:rsid w:val="00E4648E"/>
    <w:rsid w:val="00E61473"/>
    <w:rsid w:val="00E7208D"/>
    <w:rsid w:val="00E7660E"/>
    <w:rsid w:val="00E77403"/>
    <w:rsid w:val="00E84F3A"/>
    <w:rsid w:val="00E97FF5"/>
    <w:rsid w:val="00EC0366"/>
    <w:rsid w:val="00F10372"/>
    <w:rsid w:val="00F358A6"/>
    <w:rsid w:val="00F50E6C"/>
    <w:rsid w:val="00F52008"/>
    <w:rsid w:val="00F75D77"/>
    <w:rsid w:val="00FA596B"/>
    <w:rsid w:val="00FA5A12"/>
    <w:rsid w:val="00FA7A3B"/>
    <w:rsid w:val="00FB076C"/>
    <w:rsid w:val="00FB676E"/>
    <w:rsid w:val="00FD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B5325"/>
  <w15:chartTrackingRefBased/>
  <w15:docId w15:val="{3D58269C-71A6-2C41-9DC2-880FF35E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156A"/>
    <w:rPr>
      <w:b/>
      <w:bCs/>
    </w:rPr>
  </w:style>
  <w:style w:type="paragraph" w:customStyle="1" w:styleId="EndNoteBibliographyTitle">
    <w:name w:val="EndNote Bibliography Title"/>
    <w:basedOn w:val="Normal"/>
    <w:link w:val="EndNoteBibliographyTitleChar"/>
    <w:rsid w:val="00384BD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384BDD"/>
    <w:rPr>
      <w:rFonts w:ascii="Calibri" w:hAnsi="Calibri" w:cs="Calibri"/>
    </w:rPr>
  </w:style>
  <w:style w:type="paragraph" w:customStyle="1" w:styleId="EndNoteBibliography">
    <w:name w:val="EndNote Bibliography"/>
    <w:basedOn w:val="Normal"/>
    <w:link w:val="EndNoteBibliographyChar"/>
    <w:rsid w:val="00384BDD"/>
    <w:rPr>
      <w:rFonts w:ascii="Calibri" w:hAnsi="Calibri" w:cs="Calibri"/>
    </w:rPr>
  </w:style>
  <w:style w:type="character" w:customStyle="1" w:styleId="EndNoteBibliographyChar">
    <w:name w:val="EndNote Bibliography Char"/>
    <w:basedOn w:val="DefaultParagraphFont"/>
    <w:link w:val="EndNoteBibliography"/>
    <w:rsid w:val="00384BDD"/>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70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Jacobson, David K.</dc:creator>
  <cp:keywords/>
  <dc:description/>
  <cp:lastModifiedBy>Jacobson, David K.</cp:lastModifiedBy>
  <cp:revision>77</cp:revision>
  <dcterms:created xsi:type="dcterms:W3CDTF">2018-10-02T17:43:00Z</dcterms:created>
  <dcterms:modified xsi:type="dcterms:W3CDTF">2018-11-01T18:54:00Z</dcterms:modified>
</cp:coreProperties>
</file>