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185"/>
        <w:gridCol w:w="4830"/>
        <w:gridCol w:w="1230"/>
        <w:gridCol w:w="1065"/>
        <w:tblGridChange w:id="0">
          <w:tblGrid>
            <w:gridCol w:w="1050"/>
            <w:gridCol w:w="1185"/>
            <w:gridCol w:w="4830"/>
            <w:gridCol w:w="1230"/>
            <w:gridCol w:w="1065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Coding Style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 (Draft)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Kessener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19.04.18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3.1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3.2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3.3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Nicht verwendete IDs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Klassen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Funktionen und Methoden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Lokale Variablen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Instanzvariablen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Konstanten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Kontrollfluß</w:t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contextualSpacing w:val="0"/>
        <w:rPr>
          <w:b w:val="1"/>
        </w:rPr>
      </w:pPr>
      <w:bookmarkStart w:colFirst="0" w:colLast="0" w:name="_3mosfao21v8j" w:id="0"/>
      <w:bookmarkEnd w:id="0"/>
      <w:r w:rsidDel="00000000" w:rsidR="00000000" w:rsidRPr="00000000">
        <w:rPr>
          <w:b w:val="1"/>
          <w:rtl w:val="0"/>
        </w:rPr>
        <w:t xml:space="preserve">0</w:t>
        <w:tab/>
        <w:t xml:space="preserve">Nicht verwendete IDs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Nicht verwendet werden IDs die mit einem Underscore (“_”) anfangen </w:t>
      </w:r>
      <w:r w:rsidDel="00000000" w:rsidR="00000000" w:rsidRPr="00000000">
        <w:rPr>
          <w:b w:val="1"/>
          <w:rtl w:val="0"/>
        </w:rPr>
        <w:t xml:space="preserve">oder</w:t>
      </w:r>
      <w:r w:rsidDel="00000000" w:rsidR="00000000" w:rsidRPr="00000000">
        <w:rPr>
          <w:rtl w:val="0"/>
        </w:rPr>
        <w:t xml:space="preserve"> enden. IDs dürfen auch keine doppelten Underscores enthalten.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contextualSpacing w:val="0"/>
        <w:rPr>
          <w:b w:val="1"/>
        </w:rPr>
      </w:pPr>
      <w:bookmarkStart w:colFirst="0" w:colLast="0" w:name="_ulmps7y9zlko" w:id="1"/>
      <w:bookmarkEnd w:id="1"/>
      <w:r w:rsidDel="00000000" w:rsidR="00000000" w:rsidRPr="00000000">
        <w:rPr>
          <w:b w:val="1"/>
          <w:rtl w:val="0"/>
        </w:rPr>
        <w:t xml:space="preserve">1</w:t>
        <w:tab/>
        <w:t xml:space="preserve">Klassen</w:t>
      </w:r>
    </w:p>
    <w:p w:rsidR="00000000" w:rsidDel="00000000" w:rsidP="00000000" w:rsidRDefault="00000000" w:rsidRPr="00000000" w14:paraId="0000002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Klassennamen fangen mit einem Großen Buchstaben an und werden in CamelCase geschrieben.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und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Label werden einen Tab intendiert. Code innerhalb dieser Blöcke wird ein weiteren Tab intendiert.</w:t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Klassen bestehen aus bis zu Sechs Blöcken: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</w:t>
      </w:r>
      <w:r w:rsidDel="00000000" w:rsidR="00000000" w:rsidRPr="00000000">
        <w:rPr>
          <w:rtl w:val="0"/>
        </w:rPr>
        <w:t xml:space="preserve">s,  Helper-Klassen und Konstanten (Dieser Block kann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und/oder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sein; er wird als einziger </w:t>
      </w:r>
      <w:r w:rsidDel="00000000" w:rsidR="00000000" w:rsidRPr="00000000">
        <w:rPr>
          <w:b w:val="1"/>
          <w:rtl w:val="0"/>
        </w:rPr>
        <w:t xml:space="preserve">nicht</w:t>
      </w:r>
      <w:r w:rsidDel="00000000" w:rsidR="00000000" w:rsidRPr="00000000">
        <w:rPr>
          <w:rtl w:val="0"/>
        </w:rPr>
        <w:t xml:space="preserve"> indendiert.)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protected </w:t>
      </w: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Methods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Instanzvariablen (</w:t>
      </w:r>
      <w:r w:rsidDel="00000000" w:rsidR="00000000" w:rsidRPr="00000000">
        <w:rPr>
          <w:b w:val="1"/>
          <w:rtl w:val="0"/>
        </w:rPr>
        <w:t xml:space="preserve">Alle</w:t>
      </w:r>
      <w:r w:rsidDel="00000000" w:rsidR="00000000" w:rsidRPr="00000000">
        <w:rPr>
          <w:rtl w:val="0"/>
        </w:rPr>
        <w:t xml:space="preserve"> Instanzvariablen sind </w:t>
      </w:r>
      <w:r w:rsidDel="00000000" w:rsidR="00000000" w:rsidRPr="00000000">
        <w:rPr>
          <w:b w:val="1"/>
          <w:rtl w:val="0"/>
        </w:rPr>
        <w:t xml:space="preserve">immer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. Keine Ausnahmen!)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t  Methods (zB Copy-Constructor, etc.)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Jeder Block beginnt mit dem entsprechenden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public, protected </w:t>
      </w:r>
      <w:r w:rsidDel="00000000" w:rsidR="00000000" w:rsidRPr="00000000">
        <w:rPr>
          <w:rtl w:val="0"/>
        </w:rPr>
        <w:t xml:space="preserve">bzw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Label, selbst wenn der vorherige Block das selbe Label hat. Zwischen allen Blöcken außen den Methoden-Blöcken (Blöcke 2, 3 und 4) liegt eine leere Zeile. Leerzeilen dürfen überall eingefügt werden, wo man meint, dass es der Lesbarkeit dient.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7460" w:hRule="atLeast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MyAwesomeClass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 Block #1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id_t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constexpr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id_t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INVALID_ID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Helper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ab/>
              <w:t xml:space="preserve">{</w:t>
              <w:br w:type="textWrapping"/>
              <w:tab/>
              <w:t xml:space="preserve">};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 Block #2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ab/>
              <w:tab/>
              <w:t xml:space="preserve">MyAwesomeClass( 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~MyAwesomeClass( 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doSomething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 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 )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mName; }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 Getter &amp; Setter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 Block #3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doSomethingImpl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 )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 Block #4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calculateSomething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 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 Block #5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id_t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mID;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mName;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 Block #6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ab/>
              <w:tab/>
              <w:t xml:space="preserve">MyAwesomeClass&amp;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MyAwesomeClass&amp;)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contextualSpacing w:val="0"/>
        <w:rPr>
          <w:b w:val="1"/>
        </w:rPr>
      </w:pPr>
      <w:bookmarkStart w:colFirst="0" w:colLast="0" w:name="_99wdky5a0lf4" w:id="2"/>
      <w:bookmarkEnd w:id="2"/>
      <w:r w:rsidDel="00000000" w:rsidR="00000000" w:rsidRPr="00000000">
        <w:rPr>
          <w:b w:val="1"/>
          <w:rtl w:val="0"/>
        </w:rPr>
        <w:t xml:space="preserve">2</w:t>
        <w:tab/>
        <w:t xml:space="preserve">Funktionen und Methoden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Methoden werden in camelCase (mit kleinem Anfangsbuchstaben) geschrieben. Funktionen werden klein_mit_underscores geschrieben.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computeSomething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 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 method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compute_something_else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 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 function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widowControl w:val="0"/>
        <w:contextualSpacing w:val="0"/>
        <w:rPr>
          <w:b w:val="1"/>
        </w:rPr>
      </w:pPr>
      <w:bookmarkStart w:colFirst="0" w:colLast="0" w:name="_atxjmd6k0q94" w:id="3"/>
      <w:bookmarkEnd w:id="3"/>
      <w:r w:rsidDel="00000000" w:rsidR="00000000" w:rsidRPr="00000000">
        <w:rPr>
          <w:b w:val="1"/>
          <w:rtl w:val="0"/>
        </w:rPr>
        <w:t xml:space="preserve">3</w:t>
        <w:tab/>
        <w:t xml:space="preserve">Variablen</w:t>
      </w:r>
    </w:p>
    <w:p w:rsidR="00000000" w:rsidDel="00000000" w:rsidP="00000000" w:rsidRDefault="00000000" w:rsidRPr="00000000" w14:paraId="00000038">
      <w:pPr>
        <w:pStyle w:val="Heading4"/>
        <w:contextualSpacing w:val="0"/>
        <w:rPr>
          <w:b w:val="1"/>
        </w:rPr>
      </w:pPr>
      <w:bookmarkStart w:colFirst="0" w:colLast="0" w:name="_1wei15boob4l" w:id="4"/>
      <w:bookmarkEnd w:id="4"/>
      <w:r w:rsidDel="00000000" w:rsidR="00000000" w:rsidRPr="00000000">
        <w:rPr>
          <w:b w:val="1"/>
          <w:rtl w:val="0"/>
        </w:rPr>
        <w:t xml:space="preserve">3.1</w:t>
        <w:tab/>
        <w:t xml:space="preserve">Lokale Variablen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 xml:space="preserve">Lokale Variablen fangen mit einem kleinen Buchstaben an. Sie können sowohl als camelCase wie auch klein_mit_underscore geschrieben werden.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*argv[])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aLocalVariable;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another_local_variable;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widowControl w:val="0"/>
        <w:contextualSpacing w:val="0"/>
        <w:rPr>
          <w:b w:val="1"/>
        </w:rPr>
      </w:pPr>
      <w:bookmarkStart w:colFirst="0" w:colLast="0" w:name="_1qjb104f3dr7" w:id="5"/>
      <w:bookmarkEnd w:id="5"/>
      <w:r w:rsidDel="00000000" w:rsidR="00000000" w:rsidRPr="00000000">
        <w:rPr>
          <w:b w:val="1"/>
          <w:rtl w:val="0"/>
        </w:rPr>
        <w:t xml:space="preserve">3.2</w:t>
        <w:tab/>
        <w:t xml:space="preserve">Instanzvariablen / Member variables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Instanzvariablem werden in camelCase geschrieben und fangen immer mit einem kleinen ‘m’ (für “Member”) an.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mMemberVariable;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mAnotherVariable;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widowControl w:val="0"/>
        <w:contextualSpacing w:val="0"/>
        <w:rPr>
          <w:b w:val="1"/>
        </w:rPr>
      </w:pPr>
      <w:bookmarkStart w:colFirst="0" w:colLast="0" w:name="_sftbv6zdebg9" w:id="6"/>
      <w:bookmarkEnd w:id="6"/>
      <w:r w:rsidDel="00000000" w:rsidR="00000000" w:rsidRPr="00000000">
        <w:rPr>
          <w:b w:val="1"/>
          <w:rtl w:val="0"/>
        </w:rPr>
        <w:t xml:space="preserve">3.3</w:t>
        <w:tab/>
        <w:t xml:space="preserve">Konstanten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 xml:space="preserve">Konstanten werden GROSS_MIT_UNDERSCORE geschrieben. Konstanten, die in einem Header definiert werden, werden wenn möglich in eine Klassendklaration geschrieben.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constexpr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ANSWER_TO_LIFE_THE_UNIVERSE_AND_EVERYTHING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widowControl w:val="0"/>
        <w:contextualSpacing w:val="0"/>
        <w:rPr>
          <w:b w:val="1"/>
        </w:rPr>
      </w:pPr>
      <w:bookmarkStart w:colFirst="0" w:colLast="0" w:name="_uqf4rs2r00j8" w:id="7"/>
      <w:bookmarkEnd w:id="7"/>
      <w:r w:rsidDel="00000000" w:rsidR="00000000" w:rsidRPr="00000000">
        <w:rPr>
          <w:b w:val="1"/>
          <w:rtl w:val="0"/>
        </w:rPr>
        <w:t xml:space="preserve">4</w:t>
        <w:tab/>
        <w:t xml:space="preserve">Typen</w:t>
      </w:r>
    </w:p>
    <w:p w:rsidR="00000000" w:rsidDel="00000000" w:rsidP="00000000" w:rsidRDefault="00000000" w:rsidRPr="00000000" w14:paraId="00000048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Typen, die durch die Schlüsselwörter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</w:t>
      </w:r>
      <w:r w:rsidDel="00000000" w:rsidR="00000000" w:rsidRPr="00000000">
        <w:rPr>
          <w:rtl w:val="0"/>
        </w:rPr>
        <w:t xml:space="preserve"> oder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definiert werden, werden in CamelCase (mit großem Anfangsbuchstaben) geschrieben. Typen, die durch ein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</w:t>
      </w:r>
      <w:r w:rsidDel="00000000" w:rsidR="00000000" w:rsidRPr="00000000">
        <w:rPr>
          <w:rtl w:val="0"/>
        </w:rPr>
        <w:t xml:space="preserve"> definiert werden, werden klein_mit_underscore geschrieben und enden immer mit einem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_t</w:t>
      </w:r>
      <w:r w:rsidDel="00000000" w:rsidR="00000000" w:rsidRPr="00000000">
        <w:rPr>
          <w:rtl w:val="0"/>
        </w:rPr>
        <w:t xml:space="preserve"> (für “Typ”) oder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_fn</w:t>
      </w:r>
      <w:r w:rsidDel="00000000" w:rsidR="00000000" w:rsidRPr="00000000">
        <w:rPr>
          <w:rtl w:val="0"/>
        </w:rPr>
        <w:t xml:space="preserve"> (für “Funktion”, also wenn der definierte Typ ein Funktor beschreibt).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uint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id_t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::function&lt;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)&gt; callback_fn;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widowControl w:val="0"/>
        <w:contextualSpacing w:val="0"/>
        <w:rPr>
          <w:b w:val="1"/>
        </w:rPr>
      </w:pPr>
      <w:bookmarkStart w:colFirst="0" w:colLast="0" w:name="_wsmpj850dn5y" w:id="8"/>
      <w:bookmarkEnd w:id="8"/>
      <w:r w:rsidDel="00000000" w:rsidR="00000000" w:rsidRPr="00000000">
        <w:rPr>
          <w:b w:val="1"/>
          <w:rtl w:val="0"/>
        </w:rPr>
        <w:t xml:space="preserve">5</w:t>
        <w:tab/>
        <w:t xml:space="preserve">Kontrollfluß</w:t>
      </w:r>
    </w:p>
    <w:p w:rsidR="00000000" w:rsidDel="00000000" w:rsidP="00000000" w:rsidRDefault="00000000" w:rsidRPr="00000000" w14:paraId="0000004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“{“ und “}” werden immer auf eine eigene Zeile geschrieben. Außnahmen sind leere Blöcke “{ }”, die auf eine Zeile geschrieben werden </w:t>
      </w:r>
      <w:r w:rsidDel="00000000" w:rsidR="00000000" w:rsidRPr="00000000">
        <w:rPr>
          <w:b w:val="1"/>
          <w:rtl w:val="0"/>
        </w:rPr>
        <w:t xml:space="preserve">dürfen</w:t>
      </w:r>
      <w:r w:rsidDel="00000000" w:rsidR="00000000" w:rsidRPr="00000000">
        <w:rPr>
          <w:rtl w:val="0"/>
        </w:rPr>
        <w:t xml:space="preserve">. Kleine Funktionen dürfen auch in einer einzelnen Zeile untergebracht werden. In einem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tl w:val="0"/>
        </w:rPr>
        <w:t xml:space="preserve"> Statement werden Leerzeichen vor </w:t>
      </w:r>
      <w:r w:rsidDel="00000000" w:rsidR="00000000" w:rsidRPr="00000000">
        <w:rPr>
          <w:b w:val="1"/>
          <w:rtl w:val="0"/>
        </w:rPr>
        <w:t xml:space="preserve">und</w:t>
      </w:r>
      <w:r w:rsidDel="00000000" w:rsidR="00000000" w:rsidRPr="00000000">
        <w:rPr>
          <w:rtl w:val="0"/>
        </w:rPr>
        <w:t xml:space="preserve"> nach den “;” eingefügt.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</w:t>
              <w:br w:type="textWrapping"/>
              <w:tab/>
              <w:tab/>
              <w:t xml:space="preserve">MyClass( ) { }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MyException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::exception { };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square_number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a)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a * a; 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*argv[])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; i 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; ++i)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(a)</w:t>
              <w:br w:type="textWrapping"/>
              <w:t xml:space="preserve">            {</w:t>
              <w:br w:type="textWrapping"/>
              <w:t xml:space="preserve">                do_a();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do_b();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::exception&amp; e)</w:t>
              <w:br w:type="textWrapping"/>
              <w:t xml:space="preserve">    {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