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 Protocol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PRO-005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04.04.18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Teilnehmer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Prof. Fohl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Agdas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Brak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Hussein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Kessener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Sentler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Hintergrund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Erster Labortermin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Implementation der HAL (Aktorik)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Klären von Fragen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Strukturierung &amp; Zeitplan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Beschlüsse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76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60"/>
              <w:gridCol w:w="6420"/>
              <w:tblGridChange w:id="0">
                <w:tblGrid>
                  <w:gridCol w:w="1260"/>
                  <w:gridCol w:w="642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BES-016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 Labor-relevanten Änderungen sind spätestens einen Tag vor dem Labortermin in den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development</w:t>
                  </w:r>
                  <w:r w:rsidDel="00000000" w:rsidR="00000000" w:rsidRPr="00000000">
                    <w:rPr>
                      <w:rtl w:val="0"/>
                    </w:rPr>
                    <w:t xml:space="preserve"> branch zu mergen.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BES-017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Kessener ist für Protokolle zuständig und übersieht die Implementation.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Agdas ist für E-Mail Kommunikation mit Prof. Fohl und Management des Repositories zuständig.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BES-019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ITEM_Coded_* haben Typen von 0 bis 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Bei ITEM_Coded_* ist das LSB außen und MSG innen (gelesen wird also von außen nach innen).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Milestones müssen definiert werden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Issues müssen zugeteilt werden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Zeitplan muss aufgestellt werden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Zuständigkeiten müssen zugeteilt werden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Zentrales System-Spezifikationsdokument muss angelegt werden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Endgültige Entscheidung über Top-Level Architektur muss getroffen werden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Bemerkung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Regressionstests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Abnahmeprotokolle für Labortermine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