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AE44" w14:textId="5A586080" w:rsidR="00B439D1" w:rsidRDefault="000D40CF" w:rsidP="00B439D1">
      <w:pPr>
        <w:pStyle w:val="H1"/>
      </w:pPr>
      <w:r>
        <w:t>XITS</w:t>
      </w:r>
    </w:p>
    <w:p w14:paraId="08196B78" w14:textId="1545476C" w:rsidR="00233D2C" w:rsidRPr="00094E1B" w:rsidRDefault="00233D2C" w:rsidP="006D74E5">
      <w:r w:rsidRPr="00094E1B">
        <w:t xml:space="preserve">Mathematical expressions must be formatted using different rules than those applied to the surrounding text. When markup is used, the limits of the mathematical text are defined explicitly. In plain </w:t>
      </w:r>
      <w:proofErr w:type="gramStart"/>
      <w:r w:rsidRPr="00094E1B">
        <w:t>text</w:t>
      </w:r>
      <w:proofErr w:type="gramEnd"/>
      <w:r w:rsidRPr="00094E1B">
        <w:t xml:space="preserve"> it is possible to use a number of heuristics for identifying mathematical expressions. </w:t>
      </w:r>
      <w:r w:rsidRPr="00257974">
        <w:rPr>
          <w:i/>
          <w:iCs/>
        </w:rPr>
        <w:t>Once recognized, they can be treated appropriately,</w:t>
      </w:r>
      <w:r w:rsidRPr="00094E1B">
        <w:t xml:space="preserve"> for example expressions input as plain text could be tagged with a rich-text math style. Such math style would connect in a straightforward way to appropriate MathML tags.   </w:t>
      </w:r>
    </w:p>
    <w:p w14:paraId="0136D4EC" w14:textId="16068ADF" w:rsidR="000513C1" w:rsidRPr="00094E1B" w:rsidRDefault="000513C1" w:rsidP="00DC50B5">
      <w:pPr>
        <w:pStyle w:val="Math"/>
        <w:rPr>
          <w:rFonts w:eastAsiaTheme="minorEastAsia"/>
        </w:rPr>
      </w:pPr>
      <m:oMathPara>
        <m:oMath>
          <m:r>
            <m:t>f</m:t>
          </m:r>
          <m:d>
            <m:dPr>
              <m:ctrlPr/>
            </m:dPr>
            <m:e>
              <m:r>
                <m:t>x</m:t>
              </m:r>
            </m:e>
          </m:d>
          <m:r>
            <m:t>=</m:t>
          </m:r>
          <m:sSub>
            <m:sSubPr>
              <m:ctrlPr/>
            </m:sSubPr>
            <m:e>
              <m:r>
                <m:t>a</m:t>
              </m:r>
            </m:e>
            <m:sub>
              <m:r>
                <m:t>0</m:t>
              </m:r>
            </m:sub>
          </m:sSub>
          <m:r>
            <m:t>+</m:t>
          </m:r>
          <m:nary>
            <m:naryPr>
              <m:chr m:val="∑"/>
              <m:grow m:val="1"/>
              <m:ctrlPr/>
            </m:naryPr>
            <m:sub>
              <m:r>
                <m:t>n=1</m:t>
              </m:r>
            </m:sub>
            <m:sup>
              <m:r>
                <m:t>∞</m:t>
              </m:r>
            </m:sup>
            <m:e>
              <m:d>
                <m:dPr>
                  <m:ctrlPr/>
                </m:dPr>
                <m:e>
                  <m:sSub>
                    <m:sSubPr>
                      <m:ctrlPr/>
                    </m:sSubPr>
                    <m:e>
                      <m:r>
                        <w:rPr>
                          <w:rFonts w:eastAsia="Cambria Math"/>
                        </w:rPr>
                        <m:t>a</m:t>
                      </m:r>
                      <m:ctrlPr>
                        <w:rPr>
                          <w:rFonts w:eastAsia="Cambria Math"/>
                        </w:rPr>
                      </m:ctrlPr>
                    </m:e>
                    <m:sub>
                      <m:r>
                        <w:rPr>
                          <w:rFonts w:eastAsia="Cambria Math"/>
                        </w:rPr>
                        <m:t>n</m:t>
                      </m:r>
                      <m:ctrlPr>
                        <w:rPr>
                          <w:rFonts w:eastAsia="Cambria Math"/>
                        </w:rPr>
                      </m:ctrlPr>
                    </m:sub>
                  </m:sSub>
                  <m:func>
                    <m:funcPr>
                      <m:ctrlPr/>
                    </m:funcPr>
                    <m:fName>
                      <m:r>
                        <w:rPr>
                          <w:rFonts w:eastAsia="Cambria Math"/>
                        </w:rPr>
                        <m:t>cos</m:t>
                      </m:r>
                      <m:ctrlPr>
                        <w:rPr>
                          <w:rFonts w:eastAsia="Cambria Math"/>
                        </w:rPr>
                      </m:ctrlPr>
                    </m:fName>
                    <m:e>
                      <m:f>
                        <m:fPr>
                          <m:ctrlPr/>
                        </m:fPr>
                        <m:num>
                          <m:r>
                            <w:rPr>
                              <w:rFonts w:eastAsia="Cambria Math"/>
                            </w:rPr>
                            <m:t>nπx</m:t>
                          </m:r>
                          <m:ctrlPr>
                            <w:rPr>
                              <w:rFonts w:eastAsia="Cambria Math"/>
                            </w:rPr>
                          </m:ctrlPr>
                        </m:num>
                        <m:den>
                          <m:r>
                            <w:rPr>
                              <w:rFonts w:eastAsia="Cambria Math"/>
                            </w:rPr>
                            <m:t>L</m:t>
                          </m:r>
                          <m:ctrlPr>
                            <w:rPr>
                              <w:rFonts w:eastAsia="Cambria Math"/>
                            </w:rPr>
                          </m:ctrlPr>
                        </m:den>
                      </m:f>
                    </m:e>
                  </m:func>
                  <m:r>
                    <w:rPr>
                      <w:rFonts w:eastAsia="Cambria Math"/>
                    </w:rPr>
                    <m:t>+</m:t>
                  </m:r>
                  <m:sSub>
                    <m:sSubPr>
                      <m:ctrlPr/>
                    </m:sSubPr>
                    <m:e>
                      <m:r>
                        <w:rPr>
                          <w:rFonts w:eastAsia="Cambria Math"/>
                        </w:rPr>
                        <m:t>b</m:t>
                      </m:r>
                      <m:ctrlPr>
                        <w:rPr>
                          <w:rFonts w:eastAsia="Cambria Math"/>
                        </w:rPr>
                      </m:ctrlPr>
                    </m:e>
                    <m:sub>
                      <m:r>
                        <w:rPr>
                          <w:rFonts w:eastAsia="Cambria Math"/>
                        </w:rPr>
                        <m:t>n</m:t>
                      </m:r>
                      <m:ctrlPr>
                        <w:rPr>
                          <w:rFonts w:eastAsia="Cambria Math"/>
                        </w:rPr>
                      </m:ctrlPr>
                    </m:sub>
                  </m:sSub>
                  <m:func>
                    <m:funcPr>
                      <m:ctrlPr/>
                    </m:funcPr>
                    <m:fName>
                      <m:r>
                        <w:rPr>
                          <w:rFonts w:eastAsia="Cambria Math"/>
                        </w:rPr>
                        <m:t>sin</m:t>
                      </m:r>
                      <m:ctrlPr>
                        <w:rPr>
                          <w:rFonts w:eastAsia="Cambria Math"/>
                        </w:rPr>
                      </m:ctrlPr>
                    </m:fName>
                    <m:e>
                      <m:f>
                        <m:fPr>
                          <m:ctrlPr/>
                        </m:fPr>
                        <m:num>
                          <m:r>
                            <w:rPr>
                              <w:rFonts w:eastAsia="Cambria Math"/>
                            </w:rPr>
                            <m:t>nπx</m:t>
                          </m:r>
                          <m:ctrlPr>
                            <w:rPr>
                              <w:rFonts w:eastAsia="Cambria Math"/>
                            </w:rPr>
                          </m:ctrlPr>
                        </m:num>
                        <m:den>
                          <m:r>
                            <w:rPr>
                              <w:rFonts w:eastAsia="Cambria Math"/>
                            </w:rPr>
                            <m:t>L</m:t>
                          </m:r>
                          <m:ctrlPr>
                            <w:rPr>
                              <w:rFonts w:eastAsia="Cambria Math"/>
                            </w:rPr>
                          </m:ctrlPr>
                        </m:den>
                      </m:f>
                    </m:e>
                  </m:func>
                </m:e>
              </m:d>
            </m:e>
          </m:nary>
        </m:oMath>
      </m:oMathPara>
    </w:p>
    <w:p w14:paraId="523C8514" w14:textId="77777777" w:rsidR="00233D2C" w:rsidRPr="00094E1B" w:rsidRDefault="00233D2C" w:rsidP="00094E1B">
      <w:r w:rsidRPr="00094E1B">
        <w:t xml:space="preserve">The size of </w:t>
      </w:r>
      <w:r w:rsidRPr="00DC50B5">
        <w:rPr>
          <w:i/>
          <w:iCs/>
        </w:rPr>
        <w:t>mathematical delimiters</w:t>
      </w:r>
      <w:r w:rsidRPr="00094E1B">
        <w:t xml:space="preserve"> or operators may change on the size of the enclosed text. In an </w:t>
      </w:r>
      <w:bookmarkStart w:id="0" w:name="_GoBack"/>
      <w:proofErr w:type="gramStart"/>
      <w:r w:rsidRPr="00DC50B5">
        <w:rPr>
          <w:b/>
          <w:bCs/>
        </w:rPr>
        <w:t>equation</w:t>
      </w:r>
      <w:proofErr w:type="gramEnd"/>
      <w:r w:rsidRPr="00094E1B">
        <w:t xml:space="preserve"> </w:t>
      </w:r>
      <w:bookmarkEnd w:id="0"/>
      <w:r w:rsidRPr="00094E1B">
        <w:t>such as</w:t>
      </w:r>
    </w:p>
    <w:p w14:paraId="76CA29BA" w14:textId="77777777" w:rsidR="00233D2C" w:rsidRPr="00094E1B" w:rsidRDefault="00DC50B5" w:rsidP="00DC50B5">
      <w:pPr>
        <w:pStyle w:val="Math"/>
        <w:rPr>
          <w:kern w:val="2"/>
        </w:rPr>
      </w:pPr>
      <m:oMathPara>
        <m:oMathParaPr>
          <m:jc m:val="center"/>
        </m:oMathParaPr>
        <m:oMath>
          <m:sSubSup>
            <m:sSubSupPr>
              <m:ctrlPr/>
            </m:sSubSupPr>
            <m:e>
              <m:r>
                <w:rPr>
                  <w:kern w:val="2"/>
                </w:rPr>
                <m:t>W</m:t>
              </m:r>
            </m:e>
            <m:sub>
              <m:sSub>
                <m:sSubPr>
                  <m:ctrlPr/>
                </m:sSubPr>
                <m:e>
                  <m:r>
                    <w:rPr>
                      <w:kern w:val="2"/>
                    </w:rPr>
                    <m:t>δ</m:t>
                  </m:r>
                </m:e>
                <m:sub>
                  <m:r>
                    <w:rPr>
                      <w:kern w:val="2"/>
                    </w:rPr>
                    <m:t>1</m:t>
                  </m:r>
                </m:sub>
              </m:sSub>
              <m:sSub>
                <m:sSubPr>
                  <m:ctrlPr/>
                </m:sSubPr>
                <m:e>
                  <m:r>
                    <w:rPr>
                      <w:kern w:val="2"/>
                    </w:rPr>
                    <m:t>ρ</m:t>
                  </m:r>
                </m:e>
                <m:sub>
                  <m:r>
                    <w:rPr>
                      <w:kern w:val="2"/>
                    </w:rPr>
                    <m:t>1</m:t>
                  </m:r>
                </m:sub>
              </m:sSub>
              <m:sSub>
                <m:sSubPr>
                  <m:ctrlPr/>
                </m:sSubPr>
                <m:e>
                  <m:r>
                    <w:rPr>
                      <w:kern w:val="2"/>
                    </w:rPr>
                    <m:t>σ</m:t>
                  </m:r>
                </m:e>
                <m:sub>
                  <m:r>
                    <w:rPr>
                      <w:kern w:val="2"/>
                    </w:rPr>
                    <m:t>2</m:t>
                  </m:r>
                </m:sub>
              </m:sSub>
            </m:sub>
            <m:sup>
              <m:r>
                <w:rPr>
                  <w:kern w:val="2"/>
                </w:rPr>
                <m:t>3β</m:t>
              </m:r>
            </m:sup>
          </m:sSubSup>
          <m:r>
            <w:rPr>
              <w:kern w:val="2"/>
            </w:rPr>
            <m:t>=</m:t>
          </m:r>
          <m:sSubSup>
            <m:sSubSupPr>
              <m:ctrlPr/>
            </m:sSubSupPr>
            <m:e>
              <m:r>
                <w:rPr>
                  <w:kern w:val="2"/>
                </w:rPr>
                <m:t>U</m:t>
              </m:r>
            </m:e>
            <m:sub>
              <m:sSub>
                <m:sSubPr>
                  <m:ctrlPr/>
                </m:sSubPr>
                <m:e>
                  <m:r>
                    <w:rPr>
                      <w:kern w:val="2"/>
                    </w:rPr>
                    <m:t>δ</m:t>
                  </m:r>
                </m:e>
                <m:sub>
                  <m:r>
                    <w:rPr>
                      <w:kern w:val="2"/>
                    </w:rPr>
                    <m:t>1</m:t>
                  </m:r>
                </m:sub>
              </m:sSub>
              <m:sSub>
                <m:sSubPr>
                  <m:ctrlPr/>
                </m:sSubPr>
                <m:e>
                  <m:r>
                    <w:rPr>
                      <w:kern w:val="2"/>
                    </w:rPr>
                    <m:t>ρ</m:t>
                  </m:r>
                </m:e>
                <m:sub>
                  <m:r>
                    <w:rPr>
                      <w:kern w:val="2"/>
                    </w:rPr>
                    <m:t>1</m:t>
                  </m:r>
                </m:sub>
              </m:sSub>
            </m:sub>
            <m:sup>
              <m:r>
                <w:rPr>
                  <w:kern w:val="2"/>
                </w:rPr>
                <m:t>3β</m:t>
              </m:r>
            </m:sup>
          </m:sSubSup>
          <m:r>
            <w:rPr>
              <w:kern w:val="2"/>
            </w:rPr>
            <m:t>+</m:t>
          </m:r>
          <m:f>
            <m:fPr>
              <m:ctrlPr/>
            </m:fPr>
            <m:num>
              <m:r>
                <w:rPr>
                  <w:kern w:val="2"/>
                </w:rPr>
                <m:t>1</m:t>
              </m:r>
            </m:num>
            <m:den>
              <m:r>
                <w:rPr>
                  <w:kern w:val="2"/>
                </w:rPr>
                <m:t>8</m:t>
              </m:r>
              <m:sSup>
                <m:sSupPr>
                  <m:ctrlPr/>
                </m:sSupPr>
                <m:e>
                  <m:r>
                    <w:rPr>
                      <w:kern w:val="2"/>
                    </w:rPr>
                    <m:t>π</m:t>
                  </m:r>
                </m:e>
                <m:sup>
                  <m:r>
                    <w:rPr>
                      <w:kern w:val="2"/>
                    </w:rPr>
                    <m:t>2</m:t>
                  </m:r>
                </m:sup>
              </m:sSup>
            </m:den>
          </m:f>
          <m:nary>
            <m:naryPr>
              <m:ctrlPr/>
            </m:naryPr>
            <m:sub>
              <m:sSub>
                <m:sSubPr>
                  <m:ctrlPr/>
                </m:sSubPr>
                <m:e>
                  <m:r>
                    <w:rPr>
                      <w:rFonts w:eastAsia="Cambria Math"/>
                      <w:kern w:val="2"/>
                    </w:rPr>
                    <m:t>α</m:t>
                  </m:r>
                </m:e>
                <m:sub>
                  <m:r>
                    <w:rPr>
                      <w:rFonts w:eastAsia="Cambria Math"/>
                      <w:kern w:val="2"/>
                    </w:rPr>
                    <m:t>1</m:t>
                  </m:r>
                </m:sub>
              </m:sSub>
            </m:sub>
            <m:sup>
              <m:sSub>
                <m:sSubPr>
                  <m:ctrlPr/>
                </m:sSubPr>
                <m:e>
                  <m:r>
                    <w:rPr>
                      <w:rFonts w:eastAsia="Cambria Math"/>
                      <w:kern w:val="2"/>
                    </w:rPr>
                    <m:t>α</m:t>
                  </m:r>
                </m:e>
                <m:sub>
                  <m:r>
                    <w:rPr>
                      <w:rFonts w:eastAsia="Cambria Math"/>
                      <w:kern w:val="2"/>
                    </w:rPr>
                    <m:t>2</m:t>
                  </m:r>
                </m:sub>
              </m:sSub>
            </m:sup>
            <m:e>
              <m:r>
                <w:rPr>
                  <w:rFonts w:eastAsia="Cambria Math"/>
                  <w:kern w:val="2"/>
                </w:rPr>
                <m:t>d</m:t>
              </m:r>
              <m:sSubSup>
                <m:sSubSupPr>
                  <m:ctrlPr/>
                </m:sSubSupPr>
                <m:e>
                  <m:r>
                    <w:rPr>
                      <w:rFonts w:eastAsia="Cambria Math"/>
                      <w:kern w:val="2"/>
                    </w:rPr>
                    <m:t>α</m:t>
                  </m:r>
                </m:e>
                <m:sub>
                  <m:r>
                    <w:rPr>
                      <w:rFonts w:eastAsia="Cambria Math"/>
                      <w:kern w:val="2"/>
                    </w:rPr>
                    <m:t>2</m:t>
                  </m:r>
                </m:sub>
                <m:sup>
                  <m:r>
                    <w:rPr>
                      <w:rFonts w:eastAsia="Cambria Math"/>
                      <w:kern w:val="2"/>
                    </w:rPr>
                    <m:t>'</m:t>
                  </m:r>
                </m:sup>
              </m:sSubSup>
              <m:d>
                <m:dPr>
                  <m:begChr m:val="["/>
                  <m:endChr m:val="]"/>
                  <m:ctrlPr/>
                </m:dPr>
                <m:e>
                  <m:f>
                    <m:fPr>
                      <m:ctrlPr/>
                    </m:fPr>
                    <m:num>
                      <m:sSubSup>
                        <m:sSubSupPr>
                          <m:ctrlPr/>
                        </m:sSubSupPr>
                        <m:e>
                          <m:r>
                            <w:rPr>
                              <w:rFonts w:eastAsia="Cambria Math"/>
                              <w:kern w:val="2"/>
                            </w:rPr>
                            <m:t>U</m:t>
                          </m:r>
                        </m:e>
                        <m:sub>
                          <m:sSub>
                            <m:sSubPr>
                              <m:ctrlPr/>
                            </m:sSubPr>
                            <m:e>
                              <m:r>
                                <w:rPr>
                                  <w:rFonts w:eastAsia="Cambria Math"/>
                                  <w:kern w:val="2"/>
                                </w:rPr>
                                <m:t>δ</m:t>
                              </m:r>
                            </m:e>
                            <m:sub>
                              <m:r>
                                <w:rPr>
                                  <w:rFonts w:eastAsia="Cambria Math"/>
                                  <w:kern w:val="2"/>
                                </w:rPr>
                                <m:t>1</m:t>
                              </m:r>
                            </m:sub>
                          </m:sSub>
                          <m:sSub>
                            <m:sSubPr>
                              <m:ctrlPr/>
                            </m:sSubPr>
                            <m:e>
                              <m:r>
                                <w:rPr>
                                  <w:rFonts w:eastAsia="Cambria Math"/>
                                  <w:kern w:val="2"/>
                                </w:rPr>
                                <m:t>ρ</m:t>
                              </m:r>
                            </m:e>
                            <m:sub>
                              <m:r>
                                <w:rPr>
                                  <w:rFonts w:eastAsia="Cambria Math"/>
                                  <w:kern w:val="2"/>
                                </w:rPr>
                                <m:t>1</m:t>
                              </m:r>
                            </m:sub>
                          </m:sSub>
                        </m:sub>
                        <m:sup>
                          <m:r>
                            <w:rPr>
                              <w:rFonts w:eastAsia="Cambria Math"/>
                              <w:kern w:val="2"/>
                            </w:rPr>
                            <m:t>2β</m:t>
                          </m:r>
                        </m:sup>
                      </m:sSubSup>
                      <m:r>
                        <w:rPr>
                          <w:rFonts w:eastAsia="Cambria Math"/>
                          <w:kern w:val="2"/>
                        </w:rPr>
                        <m:t>-</m:t>
                      </m:r>
                      <m:sSubSup>
                        <m:sSubSupPr>
                          <m:ctrlPr/>
                        </m:sSubSupPr>
                        <m:e>
                          <m:r>
                            <w:rPr>
                              <w:rFonts w:eastAsia="Cambria Math"/>
                              <w:kern w:val="2"/>
                            </w:rPr>
                            <m:t>α</m:t>
                          </m:r>
                        </m:e>
                        <m:sub>
                          <m:r>
                            <w:rPr>
                              <w:rFonts w:eastAsia="Cambria Math"/>
                              <w:kern w:val="2"/>
                            </w:rPr>
                            <m:t>2</m:t>
                          </m:r>
                        </m:sub>
                        <m:sup>
                          <m:r>
                            <w:rPr>
                              <w:rFonts w:eastAsia="Cambria Math"/>
                              <w:kern w:val="2"/>
                            </w:rPr>
                            <m:t>'</m:t>
                          </m:r>
                        </m:sup>
                      </m:sSubSup>
                      <m:sSubSup>
                        <m:sSubSupPr>
                          <m:ctrlPr/>
                        </m:sSubSupPr>
                        <m:e>
                          <m:r>
                            <w:rPr>
                              <w:rFonts w:eastAsia="Cambria Math"/>
                              <w:kern w:val="2"/>
                            </w:rPr>
                            <m:t>U</m:t>
                          </m:r>
                        </m:e>
                        <m:sub>
                          <m:sSub>
                            <m:sSubPr>
                              <m:ctrlPr/>
                            </m:sSubPr>
                            <m:e>
                              <m:r>
                                <w:rPr>
                                  <w:rFonts w:eastAsia="Cambria Math"/>
                                  <w:kern w:val="2"/>
                                </w:rPr>
                                <m:t>ρ</m:t>
                              </m:r>
                            </m:e>
                            <m:sub>
                              <m:r>
                                <w:rPr>
                                  <w:rFonts w:eastAsia="Cambria Math"/>
                                  <w:kern w:val="2"/>
                                </w:rPr>
                                <m:t>1</m:t>
                              </m:r>
                            </m:sub>
                          </m:sSub>
                          <m:sSub>
                            <m:sSubPr>
                              <m:ctrlPr/>
                            </m:sSubPr>
                            <m:e>
                              <m:r>
                                <w:rPr>
                                  <w:rFonts w:eastAsia="Cambria Math"/>
                                  <w:kern w:val="2"/>
                                </w:rPr>
                                <m:t>σ</m:t>
                              </m:r>
                            </m:e>
                            <m:sub>
                              <m:r>
                                <w:rPr>
                                  <w:rFonts w:eastAsia="Cambria Math"/>
                                  <w:kern w:val="2"/>
                                </w:rPr>
                                <m:t>2</m:t>
                              </m:r>
                            </m:sub>
                          </m:sSub>
                        </m:sub>
                        <m:sup>
                          <m:r>
                            <w:rPr>
                              <w:rFonts w:eastAsia="Cambria Math"/>
                              <w:kern w:val="2"/>
                            </w:rPr>
                            <m:t>1β</m:t>
                          </m:r>
                        </m:sup>
                      </m:sSubSup>
                    </m:num>
                    <m:den>
                      <m:sSubSup>
                        <m:sSubSupPr>
                          <m:ctrlPr/>
                        </m:sSubSupPr>
                        <m:e>
                          <m:r>
                            <w:rPr>
                              <w:rFonts w:eastAsia="Cambria Math"/>
                              <w:kern w:val="2"/>
                            </w:rPr>
                            <m:t>U</m:t>
                          </m:r>
                        </m:e>
                        <m:sub>
                          <m:sSub>
                            <m:sSubPr>
                              <m:ctrlPr/>
                            </m:sSubPr>
                            <m:e>
                              <m:r>
                                <w:rPr>
                                  <w:rFonts w:eastAsia="Cambria Math"/>
                                  <w:kern w:val="2"/>
                                </w:rPr>
                                <m:t>ρ</m:t>
                              </m:r>
                            </m:e>
                            <m:sub>
                              <m:r>
                                <w:rPr>
                                  <w:rFonts w:eastAsia="Cambria Math"/>
                                  <w:kern w:val="2"/>
                                </w:rPr>
                                <m:t>1</m:t>
                              </m:r>
                            </m:sub>
                          </m:sSub>
                          <m:sSub>
                            <m:sSubPr>
                              <m:ctrlPr/>
                            </m:sSubPr>
                            <m:e>
                              <m:r>
                                <w:rPr>
                                  <w:rFonts w:eastAsia="Cambria Math"/>
                                  <w:kern w:val="2"/>
                                </w:rPr>
                                <m:t>σ</m:t>
                              </m:r>
                            </m:e>
                            <m:sub>
                              <m:r>
                                <w:rPr>
                                  <w:rFonts w:eastAsia="Cambria Math"/>
                                  <w:kern w:val="2"/>
                                </w:rPr>
                                <m:t>2</m:t>
                              </m:r>
                            </m:sub>
                          </m:sSub>
                        </m:sub>
                        <m:sup>
                          <m:r>
                            <w:rPr>
                              <w:rFonts w:eastAsia="Cambria Math"/>
                              <w:kern w:val="2"/>
                            </w:rPr>
                            <m:t>0β</m:t>
                          </m:r>
                        </m:sup>
                      </m:sSubSup>
                    </m:den>
                  </m:f>
                </m:e>
              </m:d>
            </m:e>
          </m:nary>
          <m:r>
            <m:t>,</m:t>
          </m:r>
        </m:oMath>
      </m:oMathPara>
    </w:p>
    <w:p w14:paraId="44AFC021" w14:textId="77777777" w:rsidR="00233D2C" w:rsidRPr="00094E1B" w:rsidRDefault="00233D2C" w:rsidP="00094E1B">
      <w:r w:rsidRPr="00094E1B">
        <w:t xml:space="preserve">the size of the bracket scales with the size of the enclosed expression, in this case a fraction, and the size of the integral could scale with the size of the integrand. The integral isn’t scaled here, since common practice is to use one size for all larger integrals. This example also shows the positioning of multiple sub- and superscripts as well as the positioning of limit expressions on the integral. </w:t>
      </w:r>
      <w:r w:rsidRPr="00257974">
        <w:rPr>
          <w:b/>
          <w:bCs/>
        </w:rPr>
        <w:t>Punctuation</w:t>
      </w:r>
      <w:r w:rsidRPr="00094E1B">
        <w:t xml:space="preserve"> following math in display is commonly placed on the local baseline or centerline. The example</w:t>
      </w:r>
    </w:p>
    <w:p w14:paraId="256A79B2" w14:textId="77777777" w:rsidR="00233D2C" w:rsidRPr="00094E1B" w:rsidRDefault="00DC50B5" w:rsidP="00DC50B5">
      <w:pPr>
        <w:pStyle w:val="Math"/>
      </w:pPr>
      <m:oMathPara>
        <m:oMath>
          <m:nary>
            <m:naryPr>
              <m:ctrlPr/>
            </m:naryPr>
            <m:sub>
              <m:r>
                <m:t>0</m:t>
              </m:r>
            </m:sub>
            <m:sup>
              <m:r>
                <m:t>a</m:t>
              </m:r>
            </m:sup>
            <m:e>
              <m:f>
                <m:fPr>
                  <m:ctrlPr/>
                </m:fPr>
                <m:num>
                  <m:r>
                    <m:t>x dx</m:t>
                  </m:r>
                </m:num>
                <m:den>
                  <m:sSup>
                    <m:sSupPr>
                      <m:ctrlPr/>
                    </m:sSupPr>
                    <m:e>
                      <m:r>
                        <m:t>x</m:t>
                      </m:r>
                    </m:e>
                    <m:sup>
                      <m:r>
                        <m:t>2</m:t>
                      </m:r>
                    </m:sup>
                  </m:sSup>
                  <m:r>
                    <m:t>+</m:t>
                  </m:r>
                  <m:sSup>
                    <m:sSupPr>
                      <m:ctrlPr/>
                    </m:sSupPr>
                    <m:e>
                      <m:r>
                        <m:t>a</m:t>
                      </m:r>
                    </m:e>
                    <m:sup>
                      <m:r>
                        <m:t>2</m:t>
                      </m:r>
                    </m:sup>
                  </m:sSup>
                </m:den>
              </m:f>
              <m:r>
                <m:t xml:space="preserve"> </m:t>
              </m:r>
            </m:e>
          </m:nary>
        </m:oMath>
      </m:oMathPara>
    </w:p>
    <w:p w14:paraId="00CB74FD" w14:textId="77777777" w:rsidR="00233D2C" w:rsidRPr="00094E1B" w:rsidRDefault="00233D2C" w:rsidP="00094E1B">
      <w:r w:rsidRPr="00094E1B">
        <w:t xml:space="preserve">shows an increased space before the </w:t>
      </w:r>
      <m:oMath>
        <m:r>
          <w:rPr>
            <w:rStyle w:val="MathInline"/>
          </w:rPr>
          <m:t>dx</m:t>
        </m:r>
      </m:oMath>
      <w:r w:rsidRPr="00094E1B">
        <w:rPr>
          <w:i/>
          <w:iCs/>
          <w:sz w:val="28"/>
        </w:rPr>
        <w:t>.</w:t>
      </w:r>
      <w:r w:rsidRPr="00094E1B">
        <w:t xml:space="preserve"> In order to allow automatic formatting of this, the special character code U+2146 </w:t>
      </w:r>
      <w:r w:rsidRPr="00094E1B">
        <w:rPr>
          <w:smallCaps/>
        </w:rPr>
        <w:t>double-struck italic small d</w:t>
      </w:r>
      <w:r w:rsidRPr="00094E1B">
        <w:t xml:space="preserve"> can be used. In this instance, it would not be rendered with an actual double struck glyph. The final example,</w:t>
      </w:r>
    </w:p>
    <w:p w14:paraId="1853C0CA" w14:textId="77777777" w:rsidR="00233D2C" w:rsidRPr="00094E1B" w:rsidRDefault="00DC50B5" w:rsidP="00DC50B5">
      <w:pPr>
        <w:pStyle w:val="Math"/>
      </w:pPr>
      <m:oMathPara>
        <m:oMath>
          <m:d>
            <m:dPr>
              <m:begChr m:val="|"/>
              <m:endChr m:val="|"/>
              <m:ctrlPr/>
            </m:dPr>
            <m:e>
              <m:r>
                <m:t>x</m:t>
              </m:r>
            </m:e>
          </m:d>
          <m:r>
            <m:t>=</m:t>
          </m:r>
          <m:d>
            <m:dPr>
              <m:begChr m:val="{"/>
              <m:endChr m:val=""/>
              <m:ctrlPr/>
            </m:dPr>
            <m:e>
              <m:eqArr>
                <m:eqArrPr>
                  <m:ctrlPr/>
                </m:eqArrPr>
                <m:e>
                  <m:r>
                    <m:t>&amp;x</m:t>
                  </m:r>
                  <m:r>
                    <m:rPr>
                      <m:nor/>
                    </m:rPr>
                    <m:t xml:space="preserve"> if </m:t>
                  </m:r>
                  <m:r>
                    <m:t>x≥0</m:t>
                  </m:r>
                </m:e>
                <m:e>
                  <m:r>
                    <m:t>-&amp;x</m:t>
                  </m:r>
                  <m:r>
                    <m:rPr>
                      <m:nor/>
                    </m:rPr>
                    <m:t xml:space="preserve"> if </m:t>
                  </m:r>
                  <m:r>
                    <m:t>x&lt;0</m:t>
                  </m:r>
                </m:e>
              </m:eqArr>
            </m:e>
          </m:d>
          <m:r>
            <m:t xml:space="preserve"> ,</m:t>
          </m:r>
        </m:oMath>
      </m:oMathPara>
    </w:p>
    <w:p w14:paraId="6017C5AC" w14:textId="77777777" w:rsidR="00233D2C" w:rsidRPr="00094E1B" w:rsidRDefault="00233D2C" w:rsidP="00094E1B">
      <w:r w:rsidRPr="00094E1B">
        <w:t>demonstrates regular text embedded in a mathematical formula.</w:t>
      </w:r>
    </w:p>
    <w:p w14:paraId="0B0736FC" w14:textId="2B893344" w:rsidR="001F52B2" w:rsidRPr="00094E1B" w:rsidRDefault="000513C1" w:rsidP="00DC50B5">
      <w:pPr>
        <w:pStyle w:val="Math"/>
      </w:pPr>
      <m:oMathPara>
        <m:oMath>
          <m:r>
            <m:t>x=</m:t>
          </m:r>
          <m:f>
            <m:fPr>
              <m:ctrlPr/>
            </m:fPr>
            <m:num>
              <m:r>
                <m:t>-b±</m:t>
              </m:r>
              <m:rad>
                <m:radPr>
                  <m:degHide m:val="1"/>
                  <m:ctrlPr/>
                </m:radPr>
                <m:deg/>
                <m:e>
                  <m:sSup>
                    <m:sSupPr>
                      <m:ctrlPr/>
                    </m:sSupPr>
                    <m:e>
                      <m:r>
                        <m:t>b</m:t>
                      </m:r>
                    </m:e>
                    <m:sup>
                      <m:r>
                        <m:t>2</m:t>
                      </m:r>
                    </m:sup>
                  </m:sSup>
                  <m:r>
                    <m:t>-4ac</m:t>
                  </m:r>
                </m:e>
              </m:rad>
            </m:num>
            <m:den>
              <m:r>
                <m:t>2a</m:t>
              </m:r>
            </m:den>
          </m:f>
        </m:oMath>
      </m:oMathPara>
    </w:p>
    <w:sectPr w:rsidR="001F52B2" w:rsidRPr="00094E1B" w:rsidSect="00B439D1">
      <w:pgSz w:w="11900" w:h="16840"/>
      <w:pgMar w:top="851" w:right="3402"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XITS">
    <w:panose1 w:val="02000503000000000000"/>
    <w:charset w:val="00"/>
    <w:family w:val="auto"/>
    <w:pitch w:val="variable"/>
    <w:sig w:usb0="A00002FF" w:usb1="4003FDFF" w:usb2="00000020" w:usb3="00000000" w:csb0="0000009F" w:csb1="00000000"/>
  </w:font>
  <w:font w:name="Times New Roman">
    <w:panose1 w:val="02020603050405020304"/>
    <w:charset w:val="00"/>
    <w:family w:val="auto"/>
    <w:pitch w:val="variable"/>
    <w:sig w:usb0="E0002AEF" w:usb1="C0007841" w:usb2="00000009" w:usb3="00000000" w:csb0="000001FF" w:csb1="00000000"/>
  </w:font>
  <w:font w:name="XITS Math">
    <w:panose1 w:val="02000503000000000000"/>
    <w:charset w:val="00"/>
    <w:family w:val="auto"/>
    <w:pitch w:val="variable"/>
    <w:sig w:usb0="A00022FF" w:usb1="0203FDFF" w:usb2="0A000020" w:usb3="00000000" w:csb0="000000D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autoHyphenation/>
  <w:hyphenationZone w:val="357"/>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2C"/>
    <w:rsid w:val="0002710A"/>
    <w:rsid w:val="000513C1"/>
    <w:rsid w:val="00094E1B"/>
    <w:rsid w:val="000D40CF"/>
    <w:rsid w:val="00127C90"/>
    <w:rsid w:val="0017513E"/>
    <w:rsid w:val="00233D2C"/>
    <w:rsid w:val="00257974"/>
    <w:rsid w:val="00316FCD"/>
    <w:rsid w:val="005B1F01"/>
    <w:rsid w:val="005F1F4A"/>
    <w:rsid w:val="006D74E5"/>
    <w:rsid w:val="006E6081"/>
    <w:rsid w:val="00724C8E"/>
    <w:rsid w:val="007722BE"/>
    <w:rsid w:val="00B439D1"/>
    <w:rsid w:val="00C55074"/>
    <w:rsid w:val="00DC50B5"/>
    <w:rsid w:val="00FD4071"/>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ECD4F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0CF"/>
    <w:pPr>
      <w:spacing w:before="100" w:beforeAutospacing="1" w:after="100" w:afterAutospacing="1" w:line="300" w:lineRule="exact"/>
      <w:jc w:val="both"/>
    </w:pPr>
    <w:rPr>
      <w:rFonts w:ascii="XITS" w:eastAsia="Times New Roman" w:hAnsi="XITS" w:cs="XITS Math"/>
      <w:color w:val="000000"/>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
    <w:name w:val="Math"/>
    <w:basedOn w:val="Normal"/>
    <w:qFormat/>
    <w:rsid w:val="000D40CF"/>
    <w:pPr>
      <w:spacing w:line="240" w:lineRule="auto"/>
    </w:pPr>
    <w:rPr>
      <w:rFonts w:ascii="XITS Math" w:hAnsi="XITS Math"/>
      <w:i/>
      <w:iCs/>
    </w:rPr>
  </w:style>
  <w:style w:type="character" w:customStyle="1" w:styleId="MathInline">
    <w:name w:val="MathInline"/>
    <w:basedOn w:val="DefaultParagraphFont"/>
    <w:uiPriority w:val="1"/>
    <w:qFormat/>
    <w:rsid w:val="000D40CF"/>
    <w:rPr>
      <w:rFonts w:ascii="XITS Math" w:hAnsi="XITS Math"/>
      <w:i/>
    </w:rPr>
  </w:style>
  <w:style w:type="paragraph" w:customStyle="1" w:styleId="H1">
    <w:name w:val="H1"/>
    <w:basedOn w:val="Normal"/>
    <w:qFormat/>
    <w:rsid w:val="00B439D1"/>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1553</Characters>
  <Application>Microsoft Macintosh Word</Application>
  <DocSecurity>0</DocSecurity>
  <Lines>12</Lines>
  <Paragraphs>3</Paragraphs>
  <ScaleCrop>false</ScaleCrop>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2016-12-02T07:50:00Z</cp:lastPrinted>
  <dcterms:created xsi:type="dcterms:W3CDTF">2016-12-02T07:34:00Z</dcterms:created>
  <dcterms:modified xsi:type="dcterms:W3CDTF">2016-12-02T07:51:00Z</dcterms:modified>
</cp:coreProperties>
</file>