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Integrated</w:t>
      </w:r>
      <w:r>
        <w:t xml:space="preserve"> </w:t>
      </w:r>
      <w:r>
        <w:t xml:space="preserve">Ocular</w:t>
      </w:r>
      <w:r>
        <w:t xml:space="preserve"> </w:t>
      </w:r>
      <w:r>
        <w:t xml:space="preserve">Million</w:t>
      </w:r>
      <w:r>
        <w:t xml:space="preserve"> </w:t>
      </w:r>
      <w:r>
        <w:t xml:space="preserve">Single</w:t>
      </w:r>
      <w:r>
        <w:t xml:space="preserve"> </w:t>
      </w:r>
      <w:r>
        <w:t xml:space="preserve">Cell</w:t>
      </w:r>
      <w:r>
        <w:t xml:space="preserve"> </w:t>
      </w:r>
      <w:r>
        <w:t xml:space="preserve">Meta-Atlas</w:t>
      </w:r>
      <w:r>
        <w:t xml:space="preserve"> </w:t>
      </w:r>
      <w:r>
        <w:t xml:space="preserve">for</w:t>
      </w:r>
      <w:r>
        <w:t xml:space="preserve"> </w:t>
      </w:r>
      <w:r>
        <w:t xml:space="preserve">Discovery</w:t>
      </w:r>
      <w:r>
        <w:t xml:space="preserve"> </w:t>
      </w:r>
      <w:r>
        <w:t xml:space="preserve">and</w:t>
      </w:r>
      <w:r>
        <w:t xml:space="preserve"> </w:t>
      </w:r>
      <w:r>
        <w:t xml:space="preserve">Development</w:t>
      </w:r>
    </w:p>
    <w:p>
      <w:pPr>
        <w:pStyle w:val="Author"/>
      </w:pPr>
      <w:r>
        <w:t xml:space="preserve">Vinay Swamy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Zachary Batz</w:t>
      </w:r>
      <w:r>
        <w:rPr>
          <w:vertAlign w:val="superscript"/>
        </w:rPr>
        <w:t xml:space="preserve">2</w:t>
      </w:r>
      <w:r>
        <w:t xml:space="preserve">,</w:t>
      </w:r>
      <w:r>
        <w:t xml:space="preserve"> </w:t>
      </w:r>
      <w:r>
        <w:t xml:space="preserve">Temesgen Fufa</w:t>
      </w:r>
      <w:r>
        <w:rPr>
          <w:vertAlign w:val="superscript"/>
        </w:rPr>
        <w:t xml:space="preserve">3</w:t>
      </w:r>
      <w:r>
        <w:t xml:space="preserve">,</w:t>
      </w:r>
      <w:r>
        <w:t xml:space="preserve"> </w:t>
      </w:r>
      <w:r>
        <w:t xml:space="preserve">Robert Hufnagel</w:t>
      </w:r>
      <w:r>
        <w:rPr>
          <w:vertAlign w:val="superscript"/>
        </w:rPr>
        <w:t xml:space="preserve">3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David McGaughey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03,</w:t>
      </w:r>
      <w:r>
        <w:t xml:space="preserve"> </w:t>
      </w:r>
      <w:r>
        <w:t xml:space="preserve">2020</w:t>
      </w:r>
    </w:p>
    <w:p>
      <w:pPr>
        <w:pStyle w:val="Compact"/>
        <w:pStyle w:val="Abstract"/>
      </w:pPr>
      <w:r>
        <w:t xml:space="preserve">PURPOSE:</w:t>
      </w:r>
      <w:r>
        <w:t xml:space="preserve"> </w:t>
      </w:r>
      <w:r>
        <w:t xml:space="preserve">To</w:t>
      </w:r>
      <w:r>
        <w:t xml:space="preserve"> </w:t>
      </w:r>
      <w:r>
        <w:t xml:space="preserve">curate</w:t>
      </w:r>
      <w:r>
        <w:t xml:space="preserve"> </w:t>
      </w:r>
      <w:r>
        <w:t xml:space="preserve">a</w:t>
      </w:r>
      <w:r>
        <w:t xml:space="preserve"> </w:t>
      </w:r>
      <w:r>
        <w:t xml:space="preserve">accessible</w:t>
      </w:r>
      <w:r>
        <w:t xml:space="preserve"> </w:t>
      </w:r>
      <w:r>
        <w:t xml:space="preserve">and</w:t>
      </w:r>
      <w:r>
        <w:t xml:space="preserve"> </w:t>
      </w:r>
      <w:r>
        <w:t xml:space="preserve">reliable</w:t>
      </w:r>
      <w:r>
        <w:t xml:space="preserve"> </w:t>
      </w:r>
      <w:r>
        <w:t xml:space="preserve">ocular</w:t>
      </w:r>
      <w:r>
        <w:t xml:space="preserve"> </w:t>
      </w:r>
      <w:r>
        <w:t xml:space="preserve">cell-type</w:t>
      </w:r>
      <w:r>
        <w:t xml:space="preserve"> </w:t>
      </w:r>
      <w:r>
        <w:t xml:space="preserve">specific</w:t>
      </w:r>
      <w:r>
        <w:t xml:space="preserve"> </w:t>
      </w:r>
      <w:r>
        <w:t xml:space="preserve">transcriptome</w:t>
      </w:r>
      <w:r>
        <w:t xml:space="preserve"> </w:t>
      </w:r>
      <w:r>
        <w:t xml:space="preserve">dataset</w:t>
      </w:r>
      <w:r>
        <w:t xml:space="preserve"> </w:t>
      </w:r>
      <w:r>
        <w:t xml:space="preserve">of</w:t>
      </w:r>
      <w:r>
        <w:t xml:space="preserve"> </w:t>
      </w:r>
      <w:r>
        <w:t xml:space="preserve">over</w:t>
      </w:r>
      <w:r>
        <w:t xml:space="preserve"> </w:t>
      </w:r>
      <w:r>
        <w:t xml:space="preserve">one</w:t>
      </w:r>
      <w:r>
        <w:t xml:space="preserve"> </w:t>
      </w:r>
      <w:r>
        <w:t xml:space="preserve">million</w:t>
      </w:r>
      <w:r>
        <w:t xml:space="preserve"> </w:t>
      </w:r>
      <w:r>
        <w:t xml:space="preserve">normal</w:t>
      </w:r>
      <w:r>
        <w:t xml:space="preserve"> </w:t>
      </w:r>
      <w:r>
        <w:t xml:space="preserve">vertebrate</w:t>
      </w:r>
      <w:r>
        <w:t xml:space="preserve"> </w:t>
      </w:r>
      <w:r>
        <w:t xml:space="preserve">ocular</w:t>
      </w:r>
      <w:r>
        <w:t xml:space="preserve"> </w:t>
      </w:r>
      <w:r>
        <w:t xml:space="preserve">cell</w:t>
      </w:r>
      <w:r>
        <w:t xml:space="preserve"> </w:t>
      </w:r>
      <w:r>
        <w:t xml:space="preserve">types</w:t>
      </w:r>
      <w:r>
        <w:t xml:space="preserve"> </w:t>
      </w:r>
      <w:r>
        <w:t xml:space="preserve">with</w:t>
      </w:r>
      <w:r>
        <w:t xml:space="preserve"> </w:t>
      </w:r>
      <w:r>
        <w:t xml:space="preserve">a</w:t>
      </w:r>
      <w:r>
        <w:t xml:space="preserve"> </w:t>
      </w:r>
      <w:r>
        <w:t xml:space="preserve">matching</w:t>
      </w:r>
      <w:r>
        <w:t xml:space="preserve"> </w:t>
      </w:r>
      <w:r>
        <w:t xml:space="preserve">high</w:t>
      </w:r>
      <w:r>
        <w:t xml:space="preserve"> </w:t>
      </w:r>
      <w:r>
        <w:t xml:space="preserve">performance</w:t>
      </w:r>
      <w:r>
        <w:t xml:space="preserve"> </w:t>
      </w:r>
      <w:r>
        <w:t xml:space="preserve">reactive</w:t>
      </w:r>
      <w:r>
        <w:t xml:space="preserve"> </w:t>
      </w:r>
      <w:r>
        <w:t xml:space="preserve">web</w:t>
      </w:r>
      <w:r>
        <w:t xml:space="preserve"> </w:t>
      </w:r>
      <w:r>
        <w:t xml:space="preserve">application</w:t>
      </w:r>
      <w:r>
        <w:t xml:space="preserve"> </w:t>
      </w:r>
      <w:r>
        <w:t xml:space="preserve">to</w:t>
      </w:r>
      <w:r>
        <w:t xml:space="preserve"> </w:t>
      </w:r>
      <w:r>
        <w:t xml:space="preserve">query</w:t>
      </w:r>
      <w:r>
        <w:t xml:space="preserve"> </w:t>
      </w:r>
      <w:r>
        <w:t xml:space="preserve">gene</w:t>
      </w:r>
      <w:r>
        <w:t xml:space="preserve"> </w:t>
      </w:r>
      <w:r>
        <w:t xml:space="preserve">expression</w:t>
      </w:r>
      <w:r>
        <w:t xml:space="preserve"> </w:t>
      </w:r>
      <w:r>
        <w:t xml:space="preserve">across</w:t>
      </w:r>
      <w:r>
        <w:t xml:space="preserve"> </w:t>
      </w:r>
      <w:r>
        <w:t xml:space="preserve">cell</w:t>
      </w:r>
      <w:r>
        <w:t xml:space="preserve"> </w:t>
      </w:r>
      <w:r>
        <w:t xml:space="preserve">type,</w:t>
      </w:r>
      <w:r>
        <w:t xml:space="preserve"> </w:t>
      </w:r>
      <w:r>
        <w:t xml:space="preserve">species,</w:t>
      </w:r>
      <w:r>
        <w:t xml:space="preserve"> </w:t>
      </w:r>
      <w:r>
        <w:t xml:space="preserve">study,</w:t>
      </w:r>
      <w:r>
        <w:t xml:space="preserve"> </w:t>
      </w:r>
      <w:r>
        <w:t xml:space="preserve">and</w:t>
      </w:r>
      <w:r>
        <w:t xml:space="preserve"> </w:t>
      </w:r>
      <w:r>
        <w:t xml:space="preserve">other</w:t>
      </w:r>
      <w:r>
        <w:t xml:space="preserve"> </w:t>
      </w:r>
      <w:r>
        <w:t xml:space="preserve">factors.</w:t>
      </w:r>
      <w:r>
        <w:t xml:space="preserve"> </w:t>
      </w:r>
      <w:r>
        <w:t xml:space="preserve">METHODS:</w:t>
      </w:r>
      <w:r>
        <w:t xml:space="preserve"> </w:t>
      </w:r>
      <w:r>
        <w:t xml:space="preserve">We</w:t>
      </w:r>
      <w:r>
        <w:t xml:space="preserve"> </w:t>
      </w:r>
      <w:r>
        <w:t xml:space="preserve">queried</w:t>
      </w:r>
      <w:r>
        <w:t xml:space="preserve"> </w:t>
      </w:r>
      <w:r>
        <w:t xml:space="preserve">several</w:t>
      </w:r>
      <w:r>
        <w:t xml:space="preserve"> </w:t>
      </w:r>
      <w:r>
        <w:t xml:space="preserve">public</w:t>
      </w:r>
      <w:r>
        <w:t xml:space="preserve"> </w:t>
      </w:r>
      <w:r>
        <w:t xml:space="preserve">repositories</w:t>
      </w:r>
      <w:r>
        <w:t xml:space="preserve"> </w:t>
      </w:r>
      <w:r>
        <w:t xml:space="preserve">to</w:t>
      </w:r>
      <w:r>
        <w:t xml:space="preserve"> </w:t>
      </w:r>
      <w:r>
        <w:t xml:space="preserve">find</w:t>
      </w:r>
      <w:r>
        <w:t xml:space="preserve"> </w:t>
      </w:r>
      <w:r>
        <w:t xml:space="preserve">eighteen</w:t>
      </w:r>
      <w:r>
        <w:t xml:space="preserve"> </w:t>
      </w:r>
      <w:r>
        <w:t xml:space="preserve">healthy,</w:t>
      </w:r>
      <w:r>
        <w:t xml:space="preserve"> </w:t>
      </w:r>
      <w:r>
        <w:t xml:space="preserve">non-perturbed,</w:t>
      </w:r>
      <w:r>
        <w:t xml:space="preserve"> </w:t>
      </w:r>
      <w:r>
        <w:t xml:space="preserve">ocular</w:t>
      </w:r>
      <w:r>
        <w:t xml:space="preserve"> </w:t>
      </w:r>
      <w:r>
        <w:t xml:space="preserve">tissue</w:t>
      </w:r>
      <w:r>
        <w:t xml:space="preserve"> </w:t>
      </w:r>
      <w:r>
        <w:t xml:space="preserve">single</w:t>
      </w:r>
      <w:r>
        <w:t xml:space="preserve"> </w:t>
      </w:r>
      <w:r>
        <w:t xml:space="preserve">cell</w:t>
      </w:r>
      <w:r>
        <w:t xml:space="preserve"> </w:t>
      </w:r>
      <w:r>
        <w:t xml:space="preserve">RNA-seq</w:t>
      </w:r>
      <w:r>
        <w:t xml:space="preserve"> </w:t>
      </w:r>
      <w:r>
        <w:t xml:space="preserve">studies</w:t>
      </w:r>
      <w:r>
        <w:t xml:space="preserve"> </w:t>
      </w:r>
      <w:r>
        <w:t xml:space="preserve">As</w:t>
      </w:r>
      <w:r>
        <w:t xml:space="preserve"> </w:t>
      </w:r>
      <w:r>
        <w:t xml:space="preserve">a</w:t>
      </w:r>
      <w:r>
        <w:t xml:space="preserve"> </w:t>
      </w:r>
      <w:r>
        <w:t xml:space="preserve">non-ocular</w:t>
      </w:r>
      <w:r>
        <w:t xml:space="preserve"> </w:t>
      </w:r>
      <w:r>
        <w:t xml:space="preserve">reference,</w:t>
      </w:r>
      <w:r>
        <w:t xml:space="preserve"> </w:t>
      </w:r>
      <w:r>
        <w:t xml:space="preserve">we</w:t>
      </w:r>
      <w:r>
        <w:t xml:space="preserve"> </w:t>
      </w:r>
      <w:r>
        <w:t xml:space="preserve">also</w:t>
      </w:r>
      <w:r>
        <w:t xml:space="preserve"> </w:t>
      </w:r>
      <w:r>
        <w:t xml:space="preserve">used</w:t>
      </w:r>
      <w:r>
        <w:t xml:space="preserve"> </w:t>
      </w:r>
      <w:r>
        <w:t xml:space="preserve">the</w:t>
      </w:r>
      <w:r>
        <w:t xml:space="preserve"> </w:t>
      </w:r>
      <w:r>
        <w:t xml:space="preserve">pan-mouse</w:t>
      </w:r>
      <w:r>
        <w:t xml:space="preserve"> </w:t>
      </w:r>
      <w:r>
        <w:t xml:space="preserve">Tabula</w:t>
      </w:r>
      <w:r>
        <w:t xml:space="preserve"> </w:t>
      </w:r>
      <w:r>
        <w:t xml:space="preserve">Muris</w:t>
      </w:r>
      <w:r>
        <w:t xml:space="preserve"> </w:t>
      </w:r>
      <w:r>
        <w:t xml:space="preserve">resource.</w:t>
      </w:r>
      <w:r>
        <w:t xml:space="preserve"> </w:t>
      </w:r>
      <w:r>
        <w:t xml:space="preserve">The</w:t>
      </w:r>
      <w:r>
        <w:t xml:space="preserve"> </w:t>
      </w:r>
      <w:r>
        <w:t xml:space="preserve">XX</w:t>
      </w:r>
      <w:r>
        <w:t xml:space="preserve"> </w:t>
      </w:r>
      <w:r>
        <w:t xml:space="preserve">ocular</w:t>
      </w:r>
      <w:r>
        <w:t xml:space="preserve"> </w:t>
      </w:r>
      <w:r>
        <w:t xml:space="preserve">and</w:t>
      </w:r>
      <w:r>
        <w:t xml:space="preserve"> </w:t>
      </w:r>
      <w:r>
        <w:t xml:space="preserve">XX</w:t>
      </w:r>
      <w:r>
        <w:t xml:space="preserve"> </w:t>
      </w:r>
      <w:r>
        <w:t xml:space="preserve">Tabula</w:t>
      </w:r>
      <w:r>
        <w:t xml:space="preserve"> </w:t>
      </w:r>
      <w:r>
        <w:t xml:space="preserve">Muris</w:t>
      </w:r>
      <w:r>
        <w:t xml:space="preserve"> </w:t>
      </w:r>
      <w:r>
        <w:t xml:space="preserve">cells</w:t>
      </w:r>
      <w:r>
        <w:t xml:space="preserve"> </w:t>
      </w:r>
      <w:r>
        <w:t xml:space="preserve">were</w:t>
      </w:r>
      <w:r>
        <w:t xml:space="preserve"> </w:t>
      </w:r>
      <w:r>
        <w:t xml:space="preserve">sent</w:t>
      </w:r>
      <w:r>
        <w:t xml:space="preserve"> </w:t>
      </w:r>
      <w:r>
        <w:t xml:space="preserve">into</w:t>
      </w:r>
      <w:r>
        <w:t xml:space="preserve"> </w:t>
      </w:r>
      <w:r>
        <w:t xml:space="preserve">a</w:t>
      </w:r>
      <w:r>
        <w:t xml:space="preserve"> </w:t>
      </w:r>
      <w:r>
        <w:t xml:space="preserve">Snakemake-based</w:t>
      </w:r>
      <w:r>
        <w:t xml:space="preserve"> </w:t>
      </w:r>
      <w:r>
        <w:t xml:space="preserve">reproducible</w:t>
      </w:r>
      <w:r>
        <w:t xml:space="preserve"> </w:t>
      </w:r>
      <w:r>
        <w:t xml:space="preserve">pipeline</w:t>
      </w:r>
      <w:r>
        <w:t xml:space="preserve"> </w:t>
      </w:r>
      <w:r>
        <w:t xml:space="preserve">we</w:t>
      </w:r>
      <w:r>
        <w:t xml:space="preserve"> </w:t>
      </w:r>
      <w:r>
        <w:t xml:space="preserve">wrote</w:t>
      </w:r>
      <w:r>
        <w:t xml:space="preserve"> </w:t>
      </w:r>
      <w:r>
        <w:t xml:space="preserve">to</w:t>
      </w:r>
      <w:r>
        <w:t xml:space="preserve"> </w:t>
      </w:r>
      <w:r>
        <w:t xml:space="preserve">quantify</w:t>
      </w:r>
      <w:r>
        <w:t xml:space="preserve"> </w:t>
      </w:r>
      <w:r>
        <w:t xml:space="preserve">transcripts,</w:t>
      </w:r>
      <w:r>
        <w:t xml:space="preserve"> </w:t>
      </w:r>
      <w:r>
        <w:t xml:space="preserve">remove</w:t>
      </w:r>
      <w:r>
        <w:t xml:space="preserve"> </w:t>
      </w:r>
      <w:r>
        <w:t xml:space="preserve">cells</w:t>
      </w:r>
      <w:r>
        <w:t xml:space="preserve"> </w:t>
      </w:r>
      <w:r>
        <w:t xml:space="preserve">with</w:t>
      </w:r>
      <w:r>
        <w:t xml:space="preserve"> </w:t>
      </w:r>
      <w:r>
        <w:t xml:space="preserve">poor</w:t>
      </w:r>
      <w:r>
        <w:t xml:space="preserve"> </w:t>
      </w:r>
      <w:r>
        <w:t xml:space="preserve">quality,</w:t>
      </w:r>
      <w:r>
        <w:t xml:space="preserve"> </w:t>
      </w:r>
      <w:r>
        <w:t xml:space="preserve">normalize</w:t>
      </w:r>
      <w:r>
        <w:t xml:space="preserve"> </w:t>
      </w:r>
      <w:r>
        <w:t xml:space="preserve">expression</w:t>
      </w:r>
      <w:r>
        <w:t xml:space="preserve"> </w:t>
      </w:r>
      <w:r>
        <w:t xml:space="preserve">values,</w:t>
      </w:r>
      <w:r>
        <w:t xml:space="preserve"> </w:t>
      </w:r>
      <w:r>
        <w:t xml:space="preserve">create</w:t>
      </w:r>
      <w:r>
        <w:t xml:space="preserve"> </w:t>
      </w:r>
      <w:r>
        <w:t xml:space="preserve">a</w:t>
      </w:r>
      <w:r>
        <w:t xml:space="preserve"> </w:t>
      </w:r>
      <w:r>
        <w:t xml:space="preserve">batch-corrected</w:t>
      </w:r>
      <w:r>
        <w:t xml:space="preserve"> </w:t>
      </w:r>
      <w:r>
        <w:t xml:space="preserve">low</w:t>
      </w:r>
      <w:r>
        <w:t xml:space="preserve"> </w:t>
      </w:r>
      <w:r>
        <w:t xml:space="preserve">dimensional</w:t>
      </w:r>
      <w:r>
        <w:t xml:space="preserve"> </w:t>
      </w:r>
      <w:r>
        <w:t xml:space="preserve">space,</w:t>
      </w:r>
      <w:r>
        <w:t xml:space="preserve"> </w:t>
      </w:r>
      <w:r>
        <w:t xml:space="preserve">performs</w:t>
      </w:r>
      <w:r>
        <w:t xml:space="preserve"> </w:t>
      </w:r>
      <w:r>
        <w:t xml:space="preserve">XX</w:t>
      </w:r>
      <w:r>
        <w:t xml:space="preserve"> </w:t>
      </w:r>
      <w:r>
        <w:t xml:space="preserve">differential</w:t>
      </w:r>
      <w:r>
        <w:t xml:space="preserve"> </w:t>
      </w:r>
      <w:r>
        <w:t xml:space="preserve">expression</w:t>
      </w:r>
      <w:r>
        <w:t xml:space="preserve"> </w:t>
      </w:r>
      <w:r>
        <w:t xml:space="preserve">tests,</w:t>
      </w:r>
      <w:r>
        <w:t xml:space="preserve"> </w:t>
      </w:r>
      <w:r>
        <w:t xml:space="preserve">and</w:t>
      </w:r>
      <w:r>
        <w:t xml:space="preserve"> </w:t>
      </w:r>
      <w:r>
        <w:t xml:space="preserve">outputs</w:t>
      </w:r>
      <w:r>
        <w:t xml:space="preserve"> </w:t>
      </w:r>
      <w:r>
        <w:t xml:space="preserve">all</w:t>
      </w:r>
      <w:r>
        <w:t xml:space="preserve"> </w:t>
      </w:r>
      <w:r>
        <w:t xml:space="preserve">as</w:t>
      </w:r>
      <w:r>
        <w:t xml:space="preserve"> </w:t>
      </w:r>
      <w:r>
        <w:t xml:space="preserve">a</w:t>
      </w:r>
      <w:r>
        <w:t xml:space="preserve"> </w:t>
      </w:r>
      <w:r>
        <w:t xml:space="preserve">single</w:t>
      </w:r>
      <w:r>
        <w:t xml:space="preserve"> </w:t>
      </w:r>
      <w:r>
        <w:t xml:space="preserve">SQLite</w:t>
      </w:r>
      <w:r>
        <w:t xml:space="preserve"> </w:t>
      </w:r>
      <w:r>
        <w:t xml:space="preserve">database</w:t>
      </w:r>
      <w:r>
        <w:t xml:space="preserve"> </w:t>
      </w:r>
      <w:r>
        <w:t xml:space="preserve">file:</w:t>
      </w:r>
      <w:r>
        <w:t xml:space="preserve"> </w:t>
      </w:r>
      <w:r>
        <w:t xml:space="preserve">the</w:t>
      </w:r>
      <w:r>
        <w:t xml:space="preserve"> </w:t>
      </w:r>
      <w:r>
        <w:t xml:space="preserve">Single</w:t>
      </w:r>
      <w:r>
        <w:t xml:space="preserve"> </w:t>
      </w:r>
      <w:r>
        <w:t xml:space="preserve">Cell</w:t>
      </w:r>
      <w:r>
        <w:t xml:space="preserve"> </w:t>
      </w:r>
      <w:r>
        <w:t xml:space="preserve">Eye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Disk</w:t>
      </w:r>
      <w:r>
        <w:t xml:space="preserve"> </w:t>
      </w:r>
      <w:r>
        <w:t xml:space="preserve">(scEiaD)</w:t>
      </w:r>
      <w:r>
        <w:t xml:space="preserve"> </w:t>
      </w:r>
      <w:r>
        <w:t xml:space="preserve">dataset.</w:t>
      </w:r>
      <w:r>
        <w:t xml:space="preserve"> </w:t>
      </w:r>
      <w:r>
        <w:t xml:space="preserve">XXX</w:t>
      </w:r>
      <w:r>
        <w:t xml:space="preserve"> </w:t>
      </w:r>
      <w:r>
        <w:t xml:space="preserve">thousand</w:t>
      </w:r>
      <w:r>
        <w:t xml:space="preserve"> </w:t>
      </w:r>
      <w:r>
        <w:t xml:space="preserve">published</w:t>
      </w:r>
      <w:r>
        <w:t xml:space="preserve"> </w:t>
      </w:r>
      <w:r>
        <w:t xml:space="preserve">cell</w:t>
      </w:r>
      <w:r>
        <w:t xml:space="preserve"> </w:t>
      </w:r>
      <w:r>
        <w:t xml:space="preserve">labels</w:t>
      </w:r>
      <w:r>
        <w:t xml:space="preserve"> </w:t>
      </w:r>
      <w:r>
        <w:t xml:space="preserve">assignments</w:t>
      </w:r>
      <w:r>
        <w:t xml:space="preserve"> </w:t>
      </w:r>
      <w:r>
        <w:t xml:space="preserve">were</w:t>
      </w:r>
      <w:r>
        <w:t xml:space="preserve"> </w:t>
      </w:r>
      <w:r>
        <w:t xml:space="preserve">curated</w:t>
      </w:r>
      <w:r>
        <w:t xml:space="preserve"> </w:t>
      </w:r>
      <w:r>
        <w:t xml:space="preserve">and</w:t>
      </w:r>
      <w:r>
        <w:t xml:space="preserve"> </w:t>
      </w:r>
      <w:r>
        <w:t xml:space="preserve">a</w:t>
      </w:r>
      <w:r>
        <w:t xml:space="preserve"> </w:t>
      </w:r>
      <w:r>
        <w:t xml:space="preserve">machine</w:t>
      </w:r>
      <w:r>
        <w:t xml:space="preserve"> </w:t>
      </w:r>
      <w:r>
        <w:t xml:space="preserve">learning</w:t>
      </w:r>
      <w:r>
        <w:t xml:space="preserve"> </w:t>
      </w:r>
      <w:r>
        <w:t xml:space="preserve">projected</w:t>
      </w:r>
      <w:r>
        <w:t xml:space="preserve"> </w:t>
      </w:r>
      <w:r>
        <w:t xml:space="preserve">onto</w:t>
      </w:r>
      <w:r>
        <w:t xml:space="preserve"> </w:t>
      </w:r>
      <w:r>
        <w:t xml:space="preserve">the</w:t>
      </w:r>
      <w:r>
        <w:t xml:space="preserve"> </w:t>
      </w:r>
      <w:r>
        <w:t xml:space="preserve">non-labelled</w:t>
      </w:r>
      <w:r>
        <w:t xml:space="preserve"> </w:t>
      </w:r>
      <w:r>
        <w:t xml:space="preserve">cells.</w:t>
      </w:r>
      <w:r>
        <w:t xml:space="preserve"> </w:t>
      </w:r>
      <w:r>
        <w:t xml:space="preserve">Furthermore,</w:t>
      </w:r>
      <w:r>
        <w:t xml:space="preserve"> </w:t>
      </w:r>
      <w:r>
        <w:t xml:space="preserve">we</w:t>
      </w:r>
      <w:r>
        <w:t xml:space="preserve"> </w:t>
      </w:r>
      <w:r>
        <w:t xml:space="preserve">wrote</w:t>
      </w:r>
      <w:r>
        <w:t xml:space="preserve"> </w:t>
      </w:r>
      <w:r>
        <w:t xml:space="preserve">the</w:t>
      </w:r>
      <w:r>
        <w:t xml:space="preserve"> </w:t>
      </w:r>
      <w:r>
        <w:t xml:space="preserve">web</w:t>
      </w:r>
      <w:r>
        <w:t xml:space="preserve"> </w:t>
      </w:r>
      <w:r>
        <w:t xml:space="preserve">application</w:t>
      </w:r>
      <w:r>
        <w:t xml:space="preserve"> </w:t>
      </w:r>
      <w:r>
        <w:t xml:space="preserve">PLAE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https://plae.nei.nih.gov</w:t>
        </w:r>
      </w:hyperlink>
      <w:r>
        <w:t xml:space="preserve">)</w:t>
      </w:r>
      <w:r>
        <w:t xml:space="preserve"> </w:t>
      </w:r>
      <w:r>
        <w:t xml:space="preserve">to</w:t>
      </w:r>
      <w:r>
        <w:t xml:space="preserve"> </w:t>
      </w:r>
      <w:r>
        <w:t xml:space="preserve">display</w:t>
      </w:r>
      <w:r>
        <w:t xml:space="preserve"> </w:t>
      </w:r>
      <w:r>
        <w:t xml:space="preserve">scEiaD.</w:t>
      </w:r>
      <w:r>
        <w:t xml:space="preserve"> </w:t>
      </w:r>
      <w:r>
        <w:t xml:space="preserve">RESULTS:</w:t>
      </w:r>
      <w:r>
        <w:t xml:space="preserve"> </w:t>
      </w:r>
      <w:r>
        <w:t xml:space="preserve">The</w:t>
      </w:r>
      <w:r>
        <w:t xml:space="preserve"> </w:t>
      </w:r>
      <w:r>
        <w:t xml:space="preserve">new</w:t>
      </w:r>
      <w:r>
        <w:t xml:space="preserve"> </w:t>
      </w:r>
      <w:r>
        <w:t xml:space="preserve">portal</w:t>
      </w:r>
      <w:r>
        <w:t xml:space="preserve"> </w:t>
      </w:r>
      <w:r>
        <w:t xml:space="preserve">provides</w:t>
      </w:r>
      <w:r>
        <w:t xml:space="preserve"> </w:t>
      </w:r>
      <w:r>
        <w:t xml:space="preserve">quick</w:t>
      </w:r>
      <w:r>
        <w:t xml:space="preserve"> </w:t>
      </w:r>
      <w:r>
        <w:t xml:space="preserve">visualization</w:t>
      </w:r>
      <w:r>
        <w:t xml:space="preserve"> </w:t>
      </w:r>
      <w:r>
        <w:t xml:space="preserve">of</w:t>
      </w:r>
      <w:r>
        <w:t xml:space="preserve"> </w:t>
      </w:r>
      <w:r>
        <w:t xml:space="preserve">vertebrate</w:t>
      </w:r>
      <w:r>
        <w:t xml:space="preserve"> </w:t>
      </w:r>
      <w:r>
        <w:t xml:space="preserve">eye-related</w:t>
      </w:r>
      <w:r>
        <w:t xml:space="preserve"> </w:t>
      </w:r>
      <w:r>
        <w:t xml:space="preserve">transcriptomes</w:t>
      </w:r>
      <w:r>
        <w:t xml:space="preserve"> </w:t>
      </w:r>
      <w:r>
        <w:t xml:space="preserve">published</w:t>
      </w:r>
      <w:r>
        <w:t xml:space="preserve"> </w:t>
      </w:r>
      <w:r>
        <w:t xml:space="preserve">to</w:t>
      </w:r>
      <w:r>
        <w:t xml:space="preserve"> </w:t>
      </w:r>
      <w:r>
        <w:t xml:space="preserve">date</w:t>
      </w:r>
      <w:r>
        <w:t xml:space="preserve"> </w:t>
      </w:r>
      <w:r>
        <w:t xml:space="preserve">by</w:t>
      </w:r>
      <w:r>
        <w:t xml:space="preserve"> </w:t>
      </w:r>
      <w:r>
        <w:t xml:space="preserve">gene/transcript,</w:t>
      </w:r>
      <w:r>
        <w:t xml:space="preserve"> </w:t>
      </w:r>
      <w:r>
        <w:t xml:space="preserve">XX</w:t>
      </w:r>
      <w:r>
        <w:t xml:space="preserve"> </w:t>
      </w:r>
      <w:r>
        <w:t xml:space="preserve">cell</w:t>
      </w:r>
      <w:r>
        <w:t xml:space="preserve"> </w:t>
      </w:r>
      <w:r>
        <w:t xml:space="preserve">types,</w:t>
      </w:r>
      <w:r>
        <w:t xml:space="preserve"> </w:t>
      </w:r>
      <w:r>
        <w:t xml:space="preserve">XX</w:t>
      </w:r>
      <w:r>
        <w:t xml:space="preserve"> </w:t>
      </w:r>
      <w:r>
        <w:t xml:space="preserve">ocular</w:t>
      </w:r>
      <w:r>
        <w:t xml:space="preserve"> </w:t>
      </w:r>
      <w:r>
        <w:t xml:space="preserve">tissues,</w:t>
      </w:r>
      <w:r>
        <w:t xml:space="preserve"> </w:t>
      </w:r>
      <w:r>
        <w:t xml:space="preserve">XX</w:t>
      </w:r>
      <w:r>
        <w:t xml:space="preserve"> </w:t>
      </w:r>
      <w:r>
        <w:t xml:space="preserve">body</w:t>
      </w:r>
      <w:r>
        <w:t xml:space="preserve"> </w:t>
      </w:r>
      <w:r>
        <w:t xml:space="preserve">tissues.</w:t>
      </w:r>
      <w:r>
        <w:t xml:space="preserve"> </w:t>
      </w:r>
      <w:r>
        <w:t xml:space="preserve">As</w:t>
      </w:r>
      <w:r>
        <w:t xml:space="preserve"> </w:t>
      </w:r>
      <w:r>
        <w:t xml:space="preserve">a</w:t>
      </w:r>
      <w:r>
        <w:t xml:space="preserve"> </w:t>
      </w:r>
      <w:r>
        <w:t xml:space="preserve">test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value</w:t>
      </w:r>
      <w:r>
        <w:t xml:space="preserve"> </w:t>
      </w:r>
      <w:r>
        <w:t xml:space="preserve">of</w:t>
      </w:r>
      <w:r>
        <w:t xml:space="preserve"> </w:t>
      </w:r>
      <w:r>
        <w:t xml:space="preserve">this</w:t>
      </w:r>
      <w:r>
        <w:t xml:space="preserve"> </w:t>
      </w:r>
      <w:r>
        <w:t xml:space="preserve">unified</w:t>
      </w:r>
      <w:r>
        <w:t xml:space="preserve"> </w:t>
      </w:r>
      <w:r>
        <w:t xml:space="preserve">pan-eye</w:t>
      </w:r>
      <w:r>
        <w:t xml:space="preserve"> </w:t>
      </w:r>
      <w:r>
        <w:t xml:space="preserve">dataset,</w:t>
      </w:r>
      <w:r>
        <w:t xml:space="preserve"> </w:t>
      </w:r>
      <w:r>
        <w:t xml:space="preserve">we</w:t>
      </w:r>
      <w:r>
        <w:t xml:space="preserve"> </w:t>
      </w:r>
      <w:r>
        <w:t xml:space="preserve">showed</w:t>
      </w:r>
      <w:r>
        <w:t xml:space="preserve"> </w:t>
      </w:r>
      <w:r>
        <w:t xml:space="preserve">XX.</w:t>
      </w:r>
      <w:r>
        <w:t xml:space="preserve"> </w:t>
      </w:r>
      <w:r>
        <w:t xml:space="preserve">CONCLUSION:</w:t>
      </w:r>
      <w:r>
        <w:t xml:space="preserve"> </w:t>
      </w:r>
      <w:r>
        <w:t xml:space="preserve">The</w:t>
      </w:r>
      <w:r>
        <w:t xml:space="preserve"> </w:t>
      </w:r>
      <w:r>
        <w:t xml:space="preserve">PLAE</w:t>
      </w:r>
      <w:r>
        <w:t xml:space="preserve"> </w:t>
      </w:r>
      <w:r>
        <w:t xml:space="preserve">v1.0</w:t>
      </w:r>
      <w:r>
        <w:t xml:space="preserve"> </w:t>
      </w:r>
      <w:r>
        <w:t xml:space="preserve">web</w:t>
      </w:r>
      <w:r>
        <w:t xml:space="preserve"> </w:t>
      </w:r>
      <w:r>
        <w:t xml:space="preserve">app</w:t>
      </w:r>
      <w:r>
        <w:t xml:space="preserve"> </w:t>
      </w:r>
      <w:r>
        <w:t xml:space="preserve">serves</w:t>
      </w:r>
      <w:r>
        <w:t xml:space="preserve"> </w:t>
      </w:r>
      <w:r>
        <w:t xml:space="preserve">the</w:t>
      </w:r>
      <w:r>
        <w:t xml:space="preserve"> </w:t>
      </w:r>
      <w:r>
        <w:t xml:space="preserve">pan-ocular</w:t>
      </w:r>
      <w:r>
        <w:t xml:space="preserve"> </w:t>
      </w:r>
      <w:r>
        <w:t xml:space="preserve">and</w:t>
      </w:r>
      <w:r>
        <w:t xml:space="preserve"> </w:t>
      </w:r>
      <w:r>
        <w:t xml:space="preserve">body</w:t>
      </w:r>
      <w:r>
        <w:t xml:space="preserve"> </w:t>
      </w:r>
      <w:r>
        <w:t xml:space="preserve">dataset,</w:t>
      </w:r>
      <w:r>
        <w:t xml:space="preserve"> </w:t>
      </w:r>
      <w:r>
        <w:t xml:space="preserve">scEiaD.</w:t>
      </w:r>
      <w:r>
        <w:t xml:space="preserve"> </w:t>
      </w:r>
      <w:r>
        <w:t xml:space="preserve">This</w:t>
      </w:r>
      <w:r>
        <w:t xml:space="preserve"> </w:t>
      </w:r>
      <w:r>
        <w:t xml:space="preserve">offers</w:t>
      </w:r>
      <w:r>
        <w:t xml:space="preserve"> </w:t>
      </w:r>
      <w:r>
        <w:t xml:space="preserve">the</w:t>
      </w:r>
      <w:r>
        <w:t xml:space="preserve"> </w:t>
      </w:r>
      <w:r>
        <w:t xml:space="preserve">eye</w:t>
      </w:r>
      <w:r>
        <w:t xml:space="preserve"> </w:t>
      </w:r>
      <w:r>
        <w:t xml:space="preserve">community</w:t>
      </w:r>
      <w:r>
        <w:t xml:space="preserve"> </w:t>
      </w:r>
      <w:r>
        <w:t xml:space="preserve">a</w:t>
      </w:r>
      <w:r>
        <w:t xml:space="preserve"> </w:t>
      </w:r>
      <w:r>
        <w:t xml:space="preserve">powerful</w:t>
      </w:r>
      <w:r>
        <w:t xml:space="preserve"> </w:t>
      </w:r>
      <w:r>
        <w:t xml:space="preserve">and</w:t>
      </w:r>
      <w:r>
        <w:t xml:space="preserve"> </w:t>
      </w:r>
      <w:r>
        <w:t xml:space="preserve">quick</w:t>
      </w:r>
      <w:r>
        <w:t xml:space="preserve"> </w:t>
      </w:r>
      <w:r>
        <w:t xml:space="preserve">means</w:t>
      </w:r>
      <w:r>
        <w:t xml:space="preserve"> </w:t>
      </w:r>
      <w:r>
        <w:t xml:space="preserve">to</w:t>
      </w:r>
      <w:r>
        <w:t xml:space="preserve"> </w:t>
      </w:r>
      <w:r>
        <w:t xml:space="preserve">test</w:t>
      </w:r>
      <w:r>
        <w:t xml:space="preserve"> </w:t>
      </w:r>
      <w:r>
        <w:t xml:space="preserve">hypotheses</w:t>
      </w:r>
      <w:r>
        <w:t xml:space="preserve"> </w:t>
      </w:r>
      <w:r>
        <w:t xml:space="preserve">on</w:t>
      </w:r>
      <w:r>
        <w:t xml:space="preserve"> </w:t>
      </w:r>
      <w:r>
        <w:t xml:space="preserve">human</w:t>
      </w:r>
      <w:r>
        <w:t xml:space="preserve"> </w:t>
      </w:r>
      <w:r>
        <w:t xml:space="preserve">gene</w:t>
      </w:r>
      <w:r>
        <w:t xml:space="preserve"> </w:t>
      </w:r>
      <w:r>
        <w:t xml:space="preserve">and</w:t>
      </w:r>
      <w:r>
        <w:t xml:space="preserve"> </w:t>
      </w:r>
      <w:r>
        <w:t xml:space="preserve">transcript</w:t>
      </w:r>
      <w:r>
        <w:t xml:space="preserve"> </w:t>
      </w:r>
      <w:r>
        <w:t xml:space="preserve">expression</w:t>
      </w:r>
      <w:r>
        <w:t xml:space="preserve"> </w:t>
      </w:r>
      <w:r>
        <w:t xml:space="preserve">across</w:t>
      </w:r>
      <w:r>
        <w:t xml:space="preserve"> </w:t>
      </w:r>
      <w:r>
        <w:t xml:space="preserve">54</w:t>
      </w:r>
      <w:r>
        <w:t xml:space="preserve"> </w:t>
      </w:r>
      <w:r>
        <w:t xml:space="preserve">body</w:t>
      </w:r>
      <w:r>
        <w:t xml:space="preserve"> </w:t>
      </w:r>
      <w:r>
        <w:t xml:space="preserve">and</w:t>
      </w:r>
      <w:r>
        <w:t xml:space="preserve"> </w:t>
      </w:r>
      <w:r>
        <w:t xml:space="preserve">19</w:t>
      </w:r>
      <w:r>
        <w:t xml:space="preserve"> </w:t>
      </w:r>
      <w:r>
        <w:t xml:space="preserve">eye</w:t>
      </w:r>
      <w:r>
        <w:t xml:space="preserve"> </w:t>
      </w:r>
      <w:r>
        <w:t xml:space="preserve">tissues.</w:t>
      </w:r>
      <w:r>
        <w:t xml:space="preserve"> </w:t>
      </w:r>
      <w:r>
        <w:t xml:space="preserve">Futhermore</w:t>
      </w:r>
      <w:r>
        <w:t xml:space="preserve"> </w:t>
      </w:r>
      <w:r>
        <w:t xml:space="preserve">the</w:t>
      </w:r>
      <w:r>
        <w:t xml:space="preserve"> </w:t>
      </w:r>
      <w:r>
        <w:t xml:space="preserve">XXX</w:t>
      </w:r>
      <w:r>
        <w:t xml:space="preserve"> </w:t>
      </w:r>
      <w:r>
        <w:t xml:space="preserve">labelled</w:t>
      </w:r>
      <w:r>
        <w:t xml:space="preserve"> </w:t>
      </w:r>
      <w:r>
        <w:t xml:space="preserve">cells</w:t>
      </w:r>
      <w:r>
        <w:t xml:space="preserve"> </w:t>
      </w:r>
      <w:r>
        <w:t xml:space="preserve">across</w:t>
      </w:r>
      <w:r>
        <w:t xml:space="preserve"> </w:t>
      </w:r>
      <w:r>
        <w:t xml:space="preserve">XX</w:t>
      </w:r>
      <w:r>
        <w:t xml:space="preserve"> </w:t>
      </w:r>
      <w:r>
        <w:t xml:space="preserve">studies,</w:t>
      </w:r>
      <w:r>
        <w:t xml:space="preserve"> </w:t>
      </w:r>
      <w:r>
        <w:t xml:space="preserve">X</w:t>
      </w:r>
      <w:r>
        <w:t xml:space="preserve"> </w:t>
      </w:r>
      <w:r>
        <w:t xml:space="preserve">techologies,</w:t>
      </w:r>
      <w:r>
        <w:t xml:space="preserve"> </w:t>
      </w:r>
      <w:r>
        <w:t xml:space="preserve">and</w:t>
      </w:r>
      <w:r>
        <w:t xml:space="preserve"> </w:t>
      </w:r>
      <w:r>
        <w:t xml:space="preserve">3</w:t>
      </w:r>
      <w:r>
        <w:t xml:space="preserve"> </w:t>
      </w:r>
      <w:r>
        <w:t xml:space="preserve">species</w:t>
      </w:r>
      <w:r>
        <w:t xml:space="preserve"> </w:t>
      </w:r>
      <w:r>
        <w:t xml:space="preserve">provides</w:t>
      </w:r>
      <w:r>
        <w:t xml:space="preserve"> </w:t>
      </w:r>
      <w:r>
        <w:t xml:space="preserve">a</w:t>
      </w:r>
      <w:r>
        <w:t xml:space="preserve"> </w:t>
      </w:r>
      <w:r>
        <w:t xml:space="preserve">highly</w:t>
      </w:r>
      <w:r>
        <w:t xml:space="preserve"> </w:t>
      </w:r>
      <w:r>
        <w:t xml:space="preserve">challenging</w:t>
      </w:r>
      <w:r>
        <w:t xml:space="preserve"> </w:t>
      </w:r>
      <w:r>
        <w:t xml:space="preserve">benchmarking</w:t>
      </w:r>
      <w:r>
        <w:t xml:space="preserve"> </w:t>
      </w:r>
      <w:r>
        <w:t xml:space="preserve">resource</w:t>
      </w:r>
      <w:r>
        <w:t xml:space="preserve"> </w:t>
      </w:r>
      <w:r>
        <w:t xml:space="preserve">for</w:t>
      </w:r>
      <w:r>
        <w:t xml:space="preserve"> </w:t>
      </w:r>
      <w:r>
        <w:t xml:space="preserve">single</w:t>
      </w:r>
      <w:r>
        <w:t xml:space="preserve"> </w:t>
      </w:r>
      <w:r>
        <w:t xml:space="preserve">cell</w:t>
      </w:r>
      <w:r>
        <w:t xml:space="preserve"> </w:t>
      </w:r>
      <w:r>
        <w:t xml:space="preserve">algorithm</w:t>
      </w:r>
      <w:r>
        <w:t xml:space="preserve"> </w:t>
      </w:r>
      <w:r>
        <w:t xml:space="preserve">development.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Bioinformatics Group, Ophthalmic Genetics &amp; Visual Function Branch, National Eye Institute, National Institutes of Health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Neurobiology, Neurodegeneration &amp; Repair Laboratory, National Eye Institute, National Institutes of Health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Medical Genetics and Ophthalmic Genomics Unit, National Eye Institute, National Institutes of Health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1">
        <w:r>
          <w:rPr>
            <w:rStyle w:val="Hyperlink"/>
          </w:rPr>
          <w:t xml:space="preserve">David McGaughey &lt;</w:t>
        </w:r>
        <w:hyperlink r:id="rId21">
          <w:r>
            <w:rPr>
              <w:rStyle w:val="Hyperlink"/>
              <w:rStyle w:val="Hyperlink"/>
            </w:rPr>
            <w:t xml:space="preserve">mcgaugheyd@mail.nih.gov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Heading1"/>
      </w:pPr>
      <w:bookmarkStart w:id="22" w:name="introduction"/>
      <w:r>
        <w:t xml:space="preserve">Introduction</w:t>
      </w:r>
      <w:bookmarkEnd w:id="22"/>
    </w:p>
    <w:p>
      <w:pPr>
        <w:pStyle w:val="Heading2"/>
      </w:pPr>
      <w:bookmarkStart w:id="23" w:name="many-published-ocular-atlases"/>
      <w:r>
        <w:t xml:space="preserve">Many published ocular atlases</w:t>
      </w:r>
      <w:bookmarkEnd w:id="23"/>
    </w:p>
    <w:p>
      <w:pPr>
        <w:pStyle w:val="Heading2"/>
      </w:pPr>
      <w:bookmarkStart w:id="24" w:name="several-have-accompanying-apps"/>
      <w:r>
        <w:t xml:space="preserve">Several have accompanying apps</w:t>
      </w:r>
      <w:bookmarkEnd w:id="24"/>
    </w:p>
    <w:p>
      <w:pPr>
        <w:pStyle w:val="Heading2"/>
      </w:pPr>
      <w:bookmarkStart w:id="25" w:name="X4d6edf2e3d472dd6393625dbc8b33ba47b3002f"/>
      <w:r>
        <w:t xml:space="preserve">Apps are generally slow and have minimal exploration tooling</w:t>
      </w:r>
      <w:bookmarkEnd w:id="25"/>
    </w:p>
    <w:p>
      <w:pPr>
        <w:pStyle w:val="Heading2"/>
      </w:pPr>
      <w:bookmarkStart w:id="26" w:name="X5c199d7a18f766b093816efb2e0c80d31711cd3"/>
      <w:r>
        <w:t xml:space="preserve">If validating / exploring a gene expression pattern, crucial to have reproducibility across disparate groups to enhance confidence that effect is biological</w:t>
      </w:r>
      <w:bookmarkEnd w:id="26"/>
    </w:p>
    <w:p>
      <w:pPr>
        <w:pStyle w:val="Heading2"/>
      </w:pPr>
      <w:bookmarkStart w:id="27" w:name="single-cell-datasets-getting-larger"/>
      <w:r>
        <w:t xml:space="preserve">Single cell datasets getting larger</w:t>
      </w:r>
      <w:bookmarkEnd w:id="27"/>
    </w:p>
    <w:p>
      <w:pPr>
        <w:pStyle w:val="FirstParagraph"/>
      </w:pPr>
      <w:r>
        <w:t xml:space="preserve">Valentine Svensson figure?</w:t>
      </w:r>
      <w:r>
        <w:t xml:space="preserve"> </w:t>
      </w:r>
      <w:r>
        <w:t xml:space="preserve">MOCA atlas (mouse 2e6 cells?)</w:t>
      </w:r>
    </w:p>
    <w:p>
      <w:pPr>
        <w:pStyle w:val="Heading2"/>
      </w:pPr>
      <w:bookmarkStart w:id="28" w:name="X27ca732923c2cb31653c0a59179c5222016c1ea"/>
      <w:r>
        <w:t xml:space="preserve">Thus crucial for algorithms to be highly performant</w:t>
      </w:r>
      <w:bookmarkEnd w:id="28"/>
    </w:p>
    <w:p>
      <w:pPr>
        <w:pStyle w:val="FirstParagraph"/>
      </w:pPr>
      <w:r>
        <w:t xml:space="preserve">Our multidimensional atlas of 1e6 cells will be a useful reference dataset in:</w:t>
      </w:r>
      <w:r>
        <w:t xml:space="preserve"> </w:t>
      </w:r>
      <w:r>
        <w:t xml:space="preserve">- batch effect correction tools</w:t>
      </w:r>
      <w:r>
        <w:t xml:space="preserve"> </w:t>
      </w:r>
      <w:r>
        <w:t xml:space="preserve">- clustering algorithms</w:t>
      </w:r>
      <w:r>
        <w:t xml:space="preserve"> </w:t>
      </w:r>
      <w:r>
        <w:t xml:space="preserve">- cell type prediction / projection</w:t>
      </w:r>
      <w:r>
        <w:t xml:space="preserve"> </w:t>
      </w:r>
      <w:r>
        <w:t xml:space="preserve">- trajectory inference</w:t>
      </w:r>
    </w:p>
    <w:p>
      <w:pPr>
        <w:pStyle w:val="Heading2"/>
      </w:pPr>
      <w:bookmarkStart w:id="29" w:name="what-we-did"/>
      <w:r>
        <w:t xml:space="preserve">What we did</w:t>
      </w:r>
      <w:bookmarkEnd w:id="29"/>
    </w:p>
    <w:p>
      <w:pPr>
        <w:pStyle w:val="FirstParagraph"/>
      </w:pPr>
      <w:r>
        <w:t xml:space="preserve">We have built an integrated meta-atlas that:</w:t>
      </w:r>
    </w:p>
    <w:p>
      <w:pPr>
        <w:pStyle w:val="BodyText"/>
      </w:pPr>
      <w:r>
        <w:t xml:space="preserve">Has a batch corrected lower dimensional space (8 dimensions) from scVI</w:t>
      </w:r>
    </w:p>
    <w:p>
      <w:pPr>
        <w:pStyle w:val="BodyText"/>
      </w:pPr>
      <w:r>
        <w:t xml:space="preserve">Curated pre-labelled cell types for &gt;400,000 cells.</w:t>
      </w:r>
    </w:p>
    <w:p>
      <w:pPr>
        <w:pStyle w:val="BodyText"/>
      </w:pPr>
      <w:r>
        <w:t xml:space="preserve">Projected these onto the unlabelled cells.</w:t>
      </w:r>
    </w:p>
    <w:p>
      <w:pPr>
        <w:pStyle w:val="BodyText"/>
      </w:pPr>
      <w:r>
        <w:t xml:space="preserve">Made 77 clusters</w:t>
      </w:r>
      <w:r>
        <w:t xml:space="preserve"> </w:t>
      </w:r>
      <w:r>
        <w:t xml:space="preserve">- subclustered each to create XX total clusters</w:t>
      </w:r>
    </w:p>
    <w:p>
      <w:pPr>
        <w:pStyle w:val="BodyText"/>
      </w:pPr>
      <w:r>
        <w:t xml:space="preserve">Pre-calculated pseudobulk differential expression testing in 9 different testing schemes:</w:t>
      </w:r>
    </w:p>
    <w:p>
      <w:pPr>
        <w:pStyle w:val="Heading2"/>
      </w:pPr>
      <w:bookmarkStart w:id="30" w:name="will-do"/>
      <w:r>
        <w:t xml:space="preserve">Will do???</w:t>
      </w:r>
      <w:bookmarkEnd w:id="30"/>
    </w:p>
    <w:p>
      <w:pPr>
        <w:pStyle w:val="FirstParagraph"/>
      </w:pPr>
      <w:r>
        <w:t xml:space="preserve">Trajectory</w:t>
      </w:r>
    </w:p>
    <w:p>
      <w:pPr>
        <w:pStyle w:val="BodyText"/>
      </w:pPr>
      <w:r>
        <w:t xml:space="preserve">Velocity</w:t>
      </w:r>
    </w:p>
    <w:p>
      <w:pPr>
        <w:pStyle w:val="Heading1"/>
      </w:pPr>
      <w:bookmarkStart w:id="31" w:name="methods"/>
      <w:r>
        <w:t xml:space="preserve">Methods</w:t>
      </w:r>
      <w:bookmarkEnd w:id="31"/>
    </w:p>
    <w:p>
      <w:pPr>
        <w:pStyle w:val="Heading2"/>
      </w:pPr>
      <w:bookmarkStart w:id="32" w:name="identify-ocular-scrna-studies"/>
      <w:r>
        <w:t xml:space="preserve">Identify ocular scRNA studies</w:t>
      </w:r>
      <w:bookmarkEnd w:id="32"/>
    </w:p>
    <w:p>
      <w:pPr>
        <w:pStyle w:val="FirstParagraph"/>
      </w:pPr>
      <w:r>
        <w:t xml:space="preserve">SRA</w:t>
      </w:r>
      <w:r>
        <w:t xml:space="preserve"> </w:t>
      </w:r>
      <w:r>
        <w:t xml:space="preserve">EBI</w:t>
      </w:r>
      <w:r>
        <w:t xml:space="preserve"> </w:t>
      </w:r>
      <w:r>
        <w:t xml:space="preserve">Pubmed</w:t>
      </w:r>
      <w:r>
        <w:t xml:space="preserve"> </w:t>
      </w:r>
      <w:r>
        <w:t xml:space="preserve">Found 18 (?) studies</w:t>
      </w:r>
    </w:p>
    <w:p>
      <w:pPr>
        <w:pStyle w:val="Heading2"/>
      </w:pPr>
      <w:bookmarkStart w:id="33" w:name="pan-mouse-as-non-ocular-reference"/>
      <w:r>
        <w:t xml:space="preserve">pan mouse as non-ocular reference</w:t>
      </w:r>
      <w:bookmarkEnd w:id="33"/>
    </w:p>
    <w:p>
      <w:pPr>
        <w:pStyle w:val="FirstParagraph"/>
      </w:pPr>
      <w:r>
        <w:t xml:space="preserve">Tabula Muris</w:t>
      </w:r>
    </w:p>
    <w:p>
      <w:pPr>
        <w:pStyle w:val="Heading2"/>
      </w:pPr>
      <w:bookmarkStart w:id="34" w:name="quantification"/>
      <w:r>
        <w:t xml:space="preserve">Quantification</w:t>
      </w:r>
      <w:bookmarkEnd w:id="34"/>
    </w:p>
    <w:p>
      <w:pPr>
        <w:pStyle w:val="FirstParagraph"/>
      </w:pPr>
      <w:r>
        <w:t xml:space="preserve">kallisto/bustools</w:t>
      </w:r>
    </w:p>
    <w:p>
      <w:pPr>
        <w:pStyle w:val="Heading2"/>
      </w:pPr>
      <w:bookmarkStart w:id="35" w:name="batch-normalization"/>
      <w:r>
        <w:t xml:space="preserve">Batch normalization</w:t>
      </w:r>
      <w:bookmarkEnd w:id="35"/>
    </w:p>
    <w:p>
      <w:pPr>
        <w:pStyle w:val="FirstParagraph"/>
      </w:pPr>
      <w:r>
        <w:t xml:space="preserve">Tested:</w:t>
      </w:r>
      <w:r>
        <w:t xml:space="preserve"> </w:t>
      </w:r>
      <w:r>
        <w:t xml:space="preserve">- scVI</w:t>
      </w:r>
      <w:r>
        <w:t xml:space="preserve"> </w:t>
      </w:r>
      <w:r>
        <w:t xml:space="preserve">- CCA</w:t>
      </w:r>
      <w:r>
        <w:t xml:space="preserve"> </w:t>
      </w:r>
      <w:r>
        <w:t xml:space="preserve">- insct</w:t>
      </w:r>
      <w:r>
        <w:t xml:space="preserve"> </w:t>
      </w:r>
      <w:r>
        <w:t xml:space="preserve">- combat</w:t>
      </w:r>
      <w:r>
        <w:t xml:space="preserve"> </w:t>
      </w:r>
      <w:r>
        <w:t xml:space="preserve">- nothing</w:t>
      </w:r>
      <w:r>
        <w:t xml:space="preserve"> </w:t>
      </w:r>
      <w:r>
        <w:t xml:space="preserve">- magic</w:t>
      </w:r>
      <w:r>
        <w:t xml:space="preserve"> </w:t>
      </w:r>
      <w:r>
        <w:t xml:space="preserve">- scanorama</w:t>
      </w:r>
      <w:r>
        <w:t xml:space="preserve"> </w:t>
      </w:r>
      <w:r>
        <w:t xml:space="preserve">- harmony</w:t>
      </w:r>
      <w:r>
        <w:t xml:space="preserve"> </w:t>
      </w:r>
      <w:r>
        <w:t xml:space="preserve">- fastMNN</w:t>
      </w:r>
    </w:p>
    <w:p>
      <w:pPr>
        <w:pStyle w:val="Heading2"/>
      </w:pPr>
      <w:bookmarkStart w:id="36" w:name="grid-search-to-pick-optimal-parameters"/>
      <w:r>
        <w:t xml:space="preserve">Grid search to pick optimal parameters</w:t>
      </w:r>
      <w:bookmarkEnd w:id="36"/>
    </w:p>
    <w:p>
      <w:pPr>
        <w:pStyle w:val="FirstParagraph"/>
      </w:pPr>
      <w:r>
        <w:t xml:space="preserve">Varied:</w:t>
      </w:r>
      <w:r>
        <w:t xml:space="preserve"> </w:t>
      </w:r>
      <w:r>
        <w:t xml:space="preserve">- number of Hyper Variable Genes (HVG): 1000, 2000,5000,1000</w:t>
      </w:r>
      <w:r>
        <w:t xml:space="preserve"> </w:t>
      </w:r>
      <w:r>
        <w:t xml:space="preserve">- dims: 4,6,8,10,20,30,50,100</w:t>
      </w:r>
      <w:r>
        <w:t xml:space="preserve"> </w:t>
      </w:r>
      <w:r>
        <w:t xml:space="preserve">- normalization: scran, seurat standard, libSize, sqrt, counts (scVI only)</w:t>
      </w:r>
      <w:r>
        <w:t xml:space="preserve"> </w:t>
      </w:r>
      <w:r>
        <w:t xml:space="preserve">- nneighbors (UMAP viz only)</w:t>
      </w:r>
      <w:r>
        <w:t xml:space="preserve"> </w:t>
      </w:r>
      <w:r>
        <w:t xml:space="preserve">- knn: 5,7,10 (clustering)</w:t>
      </w:r>
    </w:p>
    <w:p>
      <w:pPr>
        <w:pStyle w:val="BodyText"/>
      </w:pPr>
      <w:r>
        <w:t xml:space="preserve">benchmarked with:</w:t>
      </w:r>
      <w:r>
        <w:t xml:space="preserve"> </w:t>
      </w:r>
      <w:r>
        <w:t xml:space="preserve">- LISI</w:t>
      </w:r>
      <w:r>
        <w:t xml:space="preserve"> </w:t>
      </w:r>
      <w:r>
        <w:t xml:space="preserve">- ARI</w:t>
      </w:r>
      <w:r>
        <w:t xml:space="preserve"> </w:t>
      </w:r>
      <w:r>
        <w:t xml:space="preserve">- Silhouette</w:t>
      </w:r>
      <w:r>
        <w:t xml:space="preserve"> </w:t>
      </w:r>
      <w:r>
        <w:t xml:space="preserve">- PCA variance explained before/after correction</w:t>
      </w:r>
    </w:p>
    <w:p>
      <w:pPr>
        <w:pStyle w:val="Heading2"/>
      </w:pPr>
      <w:bookmarkStart w:id="37" w:name="clustering"/>
      <w:r>
        <w:t xml:space="preserve">Clustering</w:t>
      </w:r>
      <w:bookmarkEnd w:id="37"/>
    </w:p>
    <w:p>
      <w:pPr>
        <w:pStyle w:val="FirstParagraph"/>
      </w:pPr>
      <w:r>
        <w:t xml:space="preserve">Louvain-jaccard from Seurat</w:t>
      </w:r>
    </w:p>
    <w:p>
      <w:pPr>
        <w:pStyle w:val="Heading2"/>
      </w:pPr>
      <w:bookmarkStart w:id="38" w:name="section"/>
      <w:bookmarkEnd w:id="38"/>
    </w:p>
    <w:p>
      <w:pPr>
        <w:pStyle w:val="Heading1"/>
      </w:pPr>
      <w:bookmarkStart w:id="39" w:name="results"/>
      <w:r>
        <w:t xml:space="preserve">Results</w:t>
      </w:r>
      <w:bookmarkEnd w:id="39"/>
    </w:p>
    <w:p>
      <w:pPr>
        <w:pStyle w:val="Heading2"/>
      </w:pPr>
      <w:bookmarkStart w:id="40" w:name="X4c956d62e610c3c4bbaf8fa6c8f5fe3883e333a"/>
      <w:r>
        <w:t xml:space="preserve">pseudobulk differential expression testing</w:t>
      </w:r>
      <w:bookmarkEnd w:id="40"/>
    </w:p>
    <w:p>
      <w:pPr>
        <w:pStyle w:val="Compact"/>
        <w:numPr>
          <w:numId w:val="1001"/>
          <w:ilvl w:val="0"/>
        </w:numPr>
      </w:pPr>
      <w:r>
        <w:t xml:space="preserve">celltype (published) against remaining</w:t>
      </w:r>
    </w:p>
    <w:p>
      <w:pPr>
        <w:pStyle w:val="Compact"/>
        <w:numPr>
          <w:numId w:val="1001"/>
          <w:ilvl w:val="0"/>
        </w:numPr>
      </w:pPr>
      <w:r>
        <w:t xml:space="preserve">celltype (published) pairwise against celltype (published)</w:t>
      </w:r>
    </w:p>
    <w:p>
      <w:pPr>
        <w:pStyle w:val="Compact"/>
        <w:numPr>
          <w:numId w:val="1001"/>
          <w:ilvl w:val="0"/>
        </w:numPr>
      </w:pPr>
      <w:r>
        <w:t xml:space="preserve">species specific within celltype</w:t>
      </w:r>
    </w:p>
    <w:p>
      <w:pPr>
        <w:pStyle w:val="Compact"/>
        <w:numPr>
          <w:numId w:val="1001"/>
          <w:ilvl w:val="0"/>
        </w:numPr>
      </w:pPr>
      <w:r>
        <w:t xml:space="preserve">same for celltype (projected)</w:t>
      </w:r>
    </w:p>
    <w:p>
      <w:pPr>
        <w:pStyle w:val="Compact"/>
        <w:numPr>
          <w:numId w:val="1001"/>
          <w:ilvl w:val="0"/>
        </w:numPr>
      </w:pPr>
      <w:r>
        <w:t xml:space="preserve">same for cluster</w:t>
      </w:r>
    </w:p>
    <w:p>
      <w:pPr>
        <w:pStyle w:val="Heading1"/>
      </w:pPr>
      <w:bookmarkStart w:id="41" w:name="conclusion"/>
      <w:r>
        <w:t xml:space="preserve">Conclusion</w:t>
      </w:r>
      <w:bookmarkEnd w:id="41"/>
    </w:p>
    <w:sectPr w:rsidR="00F30F97" w:rsidSect="00547DD7">
      <w:footerReference w:type="even" r:id="rId10"/>
      <w:footerReference w:type="default" r:id="rId9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27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nux Libertine O">
    <w:panose1 w:val="02000503000000000000"/>
    <w:charset w:val="00"/>
    <w:family w:val="auto"/>
    <w:notTrueType/>
    <w:pitch w:val="variable"/>
    <w:sig w:usb0="E0000AFF" w:usb1="5200E5FB" w:usb2="02000020" w:usb3="00000000" w:csb0="000001B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669859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FF2994E" w14:textId="556C0816" w:rsidR="00547DD7" w:rsidRDefault="00547DD7" w:rsidP="0061563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6A26B13" w14:textId="77777777" w:rsidR="00547DD7" w:rsidRDefault="00547DD7" w:rsidP="00547DD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847097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5E6A88" w14:textId="6E9F1099" w:rsidR="00547DD7" w:rsidRDefault="00547DD7" w:rsidP="0061563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42AADE8" w14:textId="77777777" w:rsidR="00547DD7" w:rsidRDefault="00547DD7" w:rsidP="00547DD7">
    <w:pPr>
      <w:pStyle w:val="Footer"/>
      <w:ind w:right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E889967"/>
    <w:multiLevelType w:val="multilevel"/>
    <w:tmpl w:val="9CD87E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EFE48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921016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43AA270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AB321A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093EE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8AA442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1214DA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E6C263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830E1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5614A6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7E1A07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F230A"/>
    <w:rPr>
      <w:rFonts w:ascii="Linux Libertine O" w:hAnsi="Linux Libertine O" w:cs="Times New Roman (Body CS)"/>
      <w:kern w:val="20"/>
      <w:sz w:val="20"/>
      <w14:ligatures w14:val="standardContextual"/>
      <w14:numForm w14:val="oldStyle"/>
    </w:rPr>
  </w:style>
  <w:style w:type="paragraph" w:styleId="Heading1">
    <w:name w:val="heading 1"/>
    <w:basedOn w:val="Normal"/>
    <w:next w:val="BodyText"/>
    <w:uiPriority w:val="9"/>
    <w:qFormat/>
    <w:rsid w:val="00FA324C"/>
    <w:pPr>
      <w:keepNext/>
      <w:keepLines/>
      <w:spacing w:before="480" w:after="0" w:line="480" w:lineRule="auto"/>
      <w:outlineLvl w:val="0"/>
    </w:pPr>
    <w:rPr>
      <w:rFonts w:eastAsiaTheme="majorEastAsia" w:cs="Times New Roman (Headings CS)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96E49"/>
    <w:pPr>
      <w:keepNext/>
      <w:keepLines/>
      <w:spacing w:before="200" w:after="0"/>
      <w:outlineLvl w:val="1"/>
    </w:pPr>
    <w:rPr>
      <w:rFonts w:eastAsiaTheme="majorEastAsia" w:cs="Times New Roman (Headings CS)"/>
      <w:b/>
      <w:bCs/>
      <w:color w:val="000000" w:themeColor="text1"/>
      <w:sz w:val="24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1707D"/>
    <w:pPr>
      <w:spacing w:before="180" w:after="180" w:line="480" w:lineRule="auto"/>
      <w:ind w:firstLine="720"/>
      <w:jc w:val="both"/>
    </w:pPr>
    <w:rPr>
      <w:color w:val="000000" w:themeColor="text1"/>
    </w:rPr>
  </w:style>
  <w:style w:type="paragraph" w:customStyle="1" w:styleId="FirstParagraph">
    <w:name w:val="First Paragraph"/>
    <w:basedOn w:val="BodyText"/>
    <w:next w:val="BodyText"/>
    <w:qFormat/>
    <w:rsid w:val="00346440"/>
    <w:pPr>
      <w:contextualSpacing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0D7A0E"/>
    <w:pPr>
      <w:keepNext/>
      <w:keepLines/>
      <w:spacing w:before="480" w:after="240"/>
      <w:jc w:val="center"/>
    </w:pPr>
    <w:rPr>
      <w:rFonts w:eastAsiaTheme="majorEastAsia" w:cs="Times New Roman (Headings CS)"/>
      <w:bCs/>
      <w:i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0D7A0E"/>
    <w:pPr>
      <w:keepNext/>
      <w:keepLines/>
      <w:jc w:val="center"/>
    </w:pPr>
    <w:rPr>
      <w:rFonts w:ascii="Linux Libertine O" w:hAnsi="Linux Libertine O" w:cs="Times New Roman (Body CS)"/>
      <w:color w:val="000000" w:themeColor="text1"/>
      <w:kern w:val="20"/>
      <w14:ligatures w14:val="standardContextual"/>
      <w14:numForm w14:val="oldStyle"/>
    </w:rPr>
  </w:style>
  <w:style w:type="paragraph" w:styleId="Date">
    <w:name w:val="Date"/>
    <w:next w:val="BodyText"/>
    <w:qFormat/>
    <w:rsid w:val="000D7A0E"/>
    <w:pPr>
      <w:keepNext/>
      <w:keepLines/>
      <w:jc w:val="center"/>
    </w:pPr>
    <w:rPr>
      <w:rFonts w:ascii="Linux Libertine O" w:hAnsi="Linux Libertine O" w:cs="Times New Roman (Body CS)"/>
      <w:color w:val="000000" w:themeColor="text1"/>
      <w:kern w:val="20"/>
      <w14:ligatures w14:val="standardContextual"/>
      <w14:numForm w14:val="oldStyle"/>
    </w:rPr>
  </w:style>
  <w:style w:type="paragraph" w:customStyle="1" w:styleId="Abstract">
    <w:name w:val="Abstract"/>
    <w:basedOn w:val="Normal"/>
    <w:next w:val="BodyText"/>
    <w:qFormat/>
    <w:rsid w:val="00396E49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F30F97"/>
    <w:pPr>
      <w:spacing w:line="480" w:lineRule="auto"/>
      <w:jc w:val="both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0D7A0E"/>
    <w:rPr>
      <w:rFonts w:ascii="Courier" w:hAnsi="Courier" w:cs="Times New Roman (Body CS)"/>
      <w:color w:val="000000" w:themeColor="text1"/>
      <w:kern w:val="20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0D7A0E"/>
    <w:pPr>
      <w:shd w:val="clear" w:color="auto" w:fill="F8F8F8"/>
      <w:wordWrap w:val="0"/>
    </w:pPr>
    <w:rPr>
      <w:rFonts w:ascii="Courier" w:hAnsi="Courier"/>
      <w:color w:val="000000" w:themeColor="text1"/>
    </w:rPr>
  </w:style>
  <w:style w:type="character" w:customStyle="1" w:styleId="KeywordTok">
    <w:name w:val="KeywordTok"/>
    <w:basedOn w:val="VerbatimChar"/>
    <w:rsid w:val="000D7A0E"/>
    <w:rPr>
      <w:rFonts w:ascii="Courier" w:hAnsi="Courier" w:cs="Times New Roman (Body CS)"/>
      <w:b/>
      <w:color w:val="000000" w:themeColor="text1"/>
      <w:kern w:val="20"/>
      <w:shd w:val="clear" w:color="auto" w:fill="F8F8F8"/>
    </w:rPr>
  </w:style>
  <w:style w:type="character" w:customStyle="1" w:styleId="DataTypeTok">
    <w:name w:val="DataTypeTok"/>
    <w:basedOn w:val="VerbatimChar"/>
    <w:rPr>
      <w:rFonts w:ascii="Courier" w:hAnsi="Courier" w:cs="Times New Roman (Body CS)"/>
      <w:color w:val="204A87"/>
      <w:kern w:val="20"/>
      <w:shd w:val="clear" w:color="auto" w:fill="F8F8F8"/>
    </w:rPr>
  </w:style>
  <w:style w:type="character" w:customStyle="1" w:styleId="DecValTok">
    <w:name w:val="DecValTok"/>
    <w:basedOn w:val="VerbatimChar"/>
    <w:rPr>
      <w:rFonts w:ascii="Courier" w:hAnsi="Courier" w:cs="Times New Roman (Body CS)"/>
      <w:color w:val="0000CF"/>
      <w:kern w:val="20"/>
      <w:shd w:val="clear" w:color="auto" w:fill="F8F8F8"/>
    </w:rPr>
  </w:style>
  <w:style w:type="character" w:customStyle="1" w:styleId="BaseNTok">
    <w:name w:val="BaseNTok"/>
    <w:basedOn w:val="VerbatimChar"/>
    <w:rPr>
      <w:rFonts w:ascii="Courier" w:hAnsi="Courier" w:cs="Times New Roman (Body CS)"/>
      <w:color w:val="0000CF"/>
      <w:kern w:val="20"/>
      <w:shd w:val="clear" w:color="auto" w:fill="F8F8F8"/>
    </w:rPr>
  </w:style>
  <w:style w:type="character" w:customStyle="1" w:styleId="FloatTok">
    <w:name w:val="FloatTok"/>
    <w:basedOn w:val="VerbatimChar"/>
    <w:rPr>
      <w:rFonts w:ascii="Courier" w:hAnsi="Courier" w:cs="Times New Roman (Body CS)"/>
      <w:color w:val="0000CF"/>
      <w:kern w:val="20"/>
      <w:shd w:val="clear" w:color="auto" w:fill="F8F8F8"/>
    </w:rPr>
  </w:style>
  <w:style w:type="character" w:customStyle="1" w:styleId="ConstantTok">
    <w:name w:val="ConstantTok"/>
    <w:basedOn w:val="VerbatimChar"/>
    <w:rPr>
      <w:rFonts w:ascii="Courier" w:hAnsi="Courier" w:cs="Times New Roman (Body CS)"/>
      <w:color w:val="000000"/>
      <w:kern w:val="20"/>
      <w:shd w:val="clear" w:color="auto" w:fill="F8F8F8"/>
    </w:rPr>
  </w:style>
  <w:style w:type="character" w:customStyle="1" w:styleId="CharTok">
    <w:name w:val="CharTok"/>
    <w:basedOn w:val="VerbatimChar"/>
    <w:rPr>
      <w:rFonts w:ascii="Courier" w:hAnsi="Courier" w:cs="Times New Roman (Body CS)"/>
      <w:color w:val="4E9A06"/>
      <w:kern w:val="20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urier" w:hAnsi="Courier" w:cs="Times New Roman (Body CS)"/>
      <w:color w:val="000000"/>
      <w:kern w:val="20"/>
      <w:shd w:val="clear" w:color="auto" w:fill="F8F8F8"/>
    </w:rPr>
  </w:style>
  <w:style w:type="character" w:customStyle="1" w:styleId="StringTok">
    <w:name w:val="StringTok"/>
    <w:basedOn w:val="VerbatimChar"/>
    <w:rPr>
      <w:rFonts w:ascii="Courier" w:hAnsi="Courier" w:cs="Times New Roman (Body CS)"/>
      <w:color w:val="4E9A06"/>
      <w:kern w:val="20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urier" w:hAnsi="Courier" w:cs="Times New Roman (Body CS)"/>
      <w:color w:val="4E9A06"/>
      <w:kern w:val="20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urier" w:hAnsi="Courier" w:cs="Times New Roman (Body CS)"/>
      <w:color w:val="4E9A06"/>
      <w:kern w:val="20"/>
      <w:shd w:val="clear" w:color="auto" w:fill="F8F8F8"/>
    </w:rPr>
  </w:style>
  <w:style w:type="character" w:customStyle="1" w:styleId="ImportTok">
    <w:name w:val="ImportTok"/>
    <w:basedOn w:val="VerbatimChar"/>
    <w:rPr>
      <w:rFonts w:ascii="Courier" w:hAnsi="Courier" w:cs="Times New Roman (Body CS)"/>
      <w:color w:val="000000" w:themeColor="text1"/>
      <w:kern w:val="20"/>
      <w:shd w:val="clear" w:color="auto" w:fill="F8F8F8"/>
    </w:rPr>
  </w:style>
  <w:style w:type="character" w:customStyle="1" w:styleId="CommentTok">
    <w:name w:val="CommentTok"/>
    <w:basedOn w:val="VerbatimChar"/>
    <w:rPr>
      <w:rFonts w:ascii="Courier" w:hAnsi="Courier" w:cs="Times New Roman (Body CS)"/>
      <w:i/>
      <w:color w:val="8F5902"/>
      <w:kern w:val="20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urier" w:hAnsi="Courier" w:cs="Times New Roman (Body CS)"/>
      <w:b/>
      <w:i/>
      <w:color w:val="8F5902"/>
      <w:kern w:val="20"/>
      <w:shd w:val="clear" w:color="auto" w:fill="F8F8F8"/>
    </w:rPr>
  </w:style>
  <w:style w:type="character" w:customStyle="1" w:styleId="AnnotationTok">
    <w:name w:val="AnnotationTok"/>
    <w:basedOn w:val="VerbatimChar"/>
    <w:rPr>
      <w:rFonts w:ascii="Courier" w:hAnsi="Courier" w:cs="Times New Roman (Body CS)"/>
      <w:b/>
      <w:i/>
      <w:color w:val="8F5902"/>
      <w:kern w:val="20"/>
      <w:shd w:val="clear" w:color="auto" w:fill="F8F8F8"/>
    </w:rPr>
  </w:style>
  <w:style w:type="character" w:customStyle="1" w:styleId="CommentVarTok">
    <w:name w:val="CommentVarTok"/>
    <w:basedOn w:val="VerbatimChar"/>
    <w:rPr>
      <w:rFonts w:ascii="Courier" w:hAnsi="Courier" w:cs="Times New Roman (Body CS)"/>
      <w:b/>
      <w:i/>
      <w:color w:val="8F5902"/>
      <w:kern w:val="20"/>
      <w:shd w:val="clear" w:color="auto" w:fill="F8F8F8"/>
    </w:rPr>
  </w:style>
  <w:style w:type="character" w:customStyle="1" w:styleId="OtherTok">
    <w:name w:val="OtherTok"/>
    <w:basedOn w:val="VerbatimChar"/>
    <w:rPr>
      <w:rFonts w:ascii="Courier" w:hAnsi="Courier" w:cs="Times New Roman (Body CS)"/>
      <w:color w:val="8F5902"/>
      <w:kern w:val="20"/>
      <w:shd w:val="clear" w:color="auto" w:fill="F8F8F8"/>
    </w:rPr>
  </w:style>
  <w:style w:type="character" w:customStyle="1" w:styleId="FunctionTok">
    <w:name w:val="FunctionTok"/>
    <w:basedOn w:val="VerbatimChar"/>
    <w:rPr>
      <w:rFonts w:ascii="Courier" w:hAnsi="Courier" w:cs="Times New Roman (Body CS)"/>
      <w:color w:val="000000"/>
      <w:kern w:val="20"/>
      <w:shd w:val="clear" w:color="auto" w:fill="F8F8F8"/>
    </w:rPr>
  </w:style>
  <w:style w:type="character" w:customStyle="1" w:styleId="VariableTok">
    <w:name w:val="VariableTok"/>
    <w:basedOn w:val="VerbatimChar"/>
    <w:rPr>
      <w:rFonts w:ascii="Courier" w:hAnsi="Courier" w:cs="Times New Roman (Body CS)"/>
      <w:color w:val="000000"/>
      <w:kern w:val="20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urier" w:hAnsi="Courier" w:cs="Times New Roman (Body CS)"/>
      <w:b/>
      <w:color w:val="204A87"/>
      <w:kern w:val="20"/>
      <w:shd w:val="clear" w:color="auto" w:fill="F8F8F8"/>
    </w:rPr>
  </w:style>
  <w:style w:type="character" w:customStyle="1" w:styleId="OperatorTok">
    <w:name w:val="OperatorTok"/>
    <w:basedOn w:val="VerbatimChar"/>
    <w:rPr>
      <w:rFonts w:ascii="Courier" w:hAnsi="Courier" w:cs="Times New Roman (Body CS)"/>
      <w:b/>
      <w:color w:val="CE5C00"/>
      <w:kern w:val="20"/>
      <w:shd w:val="clear" w:color="auto" w:fill="F8F8F8"/>
    </w:rPr>
  </w:style>
  <w:style w:type="character" w:customStyle="1" w:styleId="BuiltInTok">
    <w:name w:val="BuiltInTok"/>
    <w:basedOn w:val="VerbatimChar"/>
    <w:rPr>
      <w:rFonts w:ascii="Courier" w:hAnsi="Courier" w:cs="Times New Roman (Body CS)"/>
      <w:color w:val="000000" w:themeColor="text1"/>
      <w:kern w:val="20"/>
      <w:shd w:val="clear" w:color="auto" w:fill="F8F8F8"/>
    </w:rPr>
  </w:style>
  <w:style w:type="character" w:customStyle="1" w:styleId="ExtensionTok">
    <w:name w:val="ExtensionTok"/>
    <w:basedOn w:val="VerbatimChar"/>
    <w:rPr>
      <w:rFonts w:ascii="Courier" w:hAnsi="Courier" w:cs="Times New Roman (Body CS)"/>
      <w:color w:val="000000" w:themeColor="text1"/>
      <w:kern w:val="20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urier" w:hAnsi="Courier" w:cs="Times New Roman (Body CS)"/>
      <w:i/>
      <w:color w:val="8F5902"/>
      <w:kern w:val="20"/>
      <w:shd w:val="clear" w:color="auto" w:fill="F8F8F8"/>
    </w:rPr>
  </w:style>
  <w:style w:type="character" w:customStyle="1" w:styleId="AttributeTok">
    <w:name w:val="AttributeTok"/>
    <w:basedOn w:val="VerbatimChar"/>
    <w:rPr>
      <w:rFonts w:ascii="Courier" w:hAnsi="Courier" w:cs="Times New Roman (Body CS)"/>
      <w:color w:val="C4A000"/>
      <w:kern w:val="20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urier" w:hAnsi="Courier" w:cs="Times New Roman (Body CS)"/>
      <w:color w:val="000000" w:themeColor="text1"/>
      <w:kern w:val="20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urier" w:hAnsi="Courier" w:cs="Times New Roman (Body CS)"/>
      <w:b/>
      <w:i/>
      <w:color w:val="8F5902"/>
      <w:kern w:val="20"/>
      <w:shd w:val="clear" w:color="auto" w:fill="F8F8F8"/>
    </w:rPr>
  </w:style>
  <w:style w:type="character" w:customStyle="1" w:styleId="WarningTok">
    <w:name w:val="WarningTok"/>
    <w:basedOn w:val="VerbatimChar"/>
    <w:rPr>
      <w:rFonts w:ascii="Courier" w:hAnsi="Courier" w:cs="Times New Roman (Body CS)"/>
      <w:b/>
      <w:i/>
      <w:color w:val="8F5902"/>
      <w:kern w:val="20"/>
      <w:shd w:val="clear" w:color="auto" w:fill="F8F8F8"/>
    </w:rPr>
  </w:style>
  <w:style w:type="character" w:customStyle="1" w:styleId="AlertTok">
    <w:name w:val="AlertTok"/>
    <w:basedOn w:val="VerbatimChar"/>
    <w:rPr>
      <w:rFonts w:ascii="Courier" w:hAnsi="Courier" w:cs="Times New Roman (Body CS)"/>
      <w:color w:val="EF2929"/>
      <w:kern w:val="20"/>
      <w:shd w:val="clear" w:color="auto" w:fill="F8F8F8"/>
    </w:rPr>
  </w:style>
  <w:style w:type="character" w:customStyle="1" w:styleId="ErrorTok">
    <w:name w:val="ErrorTok"/>
    <w:basedOn w:val="VerbatimChar"/>
    <w:rPr>
      <w:rFonts w:ascii="Courier" w:hAnsi="Courier" w:cs="Times New Roman (Body CS)"/>
      <w:b/>
      <w:color w:val="A40000"/>
      <w:kern w:val="20"/>
      <w:shd w:val="clear" w:color="auto" w:fill="F8F8F8"/>
    </w:rPr>
  </w:style>
  <w:style w:type="character" w:customStyle="1" w:styleId="NormalTok">
    <w:name w:val="NormalTok"/>
    <w:basedOn w:val="VerbatimChar"/>
    <w:rPr>
      <w:rFonts w:ascii="Courier" w:hAnsi="Courier" w:cs="Times New Roman (Body CS)"/>
      <w:color w:val="000000" w:themeColor="text1"/>
      <w:kern w:val="20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01707D"/>
    <w:rPr>
      <w:rFonts w:ascii="Linux Libertine O" w:hAnsi="Linux Libertine O" w:cs="Times New Roman (Body CS)"/>
      <w:color w:val="000000" w:themeColor="text1"/>
      <w:kern w:val="20"/>
      <w14:ligatures w14:val="standardContextual"/>
      <w14:numForm w14:val="oldStyle"/>
    </w:rPr>
  </w:style>
  <w:style w:type="character" w:styleId="FollowedHyperlink">
    <w:name w:val="FollowedHyperlink"/>
    <w:basedOn w:val="DefaultParagraphFont"/>
    <w:semiHidden/>
    <w:unhideWhenUsed/>
    <w:rsid w:val="00346440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nhideWhenUsed/>
    <w:rsid w:val="00547DD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47DD7"/>
    <w:rPr>
      <w:rFonts w:ascii="Linux Libertine O" w:hAnsi="Linux Libertine O" w:cs="Times New Roman (Body CS)"/>
      <w:kern w:val="20"/>
      <w:sz w:val="20"/>
      <w14:ligatures w14:val="standardContextual"/>
      <w14:numForm w14:val="oldStyle"/>
    </w:rPr>
  </w:style>
  <w:style w:type="character" w:styleId="PageNumber">
    <w:name w:val="page number"/>
    <w:basedOn w:val="DefaultParagraphFont"/>
    <w:semiHidden/>
    <w:unhideWhenUsed/>
    <w:rsid w:val="00547DD7"/>
  </w:style>
  <w:style w:type="character" w:styleId="LineNumber">
    <w:name w:val="line number"/>
    <w:basedOn w:val="DefaultParagraphFont"/>
    <w:semiHidden/>
    <w:unhideWhenUsed/>
    <w:rsid w:val="00547D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2.xml" /><Relationship Id="rId10" Type="http://schemas.openxmlformats.org/officeDocument/2006/relationships/footer" Target="footer1.xml" /><Relationship Type="http://schemas.openxmlformats.org/officeDocument/2006/relationships/hyperlink" Id="rId20" Target="https://plae.nei.nih.gov" TargetMode="External" /><Relationship Type="http://schemas.openxmlformats.org/officeDocument/2006/relationships/hyperlink" Id="rId21" Target="mailto:mcgaugheyd@mail.nih.go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plae.nei.nih.gov" TargetMode="External" /><Relationship Type="http://schemas.openxmlformats.org/officeDocument/2006/relationships/hyperlink" Id="rId21" Target="mailto:mcgaugheyd@mail.nih.g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Eye on a Disk: eyeIntegration version 1.00</vt:lpstr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Integrated Ocular Million Single Cell Meta-Atlas for Discovery and Development</dc:title>
  <dc:creator>Vinay Swamy1, Zachary Batz2, Temesgen Fufa3, Robert Hufnagel3, and David McGaughey1,✉</dc:creator>
  <cp:keywords/>
  <dcterms:created xsi:type="dcterms:W3CDTF">2020-08-03T15:26:55Z</dcterms:created>
  <dcterms:modified xsi:type="dcterms:W3CDTF">2020-08-03T15:26:55Z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PURPOSE: To curate a accessible and reliable ocular cell-type specific transcriptome dataset of over one million normal vertebrate ocular cell types with a matching high performance reactive web application to query gene expression across cell type, species, study, and other factors. METHODS: We queried several public repositories to find eighteen healthy, non-perturbed, ocular tissue single cell RNA-seq studies As a non-ocular reference, we also used the pan-mouse Tabula Muris resource. The XX ocular and XX Tabula Muris cells were sent into a Snakemake-based reproducible pipeline we wrote to quantify transcripts, remove cells with poor quality, normalize expression values, create a batch-corrected low dimensional space, performs XX differential expression tests, and outputs all as a single SQLite database file: the Single Cell Eye in a Disk (scEiaD) dataset. XXX thousand published cell labels assignments were curated and a machine learning projected onto the non-labelled cells. Furthermore, we wrote the web application PLAE (https://plae.nei.nih.gov) to display scEiaD. RESULTS: The new portal provides quick visualization of vertebrate eye-related transcriptomes published to date by gene/transcript, XX cell types, XX ocular tissues, XX body tissues. As a test of the value of this unified pan-eye dataset, we showed XX. CONCLUSION: The PLAE v1.0 web app serves the pan-ocular and body dataset, scEiaD. This offers the eye community a powerful and quick means to test hypotheses on human gene and transcript expression across 54 body and 19 eye tissues. Futhermore the XXX labelled cells across XX studies, X techologies, and 3 species provides a highly challenging benchmarking resource for single cell algorithm development.</vt:lpwstr>
  </property>
  <property fmtid="{D5CDD505-2E9C-101B-9397-08002B2CF9AE}" pid="3" name="bibliography">
    <vt:lpwstr>massive_integrated_eye_scRNA.bib</vt:lpwstr>
  </property>
  <property fmtid="{D5CDD505-2E9C-101B-9397-08002B2CF9AE}" pid="4" name="csl">
    <vt:lpwstr>investigative-ophthalmology-and-visual-science.csl</vt:lpwstr>
  </property>
  <property fmtid="{D5CDD505-2E9C-101B-9397-08002B2CF9AE}" pid="5" name="date">
    <vt:lpwstr>August 03, 2020</vt:lpwstr>
  </property>
  <property fmtid="{D5CDD505-2E9C-101B-9397-08002B2CF9AE}" pid="6" name="output">
    <vt:lpwstr/>
  </property>
</Properties>
</file>