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Talent Engine – Foundational AI Automation Guarantee</w:t>
      </w:r>
    </w:p>
    <w:p>
      <w:r>
        <w:br/>
        <w:t>This document certifies that the custom AI Talent Engine – Signal Intelligence GPT, created and maintained by L. David Mendoza © 2025, now includes a fully autonomous system for the evaluation and calibration of Foundational and Frontier AI Scientists.</w:t>
        <w:br/>
      </w:r>
    </w:p>
    <w:p>
      <w:pPr>
        <w:pStyle w:val="Heading2"/>
      </w:pPr>
      <w:r>
        <w:t>✅ System Confirmation</w:t>
      </w:r>
    </w:p>
    <w:p>
      <w:r>
        <w:br/>
        <w:t>The system operates under Schema v3.3 Extended (Executive Edition · Phases 6–9) and integrates 50 autonomous research agents. It now includes the Foundational Influence Calibration Specification (Foundational_Influence_Calibration_Spec.md), which governs automatic detection, computation, and reporting for Foundational AI researchers.</w:t>
        <w:br/>
      </w:r>
    </w:p>
    <w:p>
      <w:pPr>
        <w:pStyle w:val="Heading2"/>
      </w:pPr>
      <w:r>
        <w:t>🧠 Automated Functional Guarantee</w:t>
      </w:r>
    </w:p>
    <w:p>
      <w:r>
        <w:br/>
        <w:t>When the AI Talent Engine identifies a candidate whose contributions classify them as a Frontier or Foundational AI Scientist, the system autonomously performs the following operations without requiring user prompting:</w:t>
        <w:br/>
        <w:br/>
        <w:t>1️⃣ **Classification Recognition** – Detects Foundational/Frontier role types via agents #1–#10.</w:t>
        <w:br/>
        <w:t>2️⃣ **Trigger Activation** – Automatically invokes the Foundational Influence Calibration Spec pipeline.</w:t>
        <w:br/>
        <w:t>3️⃣ **Data Extraction** – Gathers evidence from citation, semantic, lineage, and paradigm agents (#17–#37).</w:t>
        <w:br/>
        <w:t>4️⃣ **Computation** – Calculates the Composite Influence Index (CII) via embedded formula:</w:t>
        <w:br/>
        <w:t xml:space="preserve">   (Fₚ × 0.45) + (Cᵥ × 0.10) + (Sᵥ × 0.15) + (Lᵥ × 0.15) + (Pᵥ × 0.15)</w:t>
        <w:br/>
        <w:t>5️⃣ **Table Generation** – Automatically produces a Foundational Influence Calibration Table with interpretation tiers.</w:t>
        <w:br/>
        <w:t>6️⃣ **Governance Validation** – Agents #21–#36 confirm schema compliance, provenance, and ethical data alignment.</w:t>
        <w:br/>
        <w:t>7️⃣ **Audit Record Creation** – Optional export of validation log (foundational_influence_audit_log_YYYYMMDD.txt).</w:t>
        <w:br/>
      </w:r>
    </w:p>
    <w:p>
      <w:pPr>
        <w:pStyle w:val="Heading2"/>
      </w:pPr>
      <w:r>
        <w:t>📊 Example Output</w:t>
      </w:r>
    </w:p>
    <w:p>
      <w:r>
        <w:br/>
        <w:t>Candidate: Dr. A. Calder (Example)</w:t>
        <w:br/>
        <w:t>Composite Influence Index: 9.93</w:t>
        <w:br/>
        <w:t>Tier Classification: Foundational Apex</w:t>
        <w:br/>
        <w:t>Status: ✅ PASSED – Fully autonomous evaluation generated without manual prompting.</w:t>
        <w:br/>
      </w:r>
    </w:p>
    <w:p>
      <w:pPr>
        <w:pStyle w:val="Heading2"/>
      </w:pPr>
      <w:r>
        <w:t>🧩 Governance and Compliance Agents</w:t>
      </w:r>
    </w:p>
    <w:p>
      <w:r>
        <w:br/>
        <w:t xml:space="preserve">- #21 Schema Validator Agent  </w:t>
        <w:br/>
        <w:t xml:space="preserve">- #22 Audit &amp; Provenance Agent  </w:t>
        <w:br/>
        <w:t xml:space="preserve">- #24 Governance Compliance Agent  </w:t>
        <w:br/>
        <w:t xml:space="preserve">- #36 Governance Integrity Agent  </w:t>
        <w:br/>
      </w:r>
    </w:p>
    <w:p>
      <w:pPr>
        <w:pStyle w:val="Heading2"/>
      </w:pPr>
      <w:r>
        <w:t>🔐 Compliance Metadata</w:t>
      </w:r>
    </w:p>
    <w:p>
      <w:r>
        <w:br/>
        <w:t>Schema Version: v3.3 Extended (Executive Edition, Phases 6–9)</w:t>
        <w:br/>
        <w:t>Maintainer: L. David Mendoza © 2025</w:t>
        <w:br/>
        <w:t>Evidence Integrity: High</w:t>
        <w:br/>
        <w:t>Schema Validation: PASSED</w:t>
        <w:br/>
        <w:t>Validation Record: December 26, 2025</w:t>
        <w:br/>
      </w:r>
    </w:p>
    <w:p>
      <w:r>
        <w:br/>
        <w:t>This serves as an official confirmation of automation and compliance for the Foundational Influence Evaluation subsystem.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