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ns1="http://schemas.openxmlformats.org/officeDocument/2006/relationships" xmlns:w="http://schemas.openxmlformats.org/wordprocessingml/2006/main">
  <w:body>
    <w:p>
      <w:pPr>
        <w:pStyle w:val="Title"/>
      </w:pPr>
      <w:r>
        <w:t xml:space="preserve">Plat</w:t>
      </w:r>
      <w:r>
        <w:t xml:space="preserve"> </w:t>
      </w:r>
      <w:r>
        <w:t xml:space="preserve">Report</w:t>
      </w:r>
      <w:r>
        <w:t xml:space="preserve"> </w:t>
      </w:r>
      <w:r>
        <w:t xml:space="preserve">Monitoring</w:t>
      </w:r>
      <w:r>
        <w:t xml:space="preserve"> </w:t>
      </w:r>
      <w:r>
        <w:t xml:space="preserve">Guide</w:t>
      </w:r>
    </w:p>
    <w:p>
      <w:pPr>
        <w:pStyle w:val="Subtitle"/>
      </w:pPr>
      <w:r>
        <w:t xml:space="preserve">Preservation Houston · Updated October 23, 2026 (Houston Building Atlas Integration &amp; Variance Guide)</w:t>
      </w:r>
    </w:p>
    <w:bookmarkStart w:id="20" w:name="why-we-watch-plat-agendas"/>
    <w:p>
      <w:pPr>
        <w:pStyle w:val="Heading2"/>
      </w:pPr>
      <w:r>
        <w:t xml:space="preserve">Why we watch plat agendas</w:t>
      </w:r>
    </w:p>
    <w:p>
      <w:pPr>
        <w:pStyle w:val="FirstParagraph"/>
      </w:pPr>
      <w:r>
        <w:t xml:space="preserve">A replat is often the first public sign that an older building is about to be torn down, and for undesignated properties it may be the only early warning we get. Houston has no demolition review for buildings outside city landmarks and historic districts, so a developer can replat, pull a demolition permit and clear a site with no preservation review at all.</w:t>
      </w:r>
    </w:p>
    <w:p>
      <w:pPr>
        <w:pStyle w:val="BodyText"/>
      </w:pPr>
      <w:r>
        <w:t xml:space="preserve">Your job is to scan each Planning Commission agenda, find the few items that may involve an older or significant building, and hand those to Emily with enough research that she can decide quickly whether Preservation Houston should act. Most agenda items will not matter. A typical cycle has 100 to 130 items, and a good screen narrows that to a short list of 5 to 15 worth a closer look and 0 to 3 worth escalating.</w:t>
      </w:r>
    </w:p>
    <w:p>
      <w:pPr>
        <w:pStyle w:val="BodyText"/>
      </w:pPr>
      <w:r>
        <w:t xml:space="preserve">Keep two limits in mind:</w:t>
      </w:r>
    </w:p>
    <w:p>
      <w:pPr>
        <w:numPr>
          <w:ilvl w:val="0"/>
          <w:numId w:val="1001"/>
        </w:numPr>
        <w:pStyle w:val="Compact"/>
      </w:pPr>
      <w:r>
        <w:rPr>
          <w:bCs/>
          <w:b/>
        </w:rPr>
        <w:t xml:space="preserve">The Commission rarely has discretion.</w:t>
      </w:r>
      <w:r>
        <w:t xml:space="preserve"> </w:t>
      </w:r>
      <w:r>
        <w:t xml:space="preserve">By law it must approve a plat that meets Chapter 42 and state law, and its platting authority does not extend to land use. Our value is early warning, not stopping the plat.</w:t>
      </w:r>
    </w:p>
    <w:p>
      <w:pPr>
        <w:numPr>
          <w:ilvl w:val="0"/>
          <w:numId w:val="1001"/>
        </w:numPr>
        <w:pStyle w:val="Compact"/>
      </w:pPr>
      <w:r>
        <w:rPr>
          <w:bCs/>
          <w:b/>
        </w:rPr>
        <w:t xml:space="preserve">Designated properties are covered elsewhere.</w:t>
      </w:r>
      <w:r>
        <w:t xml:space="preserve"> </w:t>
      </w:r>
      <w:r>
        <w:t xml:space="preserve">City landmarks and historic district properties go through the Houston Archaeological and Historical Commission (HAHC). Note them if you see them, but spend your time on buildings with no designation.</w:t>
      </w:r>
    </w:p>
    <w:bookmarkEnd w:id="20"/>
    <w:bookmarkStart w:id="22" w:name="schedule-and-where-to-get-the-agenda"/>
    <w:p>
      <w:pPr>
        <w:pStyle w:val="Heading2"/>
      </w:pPr>
      <w:r>
        <w:t xml:space="preserve">Schedule and where to get the agenda</w:t>
      </w:r>
    </w:p>
    <w:p>
      <w:pPr>
        <w:pStyle w:val="FirstParagraph"/>
      </w:pPr>
      <w:r>
        <w:t xml:space="preserve">The Planning Commission meets every other Thursday at 2:30 p.m., so you will do this review every two weeks. Download the agenda as a spreadsheet from</w:t>
      </w:r>
      <w:r>
        <w:t xml:space="preserve"> </w:t>
      </w:r>
      <w:hyperlink ns1:id="rId21">
        <w:r>
          <w:rPr>
            <w:rStyle w:val="Hyperlink"/>
          </w:rPr>
          <w:t xml:space="preserve">HoustonPlatTracker.org</w:t>
        </w:r>
      </w:hyperlink>
      <w:r>
        <w:t xml:space="preserve">; the export is named</w:t>
      </w:r>
      <w:r>
        <w:t xml:space="preserve"> </w:t>
      </w:r>
      <w:r>
        <w:t xml:space="preserve">“</w:t>
      </w:r>
      <w:r>
        <w:t xml:space="preserve">Portal - Current Agenda Spreadsheet.</w:t>
      </w:r>
      <w:r>
        <w:t xml:space="preserve">”</w:t>
      </w:r>
      <w:r>
        <w:t xml:space="preserve"> </w:t>
      </w:r>
      <w:r>
        <w:t xml:space="preserve">Start the review the day it posts, because the window to comment is short.</w:t>
      </w:r>
    </w:p>
    <w:tbl>
      <w:tblPr>
        <w:tblStyle w:val="Table"/>
        <w:tblW w:type="pct" w:w="5000"/>
        <w:tblLook w:firstRow="1" w:lastRow="0" w:firstColumn="0" w:lastColumn="0" w:noHBand="0" w:noVBand="0" w:val="0020"/>
        <w:jc w:val="start"/>
        <w:tblBorders>
          <w:top w:val="single" w:sz="4" w:color="C9D3DA"/>
          <w:left w:val="single" w:sz="4" w:color="C9D3DA"/>
          <w:bottom w:val="single" w:sz="4" w:color="C9D3DA"/>
          <w:right w:val="single" w:sz="4" w:color="C9D3DA"/>
          <w:insideH w:val="single" w:sz="4" w:color="C9D3DA"/>
          <w:insideV w:val="single" w:sz="4" w:color="C9D3DA"/>
        </w:tblBorders>
      </w:tblPr>
      <w:tblGrid>
        <w:gridCol w:w="2640"/>
        <w:gridCol w:w="2640"/>
        <w:gridCol w:w="2640"/>
      </w:tblGrid>
      <w:tr>
        <w:trPr>
          <w:tblHeader w:val="true"/>
        </w:trPr>
        <w:tc>
          <w:tcPr>
            <w:shd w:val="clear" w:fill="EDF1F3"/>
          </w:tcPr>
          <w:p>
            <w:pPr>
              <w:pStyle w:val="Compact"/>
              <w:jc w:val="left"/>
            </w:pPr>
            <w:r>
              <w:rPr>
                <w:sz w:val="18"/>
              </w:rPr>
              <w:t xml:space="preserve">When</w:t>
            </w:r>
          </w:p>
        </w:tc>
        <w:tc>
          <w:tcPr>
            <w:shd w:val="clear" w:fill="EDF1F3"/>
          </w:tcPr>
          <w:p>
            <w:pPr>
              <w:pStyle w:val="Compact"/>
              <w:jc w:val="left"/>
            </w:pPr>
            <w:r>
              <w:rPr>
                <w:sz w:val="18"/>
              </w:rPr>
              <w:t xml:space="preserve">What happens</w:t>
            </w:r>
          </w:p>
        </w:tc>
        <w:tc>
          <w:tcPr>
            <w:shd w:val="clear" w:fill="EDF1F3"/>
          </w:tcPr>
          <w:p>
            <w:pPr>
              <w:pStyle w:val="Compact"/>
              <w:jc w:val="left"/>
            </w:pPr>
            <w:r>
              <w:rPr>
                <w:sz w:val="18"/>
              </w:rPr>
              <w:t xml:space="preserve">Your task</w:t>
            </w:r>
          </w:p>
        </w:tc>
      </w:tr>
      <w:tr>
        <w:tc>
          <w:tcPr/>
          <w:p>
            <w:pPr>
              <w:pStyle w:val="Compact"/>
              <w:jc w:val="left"/>
            </w:pPr>
            <w:r>
              <w:rPr>
                <w:sz w:val="18"/>
              </w:rPr>
              <w:t xml:space="preserve">Agenda posts (about a week before the meeting)</w:t>
            </w:r>
          </w:p>
        </w:tc>
        <w:tc>
          <w:tcPr/>
          <w:p>
            <w:pPr>
              <w:pStyle w:val="Compact"/>
              <w:jc w:val="left"/>
            </w:pPr>
            <w:r>
              <w:rPr>
                <w:sz w:val="18"/>
              </w:rPr>
              <w:t xml:space="preserve">Spreadsheet available on Plat Tracker</w:t>
            </w:r>
          </w:p>
        </w:tc>
        <w:tc>
          <w:tcPr/>
          <w:p>
            <w:pPr>
              <w:pStyle w:val="Compact"/>
              <w:jc w:val="left"/>
            </w:pPr>
            <w:r>
              <w:rPr>
                <w:sz w:val="18"/>
              </w:rPr>
              <w:t xml:space="preserve">Download it and run the first-pass screen the same day</w:t>
            </w:r>
          </w:p>
        </w:tc>
      </w:tr>
      <w:tr>
        <w:tc>
          <w:tcPr/>
          <w:p>
            <w:pPr>
              <w:pStyle w:val="Compact"/>
              <w:jc w:val="left"/>
            </w:pPr>
            <w:r>
              <w:rPr>
                <w:sz w:val="18"/>
              </w:rPr>
              <w:t xml:space="preserve">Within 2 business days of posting</w:t>
            </w:r>
          </w:p>
        </w:tc>
        <w:tc>
          <w:tcPr/>
          <w:p>
            <w:pPr>
              <w:pStyle w:val="Compact"/>
              <w:jc w:val="left"/>
            </w:pPr>
            <w:r>
              <w:rPr>
                <w:sz w:val="18"/>
              </w:rPr>
              <w:t xml:space="preserve"> - </w:t>
            </w:r>
          </w:p>
        </w:tc>
        <w:tc>
          <w:tcPr/>
          <w:p>
            <w:pPr>
              <w:pStyle w:val="Compact"/>
              <w:jc w:val="left"/>
            </w:pPr>
            <w:r>
              <w:rPr>
                <w:sz w:val="18"/>
              </w:rPr>
              <w:t xml:space="preserve">Finish research on flagged items and send the short list to Emily</w:t>
            </w:r>
          </w:p>
        </w:tc>
      </w:tr>
      <w:tr>
        <w:tc>
          <w:tcPr/>
          <w:p>
            <w:pPr>
              <w:pStyle w:val="Compact"/>
              <w:jc w:val="left"/>
            </w:pPr>
            <w:r>
              <w:rPr>
                <w:sz w:val="18"/>
              </w:rPr>
              <w:t xml:space="preserve">Wednesday before the meeting</w:t>
            </w:r>
          </w:p>
        </w:tc>
        <w:tc>
          <w:tcPr/>
          <w:p>
            <w:pPr>
              <w:pStyle w:val="Compact"/>
              <w:jc w:val="left"/>
            </w:pPr>
            <w:r>
              <w:rPr>
                <w:sz w:val="18"/>
              </w:rPr>
              <w:t xml:space="preserve">Public comment deadline; the city takes emailed or phoned comments</w:t>
            </w:r>
          </w:p>
        </w:tc>
        <w:tc>
          <w:tcPr/>
          <w:p>
            <w:pPr>
              <w:pStyle w:val="Compact"/>
              <w:jc w:val="left"/>
            </w:pPr>
            <w:r>
              <w:rPr>
                <w:sz w:val="18"/>
              </w:rPr>
              <w:t xml:space="preserve">Emily decides whether to comment; you may draft it</w:t>
            </w:r>
          </w:p>
        </w:tc>
      </w:tr>
      <w:tr>
        <w:tc>
          <w:tcPr/>
          <w:p>
            <w:pPr>
              <w:pStyle w:val="Compact"/>
              <w:jc w:val="left"/>
            </w:pPr>
            <w:r>
              <w:rPr>
                <w:sz w:val="18"/>
              </w:rPr>
              <w:t xml:space="preserve">24 hours before the meeting</w:t>
            </w:r>
          </w:p>
        </w:tc>
        <w:tc>
          <w:tcPr/>
          <w:p>
            <w:pPr>
              <w:pStyle w:val="Compact"/>
              <w:jc w:val="left"/>
            </w:pPr>
            <w:r>
              <w:rPr>
                <w:sz w:val="18"/>
              </w:rPr>
              <w:t xml:space="preserve">Deadline for maps or graphics to go into the agenda packet</w:t>
            </w:r>
          </w:p>
        </w:tc>
        <w:tc>
          <w:tcPr/>
          <w:p>
            <w:pPr>
              <w:pStyle w:val="Compact"/>
              <w:jc w:val="left"/>
            </w:pPr>
            <w:r>
              <w:rPr>
                <w:sz w:val="18"/>
              </w:rPr>
              <w:t xml:space="preserve">Send any exhibits by then</w:t>
            </w:r>
          </w:p>
        </w:tc>
      </w:tr>
      <w:tr>
        <w:tc>
          <w:tcPr/>
          <w:p>
            <w:pPr>
              <w:pStyle w:val="Compact"/>
              <w:jc w:val="left"/>
            </w:pPr>
            <w:r>
              <w:rPr>
                <w:sz w:val="18"/>
              </w:rPr>
              <w:t xml:space="preserve">Thursday, 2:30 p.m.</w:t>
            </w:r>
          </w:p>
        </w:tc>
        <w:tc>
          <w:tcPr/>
          <w:p>
            <w:pPr>
              <w:pStyle w:val="Compact"/>
              <w:jc w:val="left"/>
            </w:pPr>
            <w:r>
              <w:rPr>
                <w:sz w:val="18"/>
              </w:rPr>
              <w:t xml:space="preserve">Commission meets</w:t>
            </w:r>
          </w:p>
        </w:tc>
        <w:tc>
          <w:tcPr/>
          <w:p>
            <w:pPr>
              <w:pStyle w:val="Compact"/>
              <w:jc w:val="left"/>
            </w:pPr>
            <w:r>
              <w:rPr>
                <w:sz w:val="18"/>
              </w:rPr>
              <w:t xml:space="preserve">Watch or check results for any item we flagged</w:t>
            </w:r>
          </w:p>
        </w:tc>
      </w:tr>
    </w:tbl>
    <w:p>
      <w:pPr>
        <w:pStyle w:val="BodyText"/>
      </w:pPr>
      <w:r>
        <w:t xml:space="preserve">Comments go to speakercomments.pc@houstontx.gov and are limited to 3 pages. A deferred item returns on the next agenda with a new item number; it can be deferred twice, but the Commission must act within 30 days or the plat is approved automatically. Keep a deferred item on your list until it is decided.</w:t>
      </w:r>
    </w:p>
    <w:bookmarkEnd w:id="22"/>
    <w:bookmarkStart w:id="23" w:name="the-plat-agenda-monitor"/>
    <w:p>
      <w:pPr>
        <w:pStyle w:val="Heading2"/>
      </w:pPr>
      <w:r>
        <w:t xml:space="preserve">The Plat Agenda Monitor</w:t>
      </w:r>
    </w:p>
    <w:p>
      <w:pPr>
        <w:pStyle w:val="FirstParagraph"/>
      </w:pPr>
      <w:r>
        <w:t xml:space="preserve">Do the review in the Plat Agenda &amp; Property Monitor (plat-monitor.html), hosted directly on the Houston Building Atlas or opened as a single standalone HTML file in any browser. On startup, the Monitor automatically loads the latest biweekly Planning Commission cycle from the City of Houston (combining the Excel Plat Spreadsheet, Section K Development Plat Variances from the PDF agenda, and Section IV Public Hearing notices) and pre-enriches every item against 1.65M Houston Building Atlas structures, historic platted subdivisions, landmarks, historic districts, Good Brick winners, and Ch. 42 SMLS/SMBL protections. You can also still drag-and-drop any spreadsheet (.xlsx/.csv) or saved work file (.json) manually.</w:t>
      </w:r>
    </w:p>
    <w:p>
      <w:pPr>
        <w:numPr>
          <w:ilvl w:val="0"/>
          <w:numId w:val="1002"/>
        </w:numPr>
        <w:pStyle w:val="Compact"/>
      </w:pPr>
      <w:r>
        <w:t xml:space="preserve">Open the file and drop in the agenda spreadsheet. The monitor runs Pass 1 for you and sorts every item into To check, Designated, ETJ and Screened out.</w:t>
      </w:r>
    </w:p>
    <w:p>
      <w:pPr>
        <w:numPr>
          <w:ilvl w:val="0"/>
          <w:numId w:val="1002"/>
        </w:numPr>
        <w:pStyle w:val="Compact"/>
      </w:pPr>
      <w:r>
        <w:t xml:space="preserve">Work down the To check list. Items with the strongest red flags are at the top. Each item has links to its plat PDF, HCAD and the THC Atlas; once you enter an address, a Street View link appears too.</w:t>
      </w:r>
    </w:p>
    <w:p>
      <w:pPr>
        <w:numPr>
          <w:ilvl w:val="0"/>
          <w:numId w:val="1002"/>
        </w:numPr>
        <w:pStyle w:val="Compact"/>
      </w:pPr>
      <w:r>
        <w:t xml:space="preserve">Record the address, year built, designation status, tier and your reasons in the review panel. Work saves in the browser as you type.</w:t>
      </w:r>
    </w:p>
    <w:p>
      <w:pPr>
        <w:numPr>
          <w:ilvl w:val="0"/>
          <w:numId w:val="1002"/>
        </w:numPr>
        <w:pStyle w:val="Compact"/>
      </w:pPr>
      <w:r>
        <w:t xml:space="preserve">To switch computers or hand off, use</w:t>
      </w:r>
      <w:r>
        <w:t xml:space="preserve"> </w:t>
      </w:r>
      <w:r>
        <w:rPr>
          <w:bCs/>
          <w:b/>
        </w:rPr>
        <w:t xml:space="preserve">Save and export › Save work file</w:t>
      </w:r>
      <w:r>
        <w:t xml:space="preserve"> </w:t>
      </w:r>
      <w:r>
        <w:t xml:space="preserve">and open that file on the other machine.</w:t>
      </w:r>
    </w:p>
    <w:p>
      <w:pPr>
        <w:numPr>
          <w:ilvl w:val="0"/>
          <w:numId w:val="1002"/>
        </w:numPr>
        <w:pStyle w:val="Compact"/>
      </w:pPr>
      <w:r>
        <w:t xml:space="preserve">Once a cycle, use</w:t>
      </w:r>
      <w:r>
        <w:t xml:space="preserve"> </w:t>
      </w:r>
      <w:r>
        <w:rPr>
          <w:bCs/>
          <w:b/>
        </w:rPr>
        <w:t xml:space="preserve">Open › Add past findings for the watchlist</w:t>
      </w:r>
      <w:r>
        <w:t xml:space="preserve"> </w:t>
      </w:r>
      <w:r>
        <w:t xml:space="preserve">to load earlier findings CSVs. Items returning from earlier cycles and developers behind earlier flagged items are then marked</w:t>
      </w:r>
      <w:r>
        <w:t xml:space="preserve"> </w:t>
      </w:r>
      <w:r>
        <w:t xml:space="preserve">“</w:t>
      </w:r>
      <w:r>
        <w:t xml:space="preserve">Seen before</w:t>
      </w:r>
      <w:r>
        <w:t xml:space="preserve">”</w:t>
      </w:r>
      <w:r>
        <w:t xml:space="preserve"> </w:t>
      </w:r>
      <w:r>
        <w:t xml:space="preserve">and</w:t>
      </w:r>
      <w:r>
        <w:t xml:space="preserve"> </w:t>
      </w:r>
      <w:r>
        <w:t xml:space="preserve">“</w:t>
      </w:r>
      <w:r>
        <w:t xml:space="preserve">Developer on watchlist.</w:t>
      </w:r>
      <w:r>
        <w:t xml:space="preserve">”</w:t>
      </w:r>
    </w:p>
    <w:p>
      <w:pPr>
        <w:pStyle w:val="FirstParagraph"/>
      </w:pPr>
      <w:r>
        <w:t xml:space="preserve">Saved work lives in one browser on one computer. Clearing browser data erases it, so save a work file at the end of each session.</w:t>
      </w:r>
    </w:p>
    <w:bookmarkEnd w:id="23"/>
    <w:bookmarkStart w:id="24" w:name="how-to-read-the-spreadsheet"/>
    <w:p>
      <w:pPr>
        <w:pStyle w:val="Heading2"/>
      </w:pPr>
      <w:r>
        <w:t xml:space="preserve">How to read the spreadsheet</w:t>
      </w:r>
    </w:p>
    <w:p>
      <w:pPr>
        <w:pStyle w:val="FirstParagraph"/>
      </w:pPr>
      <w:r>
        <w:t xml:space="preserve">Each row is one plat application, and 31 columns describe it. Eight columns do most of the screening work; the rest help with research or can be ignored. Dates arrive as Excel serial numbers, so format columns C and D as dates before you start.</w:t>
      </w:r>
    </w:p>
    <w:tbl>
      <w:tblPr>
        <w:tblStyle w:val="Table"/>
        <w:tblW w:type="pct" w:w="5000"/>
        <w:tblLook w:firstRow="1" w:lastRow="0" w:firstColumn="0" w:lastColumn="0" w:noHBand="0" w:noVBand="0" w:val="0020"/>
        <w:jc w:val="start"/>
        <w:tblBorders>
          <w:top w:val="single" w:sz="4" w:color="C9D3DA"/>
          <w:left w:val="single" w:sz="4" w:color="C9D3DA"/>
          <w:bottom w:val="single" w:sz="4" w:color="C9D3DA"/>
          <w:right w:val="single" w:sz="4" w:color="C9D3DA"/>
          <w:insideH w:val="single" w:sz="4" w:color="C9D3DA"/>
          <w:insideV w:val="single" w:sz="4" w:color="C9D3DA"/>
        </w:tblBorders>
      </w:tblPr>
      <w:tblGrid>
        <w:gridCol w:w="2640"/>
        <w:gridCol w:w="2640"/>
        <w:gridCol w:w="2640"/>
      </w:tblGrid>
      <w:tr>
        <w:trPr>
          <w:tblHeader w:val="true"/>
        </w:trPr>
        <w:tc>
          <w:tcPr>
            <w:shd w:val="clear" w:fill="EDF1F3"/>
          </w:tcPr>
          <w:p>
            <w:pPr>
              <w:pStyle w:val="Compact"/>
              <w:jc w:val="left"/>
            </w:pPr>
            <w:r>
              <w:rPr>
                <w:sz w:val="18"/>
              </w:rPr>
              <w:t xml:space="preserve">Column</w:t>
            </w:r>
          </w:p>
        </w:tc>
        <w:tc>
          <w:tcPr>
            <w:shd w:val="clear" w:fill="EDF1F3"/>
          </w:tcPr>
          <w:p>
            <w:pPr>
              <w:pStyle w:val="Compact"/>
              <w:jc w:val="left"/>
            </w:pPr>
            <w:r>
              <w:rPr>
                <w:sz w:val="18"/>
              </w:rPr>
              <w:t xml:space="preserve">What it tells you</w:t>
            </w:r>
          </w:p>
        </w:tc>
        <w:tc>
          <w:tcPr>
            <w:shd w:val="clear" w:fill="EDF1F3"/>
          </w:tcPr>
          <w:p>
            <w:pPr>
              <w:pStyle w:val="Compact"/>
              <w:jc w:val="left"/>
            </w:pPr>
            <w:r>
              <w:rPr>
                <w:sz w:val="18"/>
              </w:rPr>
              <w:t xml:space="preserve">How to use it</w:t>
            </w:r>
          </w:p>
        </w:tc>
      </w:tr>
      <w:tr>
        <w:tc>
          <w:tcPr/>
          <w:p>
            <w:pPr>
              <w:pStyle w:val="Compact"/>
              <w:jc w:val="left"/>
            </w:pPr>
            <w:r>
              <w:rPr>
                <w:bCs/>
                <w:b/>
                <w:sz w:val="18"/>
              </w:rPr>
              <w:t xml:space="preserve">E - Application Type</w:t>
            </w:r>
          </w:p>
        </w:tc>
        <w:tc>
          <w:tcPr/>
          <w:p>
            <w:pPr>
              <w:pStyle w:val="Compact"/>
              <w:jc w:val="left"/>
            </w:pPr>
            <w:r>
              <w:rPr>
                <w:sz w:val="18"/>
              </w:rPr>
              <w:t xml:space="preserve">The kind of plat (see Glossary for codes)</w:t>
            </w:r>
          </w:p>
        </w:tc>
        <w:tc>
          <w:tcPr/>
          <w:p>
            <w:pPr>
              <w:pStyle w:val="Compact"/>
              <w:jc w:val="left"/>
            </w:pPr>
            <w:r>
              <w:rPr>
                <w:sz w:val="18"/>
              </w:rPr>
              <w:t xml:space="preserve">Replats (C2R, C3N, C3R) are the main signal; new plats on raw land rarely matter</w:t>
            </w:r>
          </w:p>
        </w:tc>
      </w:tr>
      <w:tr>
        <w:tc>
          <w:tcPr/>
          <w:p>
            <w:pPr>
              <w:pStyle w:val="Compact"/>
              <w:jc w:val="left"/>
            </w:pPr>
            <w:r>
              <w:rPr>
                <w:bCs/>
                <w:b/>
                <w:sz w:val="18"/>
              </w:rPr>
              <w:t xml:space="preserve">G - App Location</w:t>
            </w:r>
          </w:p>
        </w:tc>
        <w:tc>
          <w:tcPr/>
          <w:p>
            <w:pPr>
              <w:pStyle w:val="Compact"/>
              <w:jc w:val="left"/>
            </w:pPr>
            <w:r>
              <w:rPr>
                <w:sz w:val="18"/>
              </w:rPr>
              <w:t xml:space="preserve">Section of the agenda: A. Consent, B. Replats, C. Public Hearing, D. Variances, F. Reconsideration</w:t>
            </w:r>
          </w:p>
        </w:tc>
        <w:tc>
          <w:tcPr/>
          <w:p>
            <w:pPr>
              <w:pStyle w:val="Compact"/>
              <w:jc w:val="left"/>
            </w:pPr>
            <w:r>
              <w:rPr>
                <w:sz w:val="18"/>
              </w:rPr>
              <w:t xml:space="preserve">B, C, D and F are where older sites show up; C and D are where we can speak</w:t>
            </w:r>
          </w:p>
        </w:tc>
      </w:tr>
      <w:tr>
        <w:tc>
          <w:tcPr/>
          <w:p>
            <w:pPr>
              <w:pStyle w:val="Compact"/>
              <w:jc w:val="left"/>
            </w:pPr>
            <w:r>
              <w:rPr>
                <w:bCs/>
                <w:b/>
                <w:sz w:val="18"/>
              </w:rPr>
              <w:t xml:space="preserve">F - Special Request</w:t>
            </w:r>
          </w:p>
        </w:tc>
        <w:tc>
          <w:tcPr/>
          <w:p>
            <w:pPr>
              <w:pStyle w:val="Compact"/>
              <w:jc w:val="left"/>
            </w:pPr>
            <w:r>
              <w:rPr>
                <w:sz w:val="18"/>
              </w:rPr>
              <w:t xml:space="preserve">Variance or Reconsideration of Requirement, if any</w:t>
            </w:r>
          </w:p>
        </w:tc>
        <w:tc>
          <w:tcPr/>
          <w:p>
            <w:pPr>
              <w:pStyle w:val="Compact"/>
              <w:jc w:val="left"/>
            </w:pPr>
            <w:r>
              <w:rPr>
                <w:sz w:val="18"/>
              </w:rPr>
              <w:t xml:space="preserve">Any variance on an older lot deserves a look; it is also our clearest chance to comment</w:t>
            </w:r>
          </w:p>
        </w:tc>
      </w:tr>
      <w:tr>
        <w:tc>
          <w:tcPr/>
          <w:p>
            <w:pPr>
              <w:pStyle w:val="Compact"/>
              <w:jc w:val="left"/>
            </w:pPr>
            <w:r>
              <w:rPr>
                <w:bCs/>
                <w:b/>
                <w:sz w:val="18"/>
              </w:rPr>
              <w:t xml:space="preserve">I - In City Limits</w:t>
            </w:r>
          </w:p>
        </w:tc>
        <w:tc>
          <w:tcPr/>
          <w:p>
            <w:pPr>
              <w:pStyle w:val="Compact"/>
              <w:jc w:val="left"/>
            </w:pPr>
            <w:r>
              <w:rPr>
                <w:sz w:val="18"/>
              </w:rPr>
              <w:t xml:space="preserve">City or ETJ (the unincorporated area outside the city)</w:t>
            </w:r>
          </w:p>
        </w:tc>
        <w:tc>
          <w:tcPr/>
          <w:p>
            <w:pPr>
              <w:pStyle w:val="Compact"/>
              <w:jc w:val="left"/>
            </w:pPr>
            <w:r>
              <w:rPr>
                <w:sz w:val="18"/>
              </w:rPr>
              <w:t xml:space="preserve">Start with City; skim ETJ only for red flags like cemeteries or farmsteads</w:t>
            </w:r>
          </w:p>
        </w:tc>
      </w:tr>
      <w:tr>
        <w:tc>
          <w:tcPr/>
          <w:p>
            <w:pPr>
              <w:pStyle w:val="Compact"/>
              <w:jc w:val="left"/>
            </w:pPr>
            <w:r>
              <w:rPr>
                <w:bCs/>
                <w:b/>
                <w:sz w:val="18"/>
              </w:rPr>
              <w:t xml:space="preserve">P - Previous/Original Subdivision</w:t>
            </w:r>
          </w:p>
        </w:tc>
        <w:tc>
          <w:tcPr/>
          <w:p>
            <w:pPr>
              <w:pStyle w:val="Compact"/>
              <w:jc w:val="left"/>
            </w:pPr>
            <w:r>
              <w:rPr>
                <w:sz w:val="18"/>
              </w:rPr>
              <w:t xml:space="preserve">The subdivision being replatted</w:t>
            </w:r>
          </w:p>
        </w:tc>
        <w:tc>
          <w:tcPr/>
          <w:p>
            <w:pPr>
              <w:pStyle w:val="Compact"/>
              <w:jc w:val="left"/>
            </w:pPr>
            <w:r>
              <w:rPr>
                <w:sz w:val="18"/>
              </w:rPr>
              <w:t xml:space="preserve">Your best age clue. An old addition name (</w:t>
            </w:r>
            <w:r>
              <w:rPr>
                <w:sz w:val="18"/>
              </w:rPr>
              <w:t xml:space="preserve">“</w:t>
            </w:r>
            <w:r>
              <w:rPr>
                <w:sz w:val="18"/>
              </w:rPr>
              <w:t xml:space="preserve">Kutschbach Addition,</w:t>
            </w:r>
            <w:r>
              <w:rPr>
                <w:sz w:val="18"/>
              </w:rPr>
              <w:t xml:space="preserve">”</w:t>
            </w:r>
            <w:r>
              <w:rPr>
                <w:sz w:val="18"/>
              </w:rPr>
              <w:t xml:space="preserve"> </w:t>
            </w:r>
            <w:r>
              <w:rPr>
                <w:sz w:val="18"/>
              </w:rPr>
              <w:t xml:space="preserve">“</w:t>
            </w:r>
            <w:r>
              <w:rPr>
                <w:sz w:val="18"/>
              </w:rPr>
              <w:t xml:space="preserve">Washington Terrace</w:t>
            </w:r>
            <w:r>
              <w:rPr>
                <w:sz w:val="18"/>
              </w:rPr>
              <w:t xml:space="preserve">”</w:t>
            </w:r>
            <w:r>
              <w:rPr>
                <w:sz w:val="18"/>
              </w:rPr>
              <w:t xml:space="preserve">) points to an older neighborhood</w:t>
            </w:r>
          </w:p>
        </w:tc>
      </w:tr>
      <w:tr>
        <w:tc>
          <w:tcPr/>
          <w:p>
            <w:pPr>
              <w:pStyle w:val="Compact"/>
              <w:jc w:val="left"/>
            </w:pPr>
            <w:r>
              <w:rPr>
                <w:bCs/>
                <w:b/>
                <w:sz w:val="18"/>
              </w:rPr>
              <w:t xml:space="preserve">S - Historic District</w:t>
            </w:r>
          </w:p>
        </w:tc>
        <w:tc>
          <w:tcPr/>
          <w:p>
            <w:pPr>
              <w:pStyle w:val="Compact"/>
              <w:jc w:val="left"/>
            </w:pPr>
            <w:r>
              <w:rPr>
                <w:sz w:val="18"/>
              </w:rPr>
              <w:t xml:space="preserve">City historic district, if the site is in one</w:t>
            </w:r>
          </w:p>
        </w:tc>
        <w:tc>
          <w:tcPr/>
          <w:p>
            <w:pPr>
              <w:pStyle w:val="Compact"/>
              <w:jc w:val="left"/>
            </w:pPr>
            <w:r>
              <w:rPr>
                <w:sz w:val="18"/>
              </w:rPr>
              <w:t xml:space="preserve">If filled, the property is designated; note it and move on. It does not flag individual landmarks or National Register listings</w:t>
            </w:r>
          </w:p>
        </w:tc>
      </w:tr>
      <w:tr>
        <w:tc>
          <w:tcPr/>
          <w:p>
            <w:pPr>
              <w:pStyle w:val="Compact"/>
              <w:jc w:val="left"/>
            </w:pPr>
            <w:r>
              <w:rPr>
                <w:bCs/>
                <w:b/>
                <w:sz w:val="18"/>
              </w:rPr>
              <w:t xml:space="preserve">W - Land Use</w:t>
            </w:r>
          </w:p>
        </w:tc>
        <w:tc>
          <w:tcPr/>
          <w:p>
            <w:pPr>
              <w:pStyle w:val="Compact"/>
              <w:jc w:val="left"/>
            </w:pPr>
            <w:r>
              <w:rPr>
                <w:sz w:val="18"/>
              </w:rPr>
              <w:t xml:space="preserve">Proposed use: single family, unrestricted, multifamily, commercial and so on</w:t>
            </w:r>
          </w:p>
        </w:tc>
        <w:tc>
          <w:tcPr/>
          <w:p>
            <w:pPr>
              <w:pStyle w:val="Compact"/>
              <w:jc w:val="left"/>
            </w:pPr>
            <w:r>
              <w:rPr>
                <w:sz w:val="18"/>
              </w:rPr>
              <w:t xml:space="preserve">A change from the current use signals redevelopment</w:t>
            </w:r>
          </w:p>
        </w:tc>
      </w:tr>
      <w:tr>
        <w:tc>
          <w:tcPr/>
          <w:p>
            <w:pPr>
              <w:pStyle w:val="Compact"/>
              <w:jc w:val="left"/>
            </w:pPr>
            <w:r>
              <w:rPr>
                <w:bCs/>
                <w:b/>
                <w:sz w:val="18"/>
              </w:rPr>
              <w:t xml:space="preserve">X / Y - Total Acreage / Lots Created</w:t>
            </w:r>
          </w:p>
        </w:tc>
        <w:tc>
          <w:tcPr/>
          <w:p>
            <w:pPr>
              <w:pStyle w:val="Compact"/>
              <w:jc w:val="left"/>
            </w:pPr>
            <w:r>
              <w:rPr>
                <w:sz w:val="18"/>
              </w:rPr>
              <w:t xml:space="preserve">Size of the site and number of new lots</w:t>
            </w:r>
          </w:p>
        </w:tc>
        <w:tc>
          <w:tcPr/>
          <w:p>
            <w:pPr>
              <w:pStyle w:val="Compact"/>
              <w:jc w:val="left"/>
            </w:pPr>
            <w:r>
              <w:rPr>
                <w:sz w:val="18"/>
              </w:rPr>
              <w:t xml:space="preserve">A small lot (about 0.1-0.3 acres) split into 2-4 lots usually means one house replaced by townhouses</w:t>
            </w:r>
          </w:p>
        </w:tc>
      </w:tr>
      <w:tr>
        <w:tc>
          <w:tcPr/>
          <w:p>
            <w:pPr>
              <w:pStyle w:val="Compact"/>
              <w:jc w:val="left"/>
            </w:pPr>
            <w:r>
              <w:rPr>
                <w:bCs/>
                <w:b/>
                <w:sz w:val="18"/>
              </w:rPr>
              <w:t xml:space="preserve">A - Subdivision Name</w:t>
            </w:r>
          </w:p>
        </w:tc>
        <w:tc>
          <w:tcPr/>
          <w:p>
            <w:pPr>
              <w:pStyle w:val="Compact"/>
              <w:jc w:val="left"/>
            </w:pPr>
            <w:r>
              <w:rPr>
                <w:sz w:val="18"/>
              </w:rPr>
              <w:t xml:space="preserve">The name the applicant chose</w:t>
            </w:r>
          </w:p>
        </w:tc>
        <w:tc>
          <w:tcPr/>
          <w:p>
            <w:pPr>
              <w:pStyle w:val="Compact"/>
              <w:jc w:val="left"/>
            </w:pPr>
            <w:r>
              <w:rPr>
                <w:sz w:val="18"/>
              </w:rPr>
              <w:t xml:space="preserve">Sometimes names the building or its former use; rarely more than a hint</w:t>
            </w:r>
          </w:p>
        </w:tc>
      </w:tr>
      <w:tr>
        <w:tc>
          <w:tcPr/>
          <w:p>
            <w:pPr>
              <w:pStyle w:val="Compact"/>
              <w:jc w:val="left"/>
            </w:pPr>
            <w:r>
              <w:rPr>
                <w:bCs/>
                <w:b/>
                <w:sz w:val="18"/>
              </w:rPr>
              <w:t xml:space="preserve">B - App No.</w:t>
            </w:r>
          </w:p>
        </w:tc>
        <w:tc>
          <w:tcPr/>
          <w:p>
            <w:pPr>
              <w:pStyle w:val="Compact"/>
              <w:jc w:val="left"/>
            </w:pPr>
            <w:r>
              <w:rPr>
                <w:sz w:val="18"/>
              </w:rPr>
              <w:t xml:space="preserve">City application number</w:t>
            </w:r>
          </w:p>
        </w:tc>
        <w:tc>
          <w:tcPr/>
          <w:p>
            <w:pPr>
              <w:pStyle w:val="Compact"/>
              <w:jc w:val="left"/>
            </w:pPr>
            <w:r>
              <w:rPr>
                <w:sz w:val="18"/>
              </w:rPr>
              <w:t xml:space="preserve">Use it to look the item up on Plat Tracker and in your log</w:t>
            </w:r>
          </w:p>
        </w:tc>
      </w:tr>
      <w:tr>
        <w:tc>
          <w:tcPr/>
          <w:p>
            <w:pPr>
              <w:pStyle w:val="Compact"/>
              <w:jc w:val="left"/>
            </w:pPr>
            <w:r>
              <w:rPr>
                <w:bCs/>
                <w:b/>
                <w:sz w:val="18"/>
              </w:rPr>
              <w:t xml:space="preserve">C / D - PC Date, Date Submitted</w:t>
            </w:r>
          </w:p>
        </w:tc>
        <w:tc>
          <w:tcPr/>
          <w:p>
            <w:pPr>
              <w:pStyle w:val="Compact"/>
              <w:jc w:val="left"/>
            </w:pPr>
            <w:r>
              <w:rPr>
                <w:sz w:val="18"/>
              </w:rPr>
              <w:t xml:space="preserve">Meeting date and filing date</w:t>
            </w:r>
          </w:p>
        </w:tc>
        <w:tc>
          <w:tcPr/>
          <w:p>
            <w:pPr>
              <w:pStyle w:val="Compact"/>
              <w:jc w:val="left"/>
            </w:pPr>
            <w:r>
              <w:rPr>
                <w:sz w:val="18"/>
              </w:rPr>
              <w:t xml:space="preserve">Confirms which cycle you are reviewing</w:t>
            </w:r>
          </w:p>
        </w:tc>
      </w:tr>
      <w:tr>
        <w:tc>
          <w:tcPr/>
          <w:p>
            <w:pPr>
              <w:pStyle w:val="Compact"/>
              <w:jc w:val="left"/>
            </w:pPr>
            <w:r>
              <w:rPr>
                <w:bCs/>
                <w:b/>
                <w:sz w:val="18"/>
              </w:rPr>
              <w:t xml:space="preserve">Z - Appraisal District No.</w:t>
            </w:r>
          </w:p>
        </w:tc>
        <w:tc>
          <w:tcPr/>
          <w:p>
            <w:pPr>
              <w:pStyle w:val="Compact"/>
              <w:jc w:val="left"/>
            </w:pPr>
            <w:r>
              <w:rPr>
                <w:sz w:val="18"/>
              </w:rPr>
              <w:t xml:space="preserve">County tax account number(s)</w:t>
            </w:r>
          </w:p>
        </w:tc>
        <w:tc>
          <w:tcPr/>
          <w:p>
            <w:pPr>
              <w:pStyle w:val="Compact"/>
              <w:jc w:val="left"/>
            </w:pPr>
            <w:r>
              <w:rPr>
                <w:sz w:val="18"/>
              </w:rPr>
              <w:t xml:space="preserve">Paste into the appraisal district site to get year built and owner. Often blank; use the address instead</w:t>
            </w:r>
          </w:p>
        </w:tc>
      </w:tr>
      <w:tr>
        <w:tc>
          <w:tcPr/>
          <w:p>
            <w:pPr>
              <w:pStyle w:val="Compact"/>
              <w:jc w:val="left"/>
            </w:pPr>
            <w:r>
              <w:rPr>
                <w:bCs/>
                <w:b/>
                <w:sz w:val="18"/>
              </w:rPr>
              <w:t xml:space="preserve">AE - Plat PDF</w:t>
            </w:r>
          </w:p>
        </w:tc>
        <w:tc>
          <w:tcPr/>
          <w:p>
            <w:pPr>
              <w:pStyle w:val="Compact"/>
              <w:jc w:val="left"/>
            </w:pPr>
            <w:r>
              <w:rPr>
                <w:sz w:val="18"/>
              </w:rPr>
              <w:t xml:space="preserve">Link to the drawing</w:t>
            </w:r>
          </w:p>
        </w:tc>
        <w:tc>
          <w:tcPr/>
          <w:p>
            <w:pPr>
              <w:pStyle w:val="Compact"/>
              <w:jc w:val="left"/>
            </w:pPr>
            <w:r>
              <w:rPr>
                <w:sz w:val="18"/>
              </w:rPr>
              <w:t xml:space="preserve">Shows exact lots, streets and existing lot lines; open it for every flagged item</w:t>
            </w:r>
          </w:p>
        </w:tc>
      </w:tr>
      <w:tr>
        <w:tc>
          <w:tcPr/>
          <w:p>
            <w:pPr>
              <w:pStyle w:val="Compact"/>
              <w:jc w:val="left"/>
            </w:pPr>
            <w:r>
              <w:rPr>
                <w:bCs/>
                <w:b/>
                <w:sz w:val="18"/>
              </w:rPr>
              <w:t xml:space="preserve">T - Super Neighborhood</w:t>
            </w:r>
          </w:p>
        </w:tc>
        <w:tc>
          <w:tcPr/>
          <w:p>
            <w:pPr>
              <w:pStyle w:val="Compact"/>
              <w:jc w:val="left"/>
            </w:pPr>
            <w:r>
              <w:rPr>
                <w:sz w:val="18"/>
              </w:rPr>
              <w:t xml:space="preserve">Neighborhood area</w:t>
            </w:r>
          </w:p>
        </w:tc>
        <w:tc>
          <w:tcPr/>
          <w:p>
            <w:pPr>
              <w:pStyle w:val="Compact"/>
              <w:jc w:val="left"/>
            </w:pPr>
            <w:r>
              <w:rPr>
                <w:sz w:val="18"/>
              </w:rPr>
              <w:t xml:space="preserve">Quick sense of location; inner-loop and older-ring areas deserve more attention</w:t>
            </w:r>
          </w:p>
        </w:tc>
      </w:tr>
      <w:tr>
        <w:tc>
          <w:tcPr/>
          <w:p>
            <w:pPr>
              <w:pStyle w:val="Compact"/>
              <w:jc w:val="left"/>
            </w:pPr>
            <w:r>
              <w:rPr>
                <w:bCs/>
                <w:b/>
                <w:sz w:val="18"/>
              </w:rPr>
              <w:t xml:space="preserve">H - Council District</w:t>
            </w:r>
          </w:p>
        </w:tc>
        <w:tc>
          <w:tcPr/>
          <w:p>
            <w:pPr>
              <w:pStyle w:val="Compact"/>
              <w:jc w:val="left"/>
            </w:pPr>
            <w:r>
              <w:rPr>
                <w:sz w:val="18"/>
              </w:rPr>
              <w:t xml:space="preserve">City Council district</w:t>
            </w:r>
          </w:p>
        </w:tc>
        <w:tc>
          <w:tcPr/>
          <w:p>
            <w:pPr>
              <w:pStyle w:val="Compact"/>
              <w:jc w:val="left"/>
            </w:pPr>
            <w:r>
              <w:rPr>
                <w:sz w:val="18"/>
              </w:rPr>
              <w:t xml:space="preserve">Who to involve if we escalate</w:t>
            </w:r>
          </w:p>
        </w:tc>
      </w:tr>
      <w:tr>
        <w:tc>
          <w:tcPr/>
          <w:p>
            <w:pPr>
              <w:pStyle w:val="Compact"/>
              <w:jc w:val="left"/>
            </w:pPr>
            <w:r>
              <w:rPr>
                <w:bCs/>
                <w:b/>
                <w:sz w:val="18"/>
              </w:rPr>
              <w:t xml:space="preserve">Q / R - TIRZ, Management District</w:t>
            </w:r>
          </w:p>
        </w:tc>
        <w:tc>
          <w:tcPr/>
          <w:p>
            <w:pPr>
              <w:pStyle w:val="Compact"/>
              <w:jc w:val="left"/>
            </w:pPr>
            <w:r>
              <w:rPr>
                <w:sz w:val="18"/>
              </w:rPr>
              <w:t xml:space="preserve">Special districts covering the site</w:t>
            </w:r>
          </w:p>
        </w:tc>
        <w:tc>
          <w:tcPr/>
          <w:p>
            <w:pPr>
              <w:pStyle w:val="Compact"/>
              <w:jc w:val="left"/>
            </w:pPr>
            <w:r>
              <w:rPr>
                <w:sz w:val="18"/>
              </w:rPr>
              <w:t xml:space="preserve">Signals redevelopment pressure and a possible partner or audience</w:t>
            </w:r>
          </w:p>
        </w:tc>
      </w:tr>
      <w:tr>
        <w:tc>
          <w:tcPr/>
          <w:p>
            <w:pPr>
              <w:pStyle w:val="Compact"/>
              <w:jc w:val="left"/>
            </w:pPr>
            <w:r>
              <w:rPr>
                <w:bCs/>
                <w:b/>
                <w:sz w:val="18"/>
              </w:rPr>
              <w:t xml:space="preserve">L - Key Map</w:t>
            </w:r>
          </w:p>
        </w:tc>
        <w:tc>
          <w:tcPr/>
          <w:p>
            <w:pPr>
              <w:pStyle w:val="Compact"/>
              <w:jc w:val="left"/>
            </w:pPr>
            <w:r>
              <w:rPr>
                <w:sz w:val="18"/>
              </w:rPr>
              <w:t xml:space="preserve">Key Map grid page</w:t>
            </w:r>
          </w:p>
        </w:tc>
        <w:tc>
          <w:tcPr/>
          <w:p>
            <w:pPr>
              <w:pStyle w:val="Compact"/>
              <w:jc w:val="left"/>
            </w:pPr>
            <w:r>
              <w:rPr>
                <w:sz w:val="18"/>
              </w:rPr>
              <w:t xml:space="preserve">Helpful for locating the site on older maps</w:t>
            </w:r>
          </w:p>
        </w:tc>
      </w:tr>
      <w:tr>
        <w:tc>
          <w:tcPr/>
          <w:p>
            <w:pPr>
              <w:pStyle w:val="Compact"/>
              <w:jc w:val="left"/>
            </w:pPr>
            <w:r>
              <w:rPr>
                <w:bCs/>
                <w:b/>
                <w:sz w:val="18"/>
              </w:rPr>
              <w:t xml:space="preserve">AA-AD - Developer, Organization, Applicant, Phone</w:t>
            </w:r>
          </w:p>
        </w:tc>
        <w:tc>
          <w:tcPr/>
          <w:p>
            <w:pPr>
              <w:pStyle w:val="Compact"/>
              <w:jc w:val="left"/>
            </w:pPr>
            <w:r>
              <w:rPr>
                <w:sz w:val="18"/>
              </w:rPr>
              <w:t xml:space="preserve">Who filed and who is behind it</w:t>
            </w:r>
          </w:p>
        </w:tc>
        <w:tc>
          <w:tcPr/>
          <w:p>
            <w:pPr>
              <w:pStyle w:val="Compact"/>
              <w:jc w:val="left"/>
            </w:pPr>
            <w:r>
              <w:rPr>
                <w:sz w:val="18"/>
              </w:rPr>
              <w:t xml:space="preserve">Repeat developers are worth tracking; the applicant is usually an engineer or surveyor</w:t>
            </w:r>
          </w:p>
        </w:tc>
      </w:tr>
      <w:tr>
        <w:tc>
          <w:tcPr/>
          <w:p>
            <w:pPr>
              <w:pStyle w:val="Compact"/>
              <w:jc w:val="left"/>
            </w:pPr>
            <w:r>
              <w:rPr>
                <w:bCs/>
                <w:b/>
                <w:sz w:val="18"/>
              </w:rPr>
              <w:t xml:space="preserve">J, K, M, N, O, U, V</w:t>
            </w:r>
          </w:p>
        </w:tc>
        <w:tc>
          <w:tcPr/>
          <w:p>
            <w:pPr>
              <w:pStyle w:val="Compact"/>
              <w:jc w:val="left"/>
            </w:pPr>
            <w:r>
              <w:rPr>
                <w:sz w:val="18"/>
              </w:rPr>
              <w:t xml:space="preserve">County, precinct, census tract, ZIP, school district, park sector, major thoroughfare</w:t>
            </w:r>
          </w:p>
        </w:tc>
        <w:tc>
          <w:tcPr/>
          <w:p>
            <w:pPr>
              <w:pStyle w:val="Compact"/>
              <w:jc w:val="left"/>
            </w:pPr>
            <w:r>
              <w:rPr>
                <w:sz w:val="18"/>
              </w:rPr>
              <w:t xml:space="preserve">Mostly background; ZIP and tract help with mapping</w:t>
            </w:r>
          </w:p>
        </w:tc>
      </w:tr>
    </w:tbl>
    <w:bookmarkEnd w:id="24"/>
    <w:bookmarkStart w:id="25" w:name="screening-workflow"/>
    <w:p>
      <w:pPr>
        <w:pStyle w:val="Heading2"/>
      </w:pPr>
      <w:r>
        <w:t xml:space="preserve">Screening workflow</w:t>
      </w:r>
    </w:p>
    <w:p>
      <w:pPr>
        <w:pStyle w:val="FirstParagraph"/>
      </w:pPr>
      <w:r>
        <w:t xml:space="preserve">Work in three passes: filter the spreadsheet, check each remaining item quickly, then research only the ones that survive. On the October 1, 2026 agenda, for example, the first pass left 64 of 126 items to check.</w:t>
      </w:r>
    </w:p>
    <w:p>
      <w:pPr>
        <w:pStyle w:val="BodyText"/>
      </w:pPr>
      <w:r>
        <w:t xml:space="preserve">Download agenda →</w:t>
      </w:r>
      <w:r>
        <w:t xml:space="preserve"> </w:t>
      </w:r>
      <w:r>
        <w:rPr>
          <w:bCs/>
          <w:b/>
        </w:rPr>
        <w:t xml:space="preserve">Pass 1:</w:t>
      </w:r>
      <w:r>
        <w:t xml:space="preserve"> </w:t>
      </w:r>
      <w:r>
        <w:t xml:space="preserve">filter (about 120 items down to about 60) →</w:t>
      </w:r>
      <w:r>
        <w:t xml:space="preserve"> </w:t>
      </w:r>
      <w:r>
        <w:rPr>
          <w:bCs/>
          <w:b/>
        </w:rPr>
        <w:t xml:space="preserve">Pass 2:</w:t>
      </w:r>
      <w:r>
        <w:t xml:space="preserve"> </w:t>
      </w:r>
      <w:r>
        <w:t xml:space="preserve">quick check (about 60 down to 5-15) →</w:t>
      </w:r>
      <w:r>
        <w:t xml:space="preserve"> </w:t>
      </w:r>
      <w:r>
        <w:rPr>
          <w:bCs/>
          <w:b/>
        </w:rPr>
        <w:t xml:space="preserve">Pass 3:</w:t>
      </w:r>
      <w:r>
        <w:t xml:space="preserve"> </w:t>
      </w:r>
      <w:r>
        <w:t xml:space="preserve">research and assign tiers → log and send to Emily.</w:t>
      </w:r>
    </w:p>
    <w:p>
      <w:pPr>
        <w:pStyle w:val="BodyText"/>
      </w:pPr>
      <w:r>
        <w:rPr>
          <w:bCs/>
          <w:b/>
        </w:rPr>
        <w:t xml:space="preserve">Pass 1: Filter (the monitor does this automatically; these are the rules it follows)</w:t>
      </w:r>
    </w:p>
    <w:p>
      <w:pPr>
        <w:numPr>
          <w:ilvl w:val="0"/>
          <w:numId w:val="1003"/>
        </w:numPr>
        <w:pStyle w:val="Compact"/>
      </w:pPr>
      <w:r>
        <w:t xml:space="preserve">Save a copy of the spreadsheet with the cycle date in the file name. Turn on filters.</w:t>
      </w:r>
    </w:p>
    <w:p>
      <w:pPr>
        <w:numPr>
          <w:ilvl w:val="0"/>
          <w:numId w:val="1003"/>
        </w:numPr>
        <w:pStyle w:val="Compact"/>
      </w:pPr>
      <w:r>
        <w:t xml:space="preserve">Check column S. Move any item with a historic district listed to a separate</w:t>
      </w:r>
      <w:r>
        <w:t xml:space="preserve"> </w:t>
      </w:r>
      <w:r>
        <w:t xml:space="preserve">“</w:t>
      </w:r>
      <w:r>
        <w:t xml:space="preserve">Designated</w:t>
      </w:r>
      <w:r>
        <w:t xml:space="preserve">”</w:t>
      </w:r>
      <w:r>
        <w:t xml:space="preserve"> </w:t>
      </w:r>
      <w:r>
        <w:t xml:space="preserve">note.</w:t>
      </w:r>
    </w:p>
    <w:p>
      <w:pPr>
        <w:numPr>
          <w:ilvl w:val="0"/>
          <w:numId w:val="1003"/>
        </w:numPr>
        <w:pStyle w:val="Compact"/>
      </w:pPr>
      <w:r>
        <w:t xml:space="preserve">Filter column I to</w:t>
      </w:r>
      <w:r>
        <w:t xml:space="preserve"> </w:t>
      </w:r>
      <w:r>
        <w:rPr>
          <w:bCs/>
          <w:b/>
        </w:rPr>
        <w:t xml:space="preserve">City</w:t>
      </w:r>
      <w:r>
        <w:t xml:space="preserve">. Set ETJ rows aside for a two-minute skim at the end.</w:t>
      </w:r>
    </w:p>
    <w:p>
      <w:pPr>
        <w:numPr>
          <w:ilvl w:val="0"/>
          <w:numId w:val="1003"/>
        </w:numPr>
        <w:pStyle w:val="Compact"/>
      </w:pPr>
      <w:r>
        <w:t xml:space="preserve">Keep rows where column P (Previous/Original Subdivision) is filled in. A blank usually means raw land being platted for the first time.</w:t>
      </w:r>
    </w:p>
    <w:p>
      <w:pPr>
        <w:numPr>
          <w:ilvl w:val="0"/>
          <w:numId w:val="1003"/>
        </w:numPr>
        <w:pStyle w:val="Compact"/>
      </w:pPr>
      <w:r>
        <w:t xml:space="preserve">Drop obvious non-issues: street dedications (SP), general plans (GP) and utility sites such as lift stations or water plants, unless the name or location gives you pause.</w:t>
      </w:r>
    </w:p>
    <w:p>
      <w:pPr>
        <w:pStyle w:val="FirstParagraph"/>
      </w:pPr>
      <w:r>
        <w:rPr>
          <w:bCs/>
          <w:b/>
        </w:rPr>
        <w:t xml:space="preserve">Pass 2: Quick check (2-3 minutes per item)</w:t>
      </w:r>
    </w:p>
    <w:p>
      <w:pPr>
        <w:numPr>
          <w:ilvl w:val="0"/>
          <w:numId w:val="1004"/>
        </w:numPr>
        <w:pStyle w:val="Compact"/>
      </w:pPr>
      <w:r>
        <w:t xml:space="preserve">Read the original subdivision name, super neighborhood, acreage, lots created and land use together. Ask: is this an older neighborhood, and does the plat suggest the existing building is going away?</w:t>
      </w:r>
    </w:p>
    <w:p>
      <w:pPr>
        <w:numPr>
          <w:ilvl w:val="0"/>
          <w:numId w:val="1004"/>
        </w:numPr>
        <w:pStyle w:val="Compact"/>
      </w:pPr>
      <w:r>
        <w:t xml:space="preserve">Look up the site on Google Maps Street View. If the lot is vacant or holds a recent building, drop it.</w:t>
      </w:r>
    </w:p>
    <w:p>
      <w:pPr>
        <w:numPr>
          <w:ilvl w:val="0"/>
          <w:numId w:val="1004"/>
        </w:numPr>
        <w:pStyle w:val="Compact"/>
      </w:pPr>
      <w:r>
        <w:t xml:space="preserve">If an older building is standing, keep it for Pass 3.</w:t>
      </w:r>
    </w:p>
    <w:p>
      <w:pPr>
        <w:pStyle w:val="FirstParagraph"/>
      </w:pPr>
      <w:r>
        <w:rPr>
          <w:bCs/>
          <w:b/>
        </w:rPr>
        <w:t xml:space="preserve">Pass 3: Research (15-30 minutes per item)</w:t>
      </w:r>
    </w:p>
    <w:p>
      <w:pPr>
        <w:numPr>
          <w:ilvl w:val="0"/>
          <w:numId w:val="1005"/>
        </w:numPr>
        <w:pStyle w:val="Compact"/>
      </w:pPr>
      <w:r>
        <w:t xml:space="preserve">Open the plat PDF to see which lots are affected, then find the address (see Research checks).</w:t>
      </w:r>
    </w:p>
    <w:p>
      <w:pPr>
        <w:numPr>
          <w:ilvl w:val="0"/>
          <w:numId w:val="1005"/>
        </w:numPr>
        <w:pStyle w:val="Compact"/>
      </w:pPr>
      <w:r>
        <w:t xml:space="preserve">Run the Research checks below: age, designation status, known significance.</w:t>
      </w:r>
    </w:p>
    <w:p>
      <w:pPr>
        <w:numPr>
          <w:ilvl w:val="0"/>
          <w:numId w:val="1005"/>
        </w:numPr>
        <w:pStyle w:val="Compact"/>
      </w:pPr>
      <w:r>
        <w:t xml:space="preserve">Assign a tier (see Recording and escalating findings) and write two or three sentences on why.</w:t>
      </w:r>
    </w:p>
    <w:p>
      <w:pPr>
        <w:pStyle w:val="FirstParagraph"/>
      </w:pPr>
      <w:r>
        <w:rPr>
          <w:bCs/>
          <w:b/>
        </w:rPr>
        <w:t xml:space="preserve">Finish:</w:t>
      </w:r>
      <w:r>
        <w:t xml:space="preserve"> </w:t>
      </w:r>
      <w:r>
        <w:t xml:space="preserve">Skim the ETJ rows you set aside for red flags, then send Emily the short list.</w:t>
      </w:r>
    </w:p>
    <w:bookmarkEnd w:id="25"/>
    <w:bookmarkStart w:id="26" w:name="red-flags"/>
    <w:p>
      <w:pPr>
        <w:pStyle w:val="Heading2"/>
      </w:pPr>
      <w:r>
        <w:t xml:space="preserve">Red flags</w:t>
      </w:r>
    </w:p>
    <w:p>
      <w:pPr>
        <w:pStyle w:val="FirstParagraph"/>
      </w:pPr>
      <w:r>
        <w:t xml:space="preserve">The strongest signal is a replat in an older subdivision where a building 50 or more years old is still standing. The flags below raise or lower an item’s priority; no single one decides it.</w:t>
      </w:r>
    </w:p>
    <w:p>
      <w:pPr>
        <w:pStyle w:val="BodyText"/>
      </w:pPr>
      <w:r>
        <w:rPr>
          <w:bCs/>
          <w:b/>
        </w:rPr>
        <w:t xml:space="preserve">Raise priority</w:t>
      </w:r>
    </w:p>
    <w:p>
      <w:pPr>
        <w:numPr>
          <w:ilvl w:val="0"/>
          <w:numId w:val="1006"/>
        </w:numPr>
        <w:pStyle w:val="Compact"/>
      </w:pPr>
      <w:r>
        <w:rPr>
          <w:bCs/>
          <w:b/>
        </w:rPr>
        <w:t xml:space="preserve">Lot splits in older neighborhoods.</w:t>
      </w:r>
      <w:r>
        <w:t xml:space="preserve"> </w:t>
      </w:r>
      <w:r>
        <w:t xml:space="preserve">A site of about 0.1-0.3 acres divided into 2-4 lots, often with shared driveways, usually means one older house replaced by townhouses.</w:t>
      </w:r>
    </w:p>
    <w:p>
      <w:pPr>
        <w:numPr>
          <w:ilvl w:val="0"/>
          <w:numId w:val="1006"/>
        </w:numPr>
        <w:pStyle w:val="Compact"/>
      </w:pPr>
      <w:r>
        <w:rPr>
          <w:bCs/>
          <w:b/>
        </w:rPr>
        <w:t xml:space="preserve">A change of use.</w:t>
      </w:r>
      <w:r>
        <w:t xml:space="preserve"> </w:t>
      </w:r>
      <w:r>
        <w:t xml:space="preserve">Formerly residential lots replatted as unrestricted, commercial or</w:t>
      </w:r>
      <w:r>
        <w:t xml:space="preserve"> </w:t>
      </w:r>
      <w:r>
        <w:t xml:space="preserve">“</w:t>
      </w:r>
      <w:r>
        <w:t xml:space="preserve">intended for multifamily</w:t>
      </w:r>
      <w:r>
        <w:t xml:space="preserve">”</w:t>
      </w:r>
      <w:r>
        <w:t xml:space="preserve"> </w:t>
      </w:r>
      <w:r>
        <w:t xml:space="preserve">reserves.</w:t>
      </w:r>
    </w:p>
    <w:p>
      <w:pPr>
        <w:numPr>
          <w:ilvl w:val="0"/>
          <w:numId w:val="1006"/>
        </w:numPr>
        <w:pStyle w:val="Compact"/>
      </w:pPr>
      <w:r>
        <w:rPr>
          <w:bCs/>
          <w:b/>
        </w:rPr>
        <w:t xml:space="preserve">Lot consolidations.</w:t>
      </w:r>
      <w:r>
        <w:t xml:space="preserve"> </w:t>
      </w:r>
      <w:r>
        <w:t xml:space="preserve">Several older lots combined into one reserve with 0 lots created and a large acreage can clear a whole block face.</w:t>
      </w:r>
    </w:p>
    <w:p>
      <w:pPr>
        <w:numPr>
          <w:ilvl w:val="0"/>
          <w:numId w:val="1006"/>
        </w:numPr>
        <w:pStyle w:val="Compact"/>
      </w:pPr>
      <w:r>
        <w:rPr>
          <w:bCs/>
          <w:b/>
        </w:rPr>
        <w:t xml:space="preserve">Variances.</w:t>
      </w:r>
      <w:r>
        <w:t xml:space="preserve"> </w:t>
      </w:r>
      <w:r>
        <w:t xml:space="preserve">Requests to reduce building lines or change lot standards on an older site let a new building grow larger. They also require public notice, which gives us a chance to comment.</w:t>
      </w:r>
    </w:p>
    <w:p>
      <w:pPr>
        <w:numPr>
          <w:ilvl w:val="0"/>
          <w:numId w:val="1006"/>
        </w:numPr>
        <w:pStyle w:val="Compact"/>
      </w:pPr>
      <w:r>
        <w:rPr>
          <w:bCs/>
          <w:b/>
        </w:rPr>
        <w:t xml:space="preserve">Institutional sites.</w:t>
      </w:r>
      <w:r>
        <w:t xml:space="preserve"> </w:t>
      </w:r>
      <w:r>
        <w:t xml:space="preserve">Church, school or institutional land use, or a name suggesting a church, school, theater, store or other community landmark.</w:t>
      </w:r>
    </w:p>
    <w:p>
      <w:pPr>
        <w:numPr>
          <w:ilvl w:val="0"/>
          <w:numId w:val="1006"/>
        </w:numPr>
        <w:pStyle w:val="Compact"/>
      </w:pPr>
      <w:r>
        <w:rPr>
          <w:bCs/>
          <w:b/>
        </w:rPr>
        <w:t xml:space="preserve">A specific building in the old plat name.</w:t>
      </w:r>
      <w:r>
        <w:t xml:space="preserve"> </w:t>
      </w:r>
      <w:r>
        <w:t xml:space="preserve">Column P sometimes names a business or structure. On the October 1 agenda,</w:t>
      </w:r>
      <w:r>
        <w:t xml:space="preserve"> </w:t>
      </w:r>
      <w:r>
        <w:t xml:space="preserve">“</w:t>
      </w:r>
      <w:r>
        <w:t xml:space="preserve">Checkout on Ella</w:t>
      </w:r>
      <w:r>
        <w:t xml:space="preserve">”</w:t>
      </w:r>
      <w:r>
        <w:t xml:space="preserve"> </w:t>
      </w:r>
      <w:r>
        <w:t xml:space="preserve">replats a subdivision that includes</w:t>
      </w:r>
      <w:r>
        <w:t xml:space="preserve"> </w:t>
      </w:r>
      <w:r>
        <w:t xml:space="preserve">“</w:t>
      </w:r>
      <w:r>
        <w:t xml:space="preserve">Circle Saw Shop</w:t>
      </w:r>
      <w:r>
        <w:t xml:space="preserve">”</w:t>
      </w:r>
      <w:r>
        <w:t xml:space="preserve"> </w:t>
      </w:r>
      <w:r>
        <w:t xml:space="preserve">in its name.</w:t>
      </w:r>
    </w:p>
    <w:p>
      <w:pPr>
        <w:numPr>
          <w:ilvl w:val="0"/>
          <w:numId w:val="1006"/>
        </w:numPr>
        <w:pStyle w:val="Compact"/>
      </w:pPr>
      <w:r>
        <w:rPr>
          <w:bCs/>
          <w:b/>
        </w:rPr>
        <w:t xml:space="preserve">Neighborhoods with few designations.</w:t>
      </w:r>
      <w:r>
        <w:t xml:space="preserve"> </w:t>
      </w:r>
      <w:r>
        <w:t xml:space="preserve">Historically Black, Latino and working-class neighborhoods such as Fifth Ward, Third Ward, Independence Heights, Acres Home, Near Northside, Sunnyside and the East End have many significant buildings and few protections. They appear often on these agendas.</w:t>
      </w:r>
    </w:p>
    <w:p>
      <w:pPr>
        <w:numPr>
          <w:ilvl w:val="0"/>
          <w:numId w:val="1006"/>
        </w:numPr>
        <w:pStyle w:val="Compact"/>
      </w:pPr>
      <w:r>
        <w:rPr>
          <w:bCs/>
          <w:b/>
        </w:rPr>
        <w:t xml:space="preserve">Well-known older subdivisions.</w:t>
      </w:r>
      <w:r>
        <w:t xml:space="preserve"> </w:t>
      </w:r>
      <w:r>
        <w:t xml:space="preserve">Items like Riverside Terrace Sec 6 Partial Replat No 4 or Alabama Commons (replatting part of Washington Terrace) should always get a Pass 2 look.</w:t>
      </w:r>
    </w:p>
    <w:p>
      <w:pPr>
        <w:numPr>
          <w:ilvl w:val="0"/>
          <w:numId w:val="1006"/>
        </w:numPr>
        <w:pStyle w:val="Compact"/>
      </w:pPr>
      <w:r>
        <w:rPr>
          <w:bCs/>
          <w:b/>
        </w:rPr>
        <w:t xml:space="preserve">Large rural tracts.</w:t>
      </w:r>
      <w:r>
        <w:t xml:space="preserve"> </w:t>
      </w:r>
      <w:r>
        <w:t xml:space="preserve">In the ETJ, large acreage can contain unmarked cemeteries, farmsteads or rural churches.</w:t>
      </w:r>
    </w:p>
    <w:p>
      <w:pPr>
        <w:pStyle w:val="FirstParagraph"/>
      </w:pPr>
      <w:r>
        <w:rPr>
          <w:bCs/>
          <w:b/>
        </w:rPr>
        <w:t xml:space="preserve">Lower priority</w:t>
      </w:r>
    </w:p>
    <w:p>
      <w:pPr>
        <w:numPr>
          <w:ilvl w:val="0"/>
          <w:numId w:val="1007"/>
        </w:numPr>
        <w:pStyle w:val="Compact"/>
      </w:pPr>
      <w:r>
        <w:t xml:space="preserve">First-time plats with no previous subdivision, including large master-planned sections in the ETJ.</w:t>
      </w:r>
    </w:p>
    <w:p>
      <w:pPr>
        <w:numPr>
          <w:ilvl w:val="0"/>
          <w:numId w:val="1007"/>
        </w:numPr>
        <w:pStyle w:val="Compact"/>
      </w:pPr>
      <w:r>
        <w:t xml:space="preserve">Street dedications, general plans and utility sites.</w:t>
      </w:r>
    </w:p>
    <w:p>
      <w:pPr>
        <w:numPr>
          <w:ilvl w:val="0"/>
          <w:numId w:val="1007"/>
        </w:numPr>
        <w:pStyle w:val="Compact"/>
      </w:pPr>
      <w:r>
        <w:t xml:space="preserve">Replats of recent subdivisions. A previous subdivision that is itself a</w:t>
      </w:r>
      <w:r>
        <w:t xml:space="preserve"> </w:t>
      </w:r>
      <w:r>
        <w:t xml:space="preserve">“</w:t>
      </w:r>
      <w:r>
        <w:t xml:space="preserve">partial replat no 3</w:t>
      </w:r>
      <w:r>
        <w:t xml:space="preserve">”</w:t>
      </w:r>
      <w:r>
        <w:t xml:space="preserve"> </w:t>
      </w:r>
      <w:r>
        <w:t xml:space="preserve">or</w:t>
      </w:r>
      <w:r>
        <w:t xml:space="preserve"> </w:t>
      </w:r>
      <w:r>
        <w:t xml:space="preserve">“</w:t>
      </w:r>
      <w:r>
        <w:t xml:space="preserve">amending plat</w:t>
      </w:r>
      <w:r>
        <w:t xml:space="preserve">”</w:t>
      </w:r>
      <w:r>
        <w:t xml:space="preserve"> </w:t>
      </w:r>
      <w:r>
        <w:t xml:space="preserve">often means the older building is already gone. Confirm with Street View before dropping it.</w:t>
      </w:r>
    </w:p>
    <w:p>
      <w:pPr>
        <w:pStyle w:val="FirstParagraph"/>
      </w:pPr>
      <w:r>
        <w:t xml:space="preserve">The spreadsheet covers plats only. The full agenda PDF also lists Special Minimum Lot Size and Special Minimum Building Line applications, which neighborhoods use to protect their character. Skim those sections too.</w:t>
      </w:r>
    </w:p>
    <w:bookmarkEnd w:id="26"/>
    <w:bookmarkStart w:id="29" w:name="research-checks"/>
    <w:p>
      <w:pPr>
        <w:pStyle w:val="Heading2"/>
      </w:pPr>
      <w:r>
        <w:t xml:space="preserve">Variance requests and Public Hearing notices (beyond the spreadsheet)</w:t>
      </w:r>
    </w:p>
    <w:p>
      <w:pPr>
        <w:pStyle w:val="FirstParagraph"/>
      </w:pPr>
      <w:r>
        <w:t xml:space="preserve">The City's downloadable Excel file (Plat-Current-Agenda-Spreadsheet.xlsx) covers subdivision plats in Sections I.A through I.J, but it omits several high-priority agenda sections that only appear on the full Planning Commission PDF Agenda / Draft Agenda and the Public Hearings page. The automated Houston Building Atlas pipeline now extracts these items and merges them directly into your To check queue:</w:t>
      </w:r>
    </w:p>
    <w:tbl>
      <w:tblPr>
        <w:tblStyle w:val="Table"/>
        <w:tblW w:type="pct" w:w="5000"/>
        <w:tblLook w:firstRow="1" w:lastRow="0" w:firstColumn="0" w:lastColumn="0" w:noHBand="0" w:noVBand="0" w:val="0020"/>
        <w:jc w:val="start"/>
        <w:tblBorders>
          <w:top w:val="single" w:sz="4" w:color="C9D3DA"/>
          <w:left w:val="single" w:sz="4" w:color="C9D3DA"/>
          <w:bottom w:val="single" w:sz="4" w:color="C9D3DA"/>
          <w:right w:val="single" w:sz="4" w:color="C9D3DA"/>
          <w:insideH w:val="single" w:sz="4" w:color="C9D3DA"/>
          <w:insideV w:val="single" w:sz="4" w:color="C9D3DA"/>
        </w:tblBorders>
      </w:tblPr>
      <w:tblGrid>
        <w:gridCol w:w="2100"/>
        <w:gridCol w:w="1900"/>
        <w:gridCol w:w="3920"/>
      </w:tblGrid>
      <w:tr>
        <w:trPr>
          <w:tblHeader w:val="true"/>
        </w:trPr>
        <w:tc>
          <w:tcPr>
            <w:shd w:val="clear" w:fill="EDF1F3"/>
          </w:tcPr>
          <w:p>
            <w:pPr>
              <w:pStyle w:val="Compact"/>
              <w:jc w:val="left"/>
            </w:pPr>
            <w:r>
              <w:rPr>
                <w:b/>
                <w:sz w:val="18"/>
              </w:rPr>
              <w:t xml:space="preserve">Agenda Section</w:t>
            </w:r>
          </w:p>
        </w:tc>
        <w:tc>
          <w:tcPr>
            <w:shd w:val="clear" w:fill="EDF1F3"/>
          </w:tcPr>
          <w:p>
            <w:pPr>
              <w:pStyle w:val="Compact"/>
              <w:jc w:val="left"/>
            </w:pPr>
            <w:r>
              <w:rPr>
                <w:b/>
                <w:sz w:val="18"/>
              </w:rPr>
              <w:t xml:space="preserve">Code / Source</w:t>
            </w:r>
          </w:p>
        </w:tc>
        <w:tc>
          <w:tcPr>
            <w:shd w:val="clear" w:fill="EDF1F3"/>
          </w:tcPr>
          <w:p>
            <w:pPr>
              <w:pStyle w:val="Compact"/>
              <w:jc w:val="left"/>
            </w:pPr>
            <w:r>
              <w:rPr>
                <w:b/>
                <w:sz w:val="18"/>
              </w:rPr>
              <w:t xml:space="preserve">What It Means &amp; Why Preservation Houston Watches It</w:t>
            </w:r>
          </w:p>
        </w:tc>
      </w:tr>
      <w:tr>
        <w:tc>
          <w:tcPr/>
          <w:p>
            <w:pPr>
              <w:pStyle w:val="Compact"/>
              <w:jc w:val="left"/>
            </w:pPr>
            <w:r>
              <w:rPr>
                <w:sz w:val="18"/>
              </w:rPr>
              <w:t xml:space="preserve">Section I.K: Development Plat Variances</w:t>
            </w:r>
          </w:p>
        </w:tc>
        <w:tc>
          <w:tcPr/>
          <w:p>
            <w:pPr>
              <w:pStyle w:val="Compact"/>
              <w:jc w:val="left"/>
            </w:pPr>
            <w:r>
              <w:rPr>
                <w:sz w:val="18"/>
              </w:rPr>
              <w:t xml:space="preserve">DPV (PDF Agenda Only - Not in Excel)</w:t>
            </w:r>
          </w:p>
        </w:tc>
        <w:tc>
          <w:tcPr/>
          <w:p>
            <w:pPr>
              <w:pStyle w:val="Compact"/>
              <w:jc w:val="left"/>
            </w:pPr>
            <w:r>
              <w:rPr>
                <w:sz w:val="18"/>
              </w:rPr>
              <w:t xml:space="preserve">Requests for Chapter 42 variances on a development plat (when a builder develops or replaces a structure without subdividing or replatting the lot). Most DPV items request reduced front building lines (for example, 5 ft instead of 25 ft along a major thoroughfare), courtyard configurations, or pedestrian access waivers in older inner-loop neighborhoods (ETJ = 0). Always check whether a 50+ year old structure stands on the parcel.</w:t>
            </w:r>
          </w:p>
        </w:tc>
      </w:tr>
      <w:tr>
        <w:tc>
          <w:tcPr/>
          <w:p>
            <w:pPr>
              <w:pStyle w:val="Compact"/>
              <w:jc w:val="left"/>
            </w:pPr>
            <w:r>
              <w:rPr>
                <w:sz w:val="18"/>
              </w:rPr>
              <w:t xml:space="preserve">Section I.F: Subdivision Plat Variances</w:t>
            </w:r>
          </w:p>
        </w:tc>
        <w:tc>
          <w:tcPr/>
          <w:p>
            <w:pPr>
              <w:pStyle w:val="Compact"/>
              <w:jc w:val="left"/>
            </w:pPr>
            <w:r>
              <w:rPr>
                <w:sz w:val="18"/>
              </w:rPr>
              <w:t xml:space="preserve">C2R / C3R / C2 with Variance = Y</w:t>
            </w:r>
          </w:p>
        </w:tc>
        <w:tc>
          <w:tcPr/>
          <w:p>
            <w:pPr>
              <w:pStyle w:val="Compact"/>
              <w:jc w:val="left"/>
            </w:pPr>
            <w:r>
              <w:rPr>
                <w:sz w:val="18"/>
              </w:rPr>
              <w:t xml:space="preserve">Replats or subdivision plats accompanied by a Chapter 42 variance request (reduced building lines, flag lots, shared driveways, or street width waivers). Flagged automatically in the Monitor with a red Variance pill.</w:t>
            </w:r>
          </w:p>
        </w:tc>
      </w:tr>
      <w:tr>
        <w:tc>
          <w:tcPr/>
          <w:p>
            <w:pPr>
              <w:pStyle w:val="Compact"/>
              <w:jc w:val="left"/>
            </w:pPr>
            <w:r>
              <w:rPr>
                <w:sz w:val="18"/>
              </w:rPr>
              <w:t xml:space="preserve">Section IV &amp; Public Hearing Notices</w:t>
            </w:r>
          </w:p>
        </w:tc>
        <w:tc>
          <w:tcPr/>
          <w:p>
            <w:pPr>
              <w:pStyle w:val="Compact"/>
              <w:jc w:val="left"/>
            </w:pPr>
            <w:r>
              <w:rPr>
                <w:sz w:val="18"/>
              </w:rPr>
              <w:t xml:space="preserve">C3N / Replat Public Hearing Notices</w:t>
            </w:r>
          </w:p>
        </w:tc>
        <w:tc>
          <w:tcPr/>
          <w:p>
            <w:pPr>
              <w:pStyle w:val="Compact"/>
              <w:jc w:val="left"/>
            </w:pPr>
            <w:r>
              <w:rPr>
                <w:sz w:val="18"/>
              </w:rPr>
              <w:t xml:space="preserve">Under Texas Local Gov't Code Ch. 212, replats of single-family residential lots without vacating the preceding plat require a public hearing and mailed notice to neighbors within 200-500 ft. Public Hearing notices are posted two weeks before the vote, giving Preservation Houston an early two-week warning before the Commission acts. The Monitor links directly to each item's Public Hearing Notice and Site Plan PDF.</w:t>
            </w:r>
          </w:p>
        </w:tc>
      </w:tr>
      <w:tr>
        <w:tc>
          <w:tcPr/>
          <w:p>
            <w:pPr>
              <w:pStyle w:val="Compact"/>
              <w:jc w:val="left"/>
            </w:pPr>
            <w:r>
              <w:rPr>
                <w:sz w:val="18"/>
              </w:rPr>
              <w:t xml:space="preserve">Sections II &amp; III: SMLS / SMBL Applications</w:t>
            </w:r>
          </w:p>
        </w:tc>
        <w:tc>
          <w:tcPr/>
          <w:p>
            <w:pPr>
              <w:pStyle w:val="Compact"/>
              <w:jc w:val="left"/>
            </w:pPr>
            <w:r>
              <w:rPr>
                <w:sz w:val="18"/>
              </w:rPr>
              <w:t xml:space="preserve">Ch. 42 Special Minimum Lot Size / Building Line</w:t>
            </w:r>
          </w:p>
        </w:tc>
        <w:tc>
          <w:tcPr/>
          <w:p>
            <w:pPr>
              <w:pStyle w:val="Compact"/>
              <w:jc w:val="left"/>
            </w:pPr>
            <w:r>
              <w:rPr>
                <w:sz w:val="18"/>
              </w:rPr>
              <w:t xml:space="preserve">Applications filed by neighborhood residents to establish a Special Minimum Lot Size (SMLS) or Special Minimum Building Line (SMBL) block or area. These are preservation-positive tools that block future lot splits and out-of-scale setbacks. Existing SMLS/SMBL boundaries are overlaid in the Houston Building Atlas.</w:t>
            </w:r>
          </w:p>
        </w:tc>
      </w:tr>
    </w:tbl>
    <w:p>
      <w:pPr>
        <w:pStyle w:val="BodyText"/>
      </w:pPr>
      <w:r>
        <w:t xml:space="preserve">How the Monitor handles Section K and Public Hearings automatically:</w:t>
      </w:r>
    </w:p>
    <w:p>
      <w:pPr>
        <w:numPr>
          <w:ilvl w:val="0"/>
          <w:numId w:val="1002"/>
        </w:numPr>
        <w:pStyle w:val="Compact"/>
      </w:pPr>
      <w:r>
        <w:t xml:space="preserve">Every night (and before each biweekly Planning Commission meeting), the Houston Building Atlas pipeline fetches both Plat-Current-Agenda-Spreadsheet.xlsx and the PDF Agenda / Outline (Plat-Agenda-Report-Outline.pdf), extracts all Section K DPV items and Section IV Public Hearing notices, resolves their street addresses and HCAD accounts, and places them at the top of the To check queue with Tier 1 / Tier 2 recommendations.</w:t>
      </w:r>
    </w:p>
    <w:p>
      <w:pPr>
        <w:numPr>
          <w:ilvl w:val="0"/>
          <w:numId w:val="1002"/>
        </w:numPr>
        <w:pStyle w:val="Compact"/>
      </w:pPr>
      <w:r>
        <w:t xml:space="preserve">Each Section K and Section IV item includes a direct link to the City's Public Hearing Notice &amp; Site Plan PDF when published on houstontx.gov/planning/Commissions/public_hearings.html.</w:t>
      </w:r>
    </w:p>
    <w:p>
      <w:pPr>
        <w:pStyle w:val="Heading2"/>
      </w:pPr>
      <w:r>
        <w:t xml:space="preserve">Automated Houston Building Atlas pre-enrichment</w:t>
      </w:r>
    </w:p>
    <w:p>
      <w:pPr>
        <w:pStyle w:val="FirstParagraph"/>
      </w:pPr>
      <w:r>
        <w:t xml:space="preserve">Instead of looking up every parcel manually from scratch during Pass 2 and Pass 3, each item card in the Plat Agenda Monitor now displays an Automated Houston Building Atlas Pre-Enrichment panel with:</w:t>
      </w:r>
    </w:p>
    <w:p>
      <w:pPr>
        <w:numPr>
          <w:ilvl w:val="0"/>
          <w:numId w:val="1002"/>
        </w:numPr>
        <w:pStyle w:val="Compact"/>
      </w:pPr>
      <w:r>
        <w:t xml:space="preserve">Parcel Address &amp; HCAD Account: Resolved via HCAD account number, exact historic subdivision + block + lot lookup, or spatial matching.</w:t>
      </w:r>
    </w:p>
    <w:p>
      <w:pPr>
        <w:numPr>
          <w:ilvl w:val="0"/>
          <w:numId w:val="1002"/>
        </w:numPr>
        <w:pStyle w:val="Compact"/>
      </w:pPr>
      <w:r>
        <w:t xml:space="preserve">Building Year Built &amp; Historic Addition Era: Shows both the specific building's HCAD construction year (plus any curated historical date correction) and the earliest/median construction year of the surrounding historic platted subdivision (for example, Montrose est. 1911, Hyde Park est. 1893, Magnolia Park est. 1909, Foster Place est. 1924).</w:t>
      </w:r>
    </w:p>
    <w:p>
      <w:pPr>
        <w:numPr>
          <w:ilvl w:val="0"/>
          <w:numId w:val="1002"/>
        </w:numPr>
        <w:pStyle w:val="Compact"/>
      </w:pPr>
      <w:r>
        <w:t xml:space="preserve">Designation &amp; Protection Cross-Reference: Flags City of Houston Landmarks, Protected Landmarks, COH Historic Districts, National Register (NRHP) Districts, Preservation Houston Good Brick Award winners, and active COH Sold Permits or TX DSHS Asbestos Notifications.</w:t>
      </w:r>
    </w:p>
    <w:p>
      <w:pPr>
        <w:numPr>
          <w:ilvl w:val="0"/>
          <w:numId w:val="1002"/>
        </w:numPr>
        <w:pStyle w:val="Compact"/>
      </w:pPr>
      <w:r>
        <w:t xml:space="preserve">One-Click Atlas Map Deep Link: Clicking 'View in Houston Building Atlas Map' opens the exact parcel in 3D/2D with Sanborn Fire Insurance Map overlays (1885-1951), Street View Time Machine, archival photographs, and full building dossiers.</w:t>
      </w:r>
    </w:p>
    <w:p>
      <w:pPr>
        <w:pStyle w:val="Heading2"/>
      </w:pPr>
      <w:r>
        <w:t xml:space="preserve">The 15-point Property Watchlist and multi-agency tracker</w:t>
      </w:r>
    </w:p>
    <w:p>
      <w:pPr>
        <w:pStyle w:val="FirstParagraph"/>
      </w:pPr>
      <w:r>
        <w:t xml:space="preserve">When a plat application is marked Tier 1 (Immediate Check) or Tier 2 (Monitor), or when Preservation Houston tracks an endangered historic landmark such as the 1898 John Henry Kirby Mansion (2000 Smith St. / 530 Pierce St.), click '+ Promote to Property Watchlist' or switch to the Property Watchlist tab at the top of the Monitor.</w:t>
      </w:r>
    </w:p>
    <w:p>
      <w:pPr>
        <w:pStyle w:val="BodyText"/>
      </w:pPr>
      <w:r>
        <w:t xml:space="preserve">Why multi-address and multi-agency monitoring matters: Developers frequently file architectural barriers registrations, plan reviews, or permits under a secondary block-perimeter address or a tenant/DBA name rather than the historic landmark address. For example, on the Kirby Mansion block (Block 442 SSBB, HCAD 0152300000001), the gas station and convenience store redevelopment ('Braketime Smith Road') was registered with TDLR TABS (#TABS2026022839) and City of Houston Plan Review (#26052089) under 530 Pierce St. rather than 2000 Smith St. Always record all four perimeter street frontages and all associated LLC/DBA names on a watched property.</w:t>
      </w:r>
    </w:p>
    <w:tbl>
      <w:tblPr>
        <w:tblStyle w:val="Table"/>
        <w:tblW w:type="pct" w:w="5000"/>
        <w:tblLook w:firstRow="1" w:lastRow="0" w:firstColumn="0" w:lastColumn="0" w:noHBand="0" w:noVBand="0" w:val="0020"/>
        <w:jc w:val="start"/>
        <w:tblBorders>
          <w:top w:val="single" w:sz="4" w:color="C9D3DA"/>
          <w:left w:val="single" w:sz="4" w:color="C9D3DA"/>
          <w:bottom w:val="single" w:sz="4" w:color="C9D3DA"/>
          <w:right w:val="single" w:sz="4" w:color="C9D3DA"/>
          <w:insideH w:val="single" w:sz="4" w:color="C9D3DA"/>
          <w:insideV w:val="single" w:sz="4" w:color="C9D3DA"/>
        </w:tblBorders>
      </w:tblPr>
      <w:tblGrid>
        <w:gridCol w:w="1650"/>
        <w:gridCol w:w="2350"/>
        <w:gridCol w:w="3920"/>
      </w:tblGrid>
      <w:tr>
        <w:trPr>
          <w:tblHeader w:val="true"/>
        </w:trPr>
        <w:tc>
          <w:tcPr>
            <w:shd w:val="clear" w:fill="EDF1F3"/>
          </w:tcPr>
          <w:p>
            <w:pPr>
              <w:pStyle w:val="Compact"/>
              <w:jc w:val="left"/>
            </w:pPr>
            <w:r>
              <w:rPr>
                <w:b/>
                <w:sz w:val="18"/>
              </w:rPr>
              <w:t xml:space="preserve">Category</w:t>
            </w:r>
          </w:p>
        </w:tc>
        <w:tc>
          <w:tcPr>
            <w:shd w:val="clear" w:fill="EDF1F3"/>
          </w:tcPr>
          <w:p>
            <w:pPr>
              <w:pStyle w:val="Compact"/>
              <w:jc w:val="left"/>
            </w:pPr>
            <w:r>
              <w:rPr>
                <w:b/>
                <w:sz w:val="18"/>
              </w:rPr>
              <w:t xml:space="preserve">Source / Agency</w:t>
            </w:r>
          </w:p>
        </w:tc>
        <w:tc>
          <w:tcPr>
            <w:shd w:val="clear" w:fill="EDF1F3"/>
          </w:tcPr>
          <w:p>
            <w:pPr>
              <w:pStyle w:val="Compact"/>
              <w:jc w:val="left"/>
            </w:pPr>
            <w:r>
              <w:rPr>
                <w:b/>
                <w:sz w:val="18"/>
              </w:rPr>
              <w:t xml:space="preserve">Cadence &amp; What to Check</w:t>
            </w:r>
          </w:p>
        </w:tc>
      </w:tr>
      <w:tr>
        <w:tc>
          <w:tcPr/>
          <w:p>
            <w:pPr>
              <w:pStyle w:val="Compact"/>
              <w:jc w:val="left"/>
            </w:pPr>
            <w:r>
              <w:rPr>
                <w:sz w:val="18"/>
              </w:rPr>
              <w:t xml:space="preserve">Permits &amp; Inspections</w:t>
            </w:r>
          </w:p>
        </w:tc>
        <w:tc>
          <w:tcPr/>
          <w:p>
            <w:pPr>
              <w:pStyle w:val="Compact"/>
              <w:jc w:val="left"/>
            </w:pPr>
            <w:r>
              <w:rPr>
                <w:sz w:val="18"/>
              </w:rPr>
              <w:t xml:space="preserve">1. COH Permitting Portal (iPermits / ILMS) &amp; Weekly Sold Permits</w:t>
            </w:r>
          </w:p>
        </w:tc>
        <w:tc>
          <w:tcPr/>
          <w:p>
            <w:pPr>
              <w:pStyle w:val="Compact"/>
              <w:jc w:val="left"/>
            </w:pPr>
            <w:r>
              <w:rPr>
                <w:sz w:val="18"/>
              </w:rPr>
              <w:t xml:space="preserve">Weekly: Check both Sold Permits and ILMS Plan Review by street number + street name across all perimeter addresses (building, demolition, sewer disconnect, mechanical/electrical/plumbing).</w:t>
            </w:r>
          </w:p>
        </w:tc>
      </w:tr>
      <w:tr>
        <w:tc>
          <w:tcPr/>
          <w:p>
            <w:pPr>
              <w:pStyle w:val="Compact"/>
              <w:jc w:val="left"/>
            </w:pPr>
            <w:r>
              <w:rPr>
                <w:sz w:val="18"/>
              </w:rPr>
              <w:t xml:space="preserve">Permits &amp; Inspections</w:t>
            </w:r>
          </w:p>
        </w:tc>
        <w:tc>
          <w:tcPr/>
          <w:p>
            <w:pPr>
              <w:pStyle w:val="Compact"/>
              <w:jc w:val="left"/>
            </w:pPr>
            <w:r>
              <w:rPr>
                <w:sz w:val="18"/>
              </w:rPr>
              <w:t xml:space="preserve">2. TX DSHS Asbestos Notifications</w:t>
            </w:r>
          </w:p>
        </w:tc>
        <w:tc>
          <w:tcPr/>
          <w:p>
            <w:pPr>
              <w:pStyle w:val="Compact"/>
              <w:jc w:val="left"/>
            </w:pPr>
            <w:r>
              <w:rPr>
                <w:sz w:val="18"/>
              </w:rPr>
              <w:t xml:space="preserve">Weekly: Required 10 working days before any commercial demolition or renovation disturbing regulated asbestos-containing material (RACM).</w:t>
            </w:r>
          </w:p>
        </w:tc>
      </w:tr>
      <w:tr>
        <w:tc>
          <w:tcPr/>
          <w:p>
            <w:pPr>
              <w:pStyle w:val="Compact"/>
              <w:jc w:val="left"/>
            </w:pPr>
            <w:r>
              <w:rPr>
                <w:sz w:val="18"/>
              </w:rPr>
              <w:t xml:space="preserve">Permits &amp; Inspections</w:t>
            </w:r>
          </w:p>
        </w:tc>
        <w:tc>
          <w:tcPr/>
          <w:p>
            <w:pPr>
              <w:pStyle w:val="Compact"/>
              <w:jc w:val="left"/>
            </w:pPr>
            <w:r>
              <w:rPr>
                <w:sz w:val="18"/>
              </w:rPr>
              <w:t xml:space="preserve">3. TDLR Architectural Barriers (TABS)</w:t>
            </w:r>
          </w:p>
        </w:tc>
        <w:tc>
          <w:tcPr/>
          <w:p>
            <w:pPr>
              <w:pStyle w:val="Compact"/>
              <w:jc w:val="left"/>
            </w:pPr>
            <w:r>
              <w:rPr>
                <w:sz w:val="18"/>
              </w:rPr>
              <w:t xml:space="preserve">Weekly: Required for commercial construction/renovation &gt;= $50,000. Reveals project name, scope, start/completion dates, design firm, and tenant DBA months before building permits issue.</w:t>
            </w:r>
          </w:p>
        </w:tc>
      </w:tr>
      <w:tr>
        <w:tc>
          <w:tcPr/>
          <w:p>
            <w:pPr>
              <w:pStyle w:val="Compact"/>
              <w:jc w:val="left"/>
            </w:pPr>
            <w:r>
              <w:rPr>
                <w:sz w:val="18"/>
              </w:rPr>
              <w:t xml:space="preserve">Plats &amp; Land Use</w:t>
            </w:r>
          </w:p>
        </w:tc>
        <w:tc>
          <w:tcPr/>
          <w:p>
            <w:pPr>
              <w:pStyle w:val="Compact"/>
              <w:jc w:val="left"/>
            </w:pPr>
            <w:r>
              <w:rPr>
                <w:sz w:val="18"/>
              </w:rPr>
              <w:t xml:space="preserve">4. COH Planning Commission Agendas &amp; Plat Tracker</w:t>
            </w:r>
          </w:p>
        </w:tc>
        <w:tc>
          <w:tcPr/>
          <w:p>
            <w:pPr>
              <w:pStyle w:val="Compact"/>
              <w:jc w:val="left"/>
            </w:pPr>
            <w:r>
              <w:rPr>
                <w:sz w:val="18"/>
              </w:rPr>
              <w:t xml:space="preserve">Biweekly (Thursdays): Check spreadsheet plats, Section K DPV variances, and Section IV Public Hearing notices.</w:t>
            </w:r>
          </w:p>
        </w:tc>
      </w:tr>
      <w:tr>
        <w:tc>
          <w:tcPr/>
          <w:p>
            <w:pPr>
              <w:pStyle w:val="Compact"/>
              <w:jc w:val="left"/>
            </w:pPr>
            <w:r>
              <w:rPr>
                <w:sz w:val="18"/>
              </w:rPr>
              <w:t xml:space="preserve">Plats &amp; Land Use</w:t>
            </w:r>
          </w:p>
        </w:tc>
        <w:tc>
          <w:tcPr/>
          <w:p>
            <w:pPr>
              <w:pStyle w:val="Compact"/>
              <w:jc w:val="left"/>
            </w:pPr>
            <w:r>
              <w:rPr>
                <w:sz w:val="18"/>
              </w:rPr>
              <w:t xml:space="preserve">5. HAHC Agendas</w:t>
            </w:r>
          </w:p>
        </w:tc>
        <w:tc>
          <w:tcPr/>
          <w:p>
            <w:pPr>
              <w:pStyle w:val="Compact"/>
              <w:jc w:val="left"/>
            </w:pPr>
            <w:r>
              <w:rPr>
                <w:sz w:val="18"/>
              </w:rPr>
              <w:t xml:space="preserve">Monthly: Check Certificates of Appropriateness (COA), landmark designations, and demolition/relocation reviews.</w:t>
            </w:r>
          </w:p>
        </w:tc>
      </w:tr>
      <w:tr>
        <w:tc>
          <w:tcPr/>
          <w:p>
            <w:pPr>
              <w:pStyle w:val="Compact"/>
              <w:jc w:val="left"/>
            </w:pPr>
            <w:r>
              <w:rPr>
                <w:sz w:val="18"/>
              </w:rPr>
              <w:t xml:space="preserve">Ownership &amp; Financial</w:t>
            </w:r>
          </w:p>
        </w:tc>
        <w:tc>
          <w:tcPr/>
          <w:p>
            <w:pPr>
              <w:pStyle w:val="Compact"/>
              <w:jc w:val="left"/>
            </w:pPr>
            <w:r>
              <w:rPr>
                <w:sz w:val="18"/>
              </w:rPr>
              <w:t xml:space="preserve">6. HCAD Ownership &amp; Appraisal Records</w:t>
            </w:r>
          </w:p>
        </w:tc>
        <w:tc>
          <w:tcPr/>
          <w:p>
            <w:pPr>
              <w:pStyle w:val="Compact"/>
              <w:jc w:val="left"/>
            </w:pPr>
            <w:r>
              <w:rPr>
                <w:sz w:val="18"/>
              </w:rPr>
              <w:t xml:space="preserve">Monthly: Check owner of record, mailing address, valuation changes, and exemption changes.</w:t>
            </w:r>
          </w:p>
        </w:tc>
      </w:tr>
      <w:tr>
        <w:tc>
          <w:tcPr/>
          <w:p>
            <w:pPr>
              <w:pStyle w:val="Compact"/>
              <w:jc w:val="left"/>
            </w:pPr>
            <w:r>
              <w:rPr>
                <w:sz w:val="18"/>
              </w:rPr>
              <w:t xml:space="preserve">Ownership &amp; Financial</w:t>
            </w:r>
          </w:p>
        </w:tc>
        <w:tc>
          <w:tcPr/>
          <w:p>
            <w:pPr>
              <w:pStyle w:val="Compact"/>
              <w:jc w:val="left"/>
            </w:pPr>
            <w:r>
              <w:rPr>
                <w:sz w:val="18"/>
              </w:rPr>
              <w:t xml:space="preserve">7. Harris County Clerk Real Property Records</w:t>
            </w:r>
          </w:p>
        </w:tc>
        <w:tc>
          <w:tcPr/>
          <w:p>
            <w:pPr>
              <w:pStyle w:val="Compact"/>
              <w:jc w:val="left"/>
            </w:pPr>
            <w:r>
              <w:rPr>
                <w:sz w:val="18"/>
              </w:rPr>
              <w:t xml:space="preserve">Monthly: Search grantor/grantee for deeds, Deeds of Trust (construction loans), mechanic's liens, easements, and lis pendens.</w:t>
            </w:r>
          </w:p>
        </w:tc>
      </w:tr>
      <w:tr>
        <w:tc>
          <w:tcPr/>
          <w:p>
            <w:pPr>
              <w:pStyle w:val="Compact"/>
              <w:jc w:val="left"/>
            </w:pPr>
            <w:r>
              <w:rPr>
                <w:sz w:val="18"/>
              </w:rPr>
              <w:t xml:space="preserve">Tax &amp; Court</w:t>
            </w:r>
          </w:p>
        </w:tc>
        <w:tc>
          <w:tcPr/>
          <w:p>
            <w:pPr>
              <w:pStyle w:val="Compact"/>
              <w:jc w:val="left"/>
            </w:pPr>
            <w:r>
              <w:rPr>
                <w:sz w:val="18"/>
              </w:rPr>
              <w:t xml:space="preserve">8. Harris County Tax Office</w:t>
            </w:r>
          </w:p>
        </w:tc>
        <w:tc>
          <w:tcPr/>
          <w:p>
            <w:pPr>
              <w:pStyle w:val="Compact"/>
              <w:jc w:val="left"/>
            </w:pPr>
            <w:r>
              <w:rPr>
                <w:sz w:val="18"/>
              </w:rPr>
              <w:t xml:space="preserve">Quarterly: Check property tax payment status and delinquency.</w:t>
            </w:r>
          </w:p>
        </w:tc>
      </w:tr>
      <w:tr>
        <w:tc>
          <w:tcPr/>
          <w:p>
            <w:pPr>
              <w:pStyle w:val="Compact"/>
              <w:jc w:val="left"/>
            </w:pPr>
            <w:r>
              <w:rPr>
                <w:sz w:val="18"/>
              </w:rPr>
              <w:t xml:space="preserve">Tax &amp; Court</w:t>
            </w:r>
          </w:p>
        </w:tc>
        <w:tc>
          <w:tcPr/>
          <w:p>
            <w:pPr>
              <w:pStyle w:val="Compact"/>
              <w:jc w:val="left"/>
            </w:pPr>
            <w:r>
              <w:rPr>
                <w:sz w:val="18"/>
              </w:rPr>
              <w:t xml:space="preserve">9. Harris County District &amp; County Civil Courts</w:t>
            </w:r>
          </w:p>
        </w:tc>
        <w:tc>
          <w:tcPr/>
          <w:p>
            <w:pPr>
              <w:pStyle w:val="Compact"/>
              <w:jc w:val="left"/>
            </w:pPr>
            <w:r>
              <w:rPr>
                <w:sz w:val="18"/>
              </w:rPr>
              <w:t xml:space="preserve">Monthly: Search owner LLC and principals for lawsuits, receiverships, foreclosure actions, or city code enforcement suits.</w:t>
            </w:r>
          </w:p>
        </w:tc>
      </w:tr>
      <w:tr>
        <w:tc>
          <w:tcPr/>
          <w:p>
            <w:pPr>
              <w:pStyle w:val="Compact"/>
              <w:jc w:val="left"/>
            </w:pPr>
            <w:r>
              <w:rPr>
                <w:sz w:val="18"/>
              </w:rPr>
              <w:t xml:space="preserve">Code &amp; Condition</w:t>
            </w:r>
          </w:p>
        </w:tc>
        <w:tc>
          <w:tcPr/>
          <w:p>
            <w:pPr>
              <w:pStyle w:val="Compact"/>
              <w:jc w:val="left"/>
            </w:pPr>
            <w:r>
              <w:rPr>
                <w:sz w:val="18"/>
              </w:rPr>
              <w:t xml:space="preserve">10. Houston 311 / Code Enforcement</w:t>
            </w:r>
          </w:p>
        </w:tc>
        <w:tc>
          <w:tcPr/>
          <w:p>
            <w:pPr>
              <w:pStyle w:val="Compact"/>
              <w:jc w:val="left"/>
            </w:pPr>
            <w:r>
              <w:rPr>
                <w:sz w:val="18"/>
              </w:rPr>
              <w:t xml:space="preserve">Monthly: Check open and closed 311 service requests (dangerous buildings, nuisance, unpermitted work, water leaks).</w:t>
            </w:r>
          </w:p>
        </w:tc>
      </w:tr>
      <w:tr>
        <w:tc>
          <w:tcPr/>
          <w:p>
            <w:pPr>
              <w:pStyle w:val="Compact"/>
              <w:jc w:val="left"/>
            </w:pPr>
            <w:r>
              <w:rPr>
                <w:sz w:val="18"/>
              </w:rPr>
              <w:t xml:space="preserve">Code &amp; Condition</w:t>
            </w:r>
          </w:p>
        </w:tc>
        <w:tc>
          <w:tcPr/>
          <w:p>
            <w:pPr>
              <w:pStyle w:val="Compact"/>
              <w:jc w:val="left"/>
            </w:pPr>
            <w:r>
              <w:rPr>
                <w:sz w:val="18"/>
              </w:rPr>
              <w:t xml:space="preserve">11. Site Visit / Visual Inspection</w:t>
            </w:r>
          </w:p>
        </w:tc>
        <w:tc>
          <w:tcPr/>
          <w:p>
            <w:pPr>
              <w:pStyle w:val="Compact"/>
              <w:jc w:val="left"/>
            </w:pPr>
            <w:r>
              <w:rPr>
                <w:sz w:val="18"/>
              </w:rPr>
              <w:t xml:space="preserve">Monthly: Photograph all four sides, roof, fencing, utility markings, surveyor stakes, and posted permit placards.</w:t>
            </w:r>
          </w:p>
        </w:tc>
      </w:tr>
      <w:tr>
        <w:tc>
          <w:tcPr/>
          <w:p>
            <w:pPr>
              <w:pStyle w:val="Compact"/>
              <w:jc w:val="left"/>
            </w:pPr>
            <w:r>
              <w:rPr>
                <w:sz w:val="18"/>
              </w:rPr>
              <w:t xml:space="preserve">Business &amp; Licensing</w:t>
            </w:r>
          </w:p>
        </w:tc>
        <w:tc>
          <w:tcPr/>
          <w:p>
            <w:pPr>
              <w:pStyle w:val="Compact"/>
              <w:jc w:val="left"/>
            </w:pPr>
            <w:r>
              <w:rPr>
                <w:sz w:val="18"/>
              </w:rPr>
              <w:t xml:space="preserve">12. TX Comptroller Sales &amp; Franchise Tax</w:t>
            </w:r>
          </w:p>
        </w:tc>
        <w:tc>
          <w:tcPr/>
          <w:p>
            <w:pPr>
              <w:pStyle w:val="Compact"/>
              <w:jc w:val="left"/>
            </w:pPr>
            <w:r>
              <w:rPr>
                <w:sz w:val="18"/>
              </w:rPr>
              <w:t xml:space="preserve">Quarterly: Search property addresses for active sales tax permits and check SOS/Comptroller franchise tax standing for owner LLCs.</w:t>
            </w:r>
          </w:p>
        </w:tc>
      </w:tr>
      <w:tr>
        <w:tc>
          <w:tcPr/>
          <w:p>
            <w:pPr>
              <w:pStyle w:val="Compact"/>
              <w:jc w:val="left"/>
            </w:pPr>
            <w:r>
              <w:rPr>
                <w:sz w:val="18"/>
              </w:rPr>
              <w:t xml:space="preserve">Business &amp; Licensing</w:t>
            </w:r>
          </w:p>
        </w:tc>
        <w:tc>
          <w:tcPr/>
          <w:p>
            <w:pPr>
              <w:pStyle w:val="Compact"/>
              <w:jc w:val="left"/>
            </w:pPr>
            <w:r>
              <w:rPr>
                <w:sz w:val="18"/>
              </w:rPr>
              <w:t xml:space="preserve">13. TABC Public Inquiry (AIMS)</w:t>
            </w:r>
          </w:p>
        </w:tc>
        <w:tc>
          <w:tcPr/>
          <w:p>
            <w:pPr>
              <w:pStyle w:val="Compact"/>
              <w:jc w:val="left"/>
            </w:pPr>
            <w:r>
              <w:rPr>
                <w:sz w:val="18"/>
              </w:rPr>
              <w:t xml:space="preserve">Quarterly: Search all perimeter addresses for pending or active liquor/beer/wine retailer permits (often filed for gas stations, convenience stores, bars, or restaurants).</w:t>
            </w:r>
          </w:p>
        </w:tc>
      </w:tr>
      <w:tr>
        <w:tc>
          <w:tcPr/>
          <w:p>
            <w:pPr>
              <w:pStyle w:val="Compact"/>
              <w:jc w:val="left"/>
            </w:pPr>
            <w:r>
              <w:rPr>
                <w:sz w:val="18"/>
              </w:rPr>
              <w:t xml:space="preserve">News &amp; Market</w:t>
            </w:r>
          </w:p>
        </w:tc>
        <w:tc>
          <w:tcPr/>
          <w:p>
            <w:pPr>
              <w:pStyle w:val="Compact"/>
              <w:jc w:val="left"/>
            </w:pPr>
            <w:r>
              <w:rPr>
                <w:sz w:val="18"/>
              </w:rPr>
              <w:t xml:space="preserve">14. Commercial Real Estate Listings (LoopNet / Crexi)</w:t>
            </w:r>
          </w:p>
        </w:tc>
        <w:tc>
          <w:tcPr/>
          <w:p>
            <w:pPr>
              <w:pStyle w:val="Compact"/>
              <w:jc w:val="left"/>
            </w:pPr>
            <w:r>
              <w:rPr>
                <w:sz w:val="18"/>
              </w:rPr>
              <w:t xml:space="preserve">Monthly: Check for sale/lease listings, marketing flyers, or site plan renderings.</w:t>
            </w:r>
          </w:p>
        </w:tc>
      </w:tr>
      <w:tr>
        <w:tc>
          <w:tcPr/>
          <w:p>
            <w:pPr>
              <w:pStyle w:val="Compact"/>
              <w:jc w:val="left"/>
            </w:pPr>
            <w:r>
              <w:rPr>
                <w:sz w:val="18"/>
              </w:rPr>
              <w:t xml:space="preserve">News &amp; Market</w:t>
            </w:r>
          </w:p>
        </w:tc>
        <w:tc>
          <w:tcPr/>
          <w:p>
            <w:pPr>
              <w:pStyle w:val="Compact"/>
              <w:jc w:val="left"/>
            </w:pPr>
            <w:r>
              <w:rPr>
                <w:sz w:val="18"/>
              </w:rPr>
              <w:t xml:space="preserve">15. News, Social Media &amp; HAIF</w:t>
            </w:r>
          </w:p>
        </w:tc>
        <w:tc>
          <w:tcPr/>
          <w:p>
            <w:pPr>
              <w:pStyle w:val="Compact"/>
              <w:jc w:val="left"/>
            </w:pPr>
            <w:r>
              <w:rPr>
                <w:sz w:val="18"/>
              </w:rPr>
              <w:t xml:space="preserve">Weekly: Search Google News, Houston Architecture Info Forum (HAIF), and social media for property, owner, and architect mentions.</w:t>
            </w:r>
          </w:p>
        </w:tc>
      </w:tr>
    </w:tbl>
    <w:p>
      <w:pPr>
        <w:pStyle w:val="Heading2"/>
      </w:pPr>
      <w:r>
        <w:t xml:space="preserve">Research checks</w:t>
      </w:r>
    </w:p>
    <w:p>
      <w:pPr>
        <w:pStyle w:val="FirstParagraph"/>
      </w:pPr>
      <w:r>
        <w:t xml:space="preserve">For every item that reaches Pass 3, answer four questions: how old is the building, is it designated, is it significant, and how soon could it be lost. Record your answers in the log with a link to each source.</w:t>
      </w:r>
    </w:p>
    <w:p>
      <w:pPr>
        <w:pStyle w:val="BodyText"/>
      </w:pPr>
      <w:r>
        <w:rPr>
          <w:bCs/>
          <w:b/>
        </w:rPr>
        <w:t xml:space="preserve">Finding the address.</w:t>
      </w:r>
      <w:r>
        <w:t xml:space="preserve"> </w:t>
      </w:r>
      <w:r>
        <w:t xml:space="preserve">Plats show lots, blocks and streets but no street addresses, so find the address through the appraisal district. Try these in order:</w:t>
      </w:r>
    </w:p>
    <w:p>
      <w:pPr>
        <w:numPr>
          <w:ilvl w:val="0"/>
          <w:numId w:val="1008"/>
        </w:numPr>
        <w:pStyle w:val="Compact"/>
      </w:pPr>
      <w:r>
        <w:rPr>
          <w:bCs/>
          <w:b/>
        </w:rPr>
        <w:t xml:space="preserve">HCAD account number.</w:t>
      </w:r>
      <w:r>
        <w:t xml:space="preserve"> </w:t>
      </w:r>
      <w:r>
        <w:t xml:space="preserve">If column Z has one, the HCAD record gives the property address. The monitor links to it.</w:t>
      </w:r>
    </w:p>
    <w:p>
      <w:pPr>
        <w:numPr>
          <w:ilvl w:val="0"/>
          <w:numId w:val="1008"/>
        </w:numPr>
        <w:pStyle w:val="Compact"/>
      </w:pPr>
      <w:r>
        <w:rPr>
          <w:bCs/>
          <w:b/>
        </w:rPr>
        <w:t xml:space="preserve">Owner name.</w:t>
      </w:r>
      <w:r>
        <w:t xml:space="preserve"> </w:t>
      </w:r>
      <w:r>
        <w:t xml:space="preserve">The plat’s owner dedication statement names the owner. Search HCAD by that name. A recent sale may not show up yet.</w:t>
      </w:r>
    </w:p>
    <w:p>
      <w:pPr>
        <w:numPr>
          <w:ilvl w:val="0"/>
          <w:numId w:val="1008"/>
        </w:numPr>
        <w:pStyle w:val="Compact"/>
      </w:pPr>
      <w:r>
        <w:rPr>
          <w:bCs/>
          <w:b/>
        </w:rPr>
        <w:t xml:space="preserve">HCAD map.</w:t>
      </w:r>
      <w:r>
        <w:t xml:space="preserve"> </w:t>
      </w:r>
      <w:r>
        <w:t xml:space="preserve">The plat’s title block names the lots, block and original subdivision being replatted, and the drawing labels the bordering streets. Use the vicinity map and the Key Map grid (column L) to find the area in HCAD’s map viewer, then click each parcel for its address and account number.</w:t>
      </w:r>
    </w:p>
    <w:p>
      <w:pPr>
        <w:pStyle w:val="FirstParagraph"/>
      </w:pPr>
      <w:r>
        <w:t xml:space="preserve">A replat often covers several parcels, and the new lots have no addresses yet. Record the current address of each parcel being replatted. If that is unclear, a location such as</w:t>
      </w:r>
      <w:r>
        <w:t xml:space="preserve"> </w:t>
      </w:r>
      <w:r>
        <w:t xml:space="preserve">“</w:t>
      </w:r>
      <w:r>
        <w:t xml:space="preserve">NE corner of Ella and 34th</w:t>
      </w:r>
      <w:r>
        <w:t xml:space="preserve">”</w:t>
      </w:r>
      <w:r>
        <w:t xml:space="preserve"> </w:t>
      </w:r>
      <w:r>
        <w:t xml:space="preserve">is fine.</w:t>
      </w:r>
    </w:p>
    <w:tbl>
      <w:tblPr>
        <w:tblStyle w:val="Table"/>
        <w:tblW w:type="pct" w:w="5000"/>
        <w:tblLook w:firstRow="1" w:lastRow="0" w:firstColumn="0" w:lastColumn="0" w:noHBand="0" w:noVBand="0" w:val="0020"/>
        <w:jc w:val="start"/>
        <w:tblBorders>
          <w:top w:val="single" w:sz="4" w:color="C9D3DA"/>
          <w:left w:val="single" w:sz="4" w:color="C9D3DA"/>
          <w:bottom w:val="single" w:sz="4" w:color="C9D3DA"/>
          <w:right w:val="single" w:sz="4" w:color="C9D3DA"/>
          <w:insideH w:val="single" w:sz="4" w:color="C9D3DA"/>
          <w:insideV w:val="single" w:sz="4" w:color="C9D3DA"/>
        </w:tblBorders>
      </w:tblPr>
      <w:tblGrid>
        <w:gridCol w:w="2640"/>
        <w:gridCol w:w="2640"/>
        <w:gridCol w:w="2640"/>
      </w:tblGrid>
      <w:tr>
        <w:trPr>
          <w:tblHeader w:val="true"/>
        </w:trPr>
        <w:tc>
          <w:tcPr>
            <w:shd w:val="clear" w:fill="EDF1F3"/>
          </w:tcPr>
          <w:p>
            <w:pPr>
              <w:pStyle w:val="Compact"/>
              <w:jc w:val="left"/>
            </w:pPr>
            <w:r>
              <w:rPr>
                <w:sz w:val="18"/>
              </w:rPr>
              <w:t xml:space="preserve">Question</w:t>
            </w:r>
          </w:p>
        </w:tc>
        <w:tc>
          <w:tcPr>
            <w:shd w:val="clear" w:fill="EDF1F3"/>
          </w:tcPr>
          <w:p>
            <w:pPr>
              <w:pStyle w:val="Compact"/>
              <w:jc w:val="left"/>
            </w:pPr>
            <w:r>
              <w:rPr>
                <w:sz w:val="18"/>
              </w:rPr>
              <w:t xml:space="preserve">Where to check</w:t>
            </w:r>
          </w:p>
        </w:tc>
        <w:tc>
          <w:tcPr>
            <w:shd w:val="clear" w:fill="EDF1F3"/>
          </w:tcPr>
          <w:p>
            <w:pPr>
              <w:pStyle w:val="Compact"/>
              <w:jc w:val="left"/>
            </w:pPr>
            <w:r>
              <w:rPr>
                <w:sz w:val="18"/>
              </w:rPr>
              <w:t xml:space="preserve">What to record</w:t>
            </w:r>
          </w:p>
        </w:tc>
      </w:tr>
      <w:tr>
        <w:tc>
          <w:tcPr/>
          <w:p>
            <w:pPr>
              <w:pStyle w:val="Compact"/>
              <w:jc w:val="left"/>
            </w:pPr>
            <w:r>
              <w:rPr>
                <w:sz w:val="18"/>
              </w:rPr>
              <w:t xml:space="preserve">How old is it?</w:t>
            </w:r>
          </w:p>
        </w:tc>
        <w:tc>
          <w:tcPr/>
          <w:p>
            <w:pPr>
              <w:pStyle w:val="Compact"/>
              <w:jc w:val="left"/>
            </w:pPr>
            <w:r>
              <w:rPr>
                <w:sz w:val="18"/>
              </w:rPr>
              <w:t xml:space="preserve">Harris County Appraisal District (</w:t>
            </w:r>
            <w:hyperlink ns1:id="rId27">
              <w:r>
                <w:rPr>
                  <w:rStyle w:val="Hyperlink"/>
                </w:rPr>
                <w:t xml:space="preserve">hcad.org</w:t>
              </w:r>
            </w:hyperlink>
            <w:r>
              <w:rPr>
                <w:sz w:val="18"/>
              </w:rPr>
              <w:t xml:space="preserve">) using the account number in column Z or the address; Fort Bend or Montgomery appraisal districts for those counties</w:t>
            </w:r>
          </w:p>
        </w:tc>
        <w:tc>
          <w:tcPr/>
          <w:p>
            <w:pPr>
              <w:pStyle w:val="Compact"/>
              <w:jc w:val="left"/>
            </w:pPr>
            <w:r>
              <w:rPr>
                <w:sz w:val="18"/>
              </w:rPr>
              <w:t xml:space="preserve">Year built, owner, most recent sale date</w:t>
            </w:r>
          </w:p>
        </w:tc>
      </w:tr>
      <w:tr>
        <w:tc>
          <w:tcPr/>
          <w:p>
            <w:pPr>
              <w:pStyle w:val="Compact"/>
              <w:jc w:val="left"/>
            </w:pPr>
            <w:r>
              <w:rPr>
                <w:sz w:val="18"/>
              </w:rPr>
              <w:t xml:space="preserve">What does it look like now?</w:t>
            </w:r>
          </w:p>
        </w:tc>
        <w:tc>
          <w:tcPr/>
          <w:p>
            <w:pPr>
              <w:pStyle w:val="Compact"/>
              <w:jc w:val="left"/>
            </w:pPr>
            <w:r>
              <w:rPr>
                <w:sz w:val="18"/>
              </w:rPr>
              <w:t xml:space="preserve">Google Street View, including the history slider</w:t>
            </w:r>
          </w:p>
        </w:tc>
        <w:tc>
          <w:tcPr/>
          <w:p>
            <w:pPr>
              <w:pStyle w:val="Compact"/>
              <w:jc w:val="left"/>
            </w:pPr>
            <w:r>
              <w:rPr>
                <w:sz w:val="18"/>
              </w:rPr>
              <w:t xml:space="preserve">Building type, condition, alterations; whether it was recently demolished</w:t>
            </w:r>
          </w:p>
        </w:tc>
      </w:tr>
      <w:tr>
        <w:tc>
          <w:tcPr/>
          <w:p>
            <w:pPr>
              <w:pStyle w:val="Compact"/>
              <w:jc w:val="left"/>
            </w:pPr>
            <w:r>
              <w:rPr>
                <w:sz w:val="18"/>
              </w:rPr>
              <w:t xml:space="preserve">Is it designated at the city level?</w:t>
            </w:r>
          </w:p>
        </w:tc>
        <w:tc>
          <w:tcPr/>
          <w:p>
            <w:pPr>
              <w:pStyle w:val="Compact"/>
              <w:jc w:val="left"/>
            </w:pPr>
            <w:r>
              <w:rPr>
                <w:sz w:val="18"/>
              </w:rPr>
              <w:t xml:space="preserve">The city’s historic preservation landmark and historic district lists and map</w:t>
            </w:r>
          </w:p>
        </w:tc>
        <w:tc>
          <w:tcPr/>
          <w:p>
            <w:pPr>
              <w:pStyle w:val="Compact"/>
              <w:jc w:val="left"/>
            </w:pPr>
            <w:r>
              <w:rPr>
                <w:sz w:val="18"/>
              </w:rPr>
              <w:t xml:space="preserve">City Landmark, Protected Landmark or historic district; column S alone is not enough</w:t>
            </w:r>
          </w:p>
        </w:tc>
      </w:tr>
      <w:tr>
        <w:tc>
          <w:tcPr/>
          <w:p>
            <w:pPr>
              <w:pStyle w:val="Compact"/>
              <w:jc w:val="left"/>
            </w:pPr>
            <w:r>
              <w:rPr>
                <w:sz w:val="18"/>
              </w:rPr>
              <w:t xml:space="preserve">Is it designated at the state or federal level?</w:t>
            </w:r>
          </w:p>
        </w:tc>
        <w:tc>
          <w:tcPr/>
          <w:p>
            <w:pPr>
              <w:pStyle w:val="Compact"/>
              <w:jc w:val="left"/>
            </w:pPr>
            <w:r>
              <w:rPr>
                <w:sz w:val="18"/>
              </w:rPr>
              <w:t xml:space="preserve">Texas Historical Commission</w:t>
            </w:r>
            <w:r>
              <w:rPr>
                <w:sz w:val="18"/>
              </w:rPr>
              <w:t xml:space="preserve"> </w:t>
            </w:r>
            <w:hyperlink ns1:id="rId28">
              <w:r>
                <w:rPr>
                  <w:rStyle w:val="Hyperlink"/>
                </w:rPr>
                <w:t xml:space="preserve">Atlas</w:t>
              </w:r>
            </w:hyperlink>
          </w:p>
        </w:tc>
        <w:tc>
          <w:tcPr/>
          <w:p>
            <w:pPr>
              <w:pStyle w:val="Compact"/>
              <w:jc w:val="left"/>
            </w:pPr>
            <w:r>
              <w:rPr>
                <w:sz w:val="18"/>
              </w:rPr>
              <w:t xml:space="preserve">National Register listing, Recorded Texas Historic Landmark, State Antiquities Landmark, markers, cemeteries, earlier survey records</w:t>
            </w:r>
          </w:p>
        </w:tc>
      </w:tr>
      <w:tr>
        <w:tc>
          <w:tcPr/>
          <w:p>
            <w:pPr>
              <w:pStyle w:val="Compact"/>
              <w:jc w:val="left"/>
            </w:pPr>
            <w:r>
              <w:rPr>
                <w:sz w:val="18"/>
              </w:rPr>
              <w:t xml:space="preserve">Is it significant?</w:t>
            </w:r>
          </w:p>
        </w:tc>
        <w:tc>
          <w:tcPr/>
          <w:p>
            <w:pPr>
              <w:pStyle w:val="Compact"/>
              <w:jc w:val="left"/>
            </w:pPr>
            <w:r>
              <w:rPr>
                <w:sz w:val="18"/>
              </w:rPr>
              <w:t xml:space="preserve">Sanborn fire insurance maps, city directories and the Houston Metropolitan Research Center; Preservation Houston’s own files; a quick web and news search</w:t>
            </w:r>
          </w:p>
        </w:tc>
        <w:tc>
          <w:tcPr/>
          <w:p>
            <w:pPr>
              <w:pStyle w:val="Compact"/>
              <w:jc w:val="left"/>
            </w:pPr>
            <w:r>
              <w:rPr>
                <w:sz w:val="18"/>
              </w:rPr>
              <w:t xml:space="preserve">Original use, builder or architect, associated people or events, community importance</w:t>
            </w:r>
          </w:p>
        </w:tc>
      </w:tr>
      <w:tr>
        <w:tc>
          <w:tcPr/>
          <w:p>
            <w:pPr>
              <w:pStyle w:val="Compact"/>
              <w:jc w:val="left"/>
            </w:pPr>
            <w:r>
              <w:rPr>
                <w:sz w:val="18"/>
              </w:rPr>
              <w:t xml:space="preserve">How soon could it be lost?</w:t>
            </w:r>
          </w:p>
        </w:tc>
        <w:tc>
          <w:tcPr/>
          <w:p>
            <w:pPr>
              <w:pStyle w:val="Compact"/>
              <w:jc w:val="left"/>
            </w:pPr>
            <w:r>
              <w:rPr>
                <w:sz w:val="18"/>
              </w:rPr>
              <w:t xml:space="preserve">The city’s online permit search</w:t>
            </w:r>
          </w:p>
        </w:tc>
        <w:tc>
          <w:tcPr/>
          <w:p>
            <w:pPr>
              <w:pStyle w:val="Compact"/>
              <w:jc w:val="left"/>
            </w:pPr>
            <w:r>
              <w:rPr>
                <w:sz w:val="18"/>
              </w:rPr>
              <w:t xml:space="preserve">Any demolition or new construction permit already filed or issued</w:t>
            </w:r>
          </w:p>
        </w:tc>
      </w:tr>
    </w:tbl>
    <w:p>
      <w:pPr>
        <w:pStyle w:val="BodyText"/>
      </w:pPr>
      <w:r>
        <w:t xml:space="preserve">A building 50 years or older is the usual threshold for historic eligibility. Treat that as a guide: a younger building of exceptional importance, or a mid-century building nearing 50, can still matter.</w:t>
      </w:r>
    </w:p>
    <w:p>
      <w:pPr>
        <w:pStyle w:val="BodyText"/>
      </w:pPr>
      <w:r>
        <w:t xml:space="preserve">Do not contact owners, developers, neighbors or city staff about an item on your own. Emily decides whether and how Preservation Houston reaches out.</w:t>
      </w:r>
    </w:p>
    <w:bookmarkEnd w:id="29"/>
    <w:bookmarkStart w:id="30" w:name="recording-and-escalating-findings"/>
    <w:p>
      <w:pPr>
        <w:pStyle w:val="Heading2"/>
      </w:pPr>
      <w:r>
        <w:t xml:space="preserve">Recording and escalating findings</w:t>
      </w:r>
    </w:p>
    <w:p>
      <w:pPr>
        <w:pStyle w:val="FirstParagraph"/>
      </w:pPr>
      <w:r>
        <w:t xml:space="preserve">Send Emily a short list within two business days of the agenda posting, even when the answer is</w:t>
      </w:r>
      <w:r>
        <w:t xml:space="preserve"> </w:t>
      </w:r>
      <w:r>
        <w:t xml:space="preserve">“</w:t>
      </w:r>
      <w:r>
        <w:t xml:space="preserve">nothing to flag.</w:t>
      </w:r>
      <w:r>
        <w:t xml:space="preserve">”</w:t>
      </w:r>
      <w:r>
        <w:t xml:space="preserve"> </w:t>
      </w:r>
      <w:r>
        <w:t xml:space="preserve">Put every Pass 3 item in the running log with one of three tiers.</w:t>
      </w:r>
    </w:p>
    <w:tbl>
      <w:tblPr>
        <w:tblStyle w:val="Table"/>
        <w:tblW w:type="pct" w:w="5000"/>
        <w:tblLook w:firstRow="1" w:lastRow="0" w:firstColumn="0" w:lastColumn="0" w:noHBand="0" w:noVBand="0" w:val="0020"/>
        <w:jc w:val="start"/>
        <w:tblBorders>
          <w:top w:val="single" w:sz="4" w:color="C9D3DA"/>
          <w:left w:val="single" w:sz="4" w:color="C9D3DA"/>
          <w:bottom w:val="single" w:sz="4" w:color="C9D3DA"/>
          <w:right w:val="single" w:sz="4" w:color="C9D3DA"/>
          <w:insideH w:val="single" w:sz="4" w:color="C9D3DA"/>
          <w:insideV w:val="single" w:sz="4" w:color="C9D3DA"/>
        </w:tblBorders>
      </w:tblPr>
      <w:tblGrid>
        <w:gridCol w:w="2640"/>
        <w:gridCol w:w="2640"/>
        <w:gridCol w:w="2640"/>
      </w:tblGrid>
      <w:tr>
        <w:trPr>
          <w:tblHeader w:val="true"/>
        </w:trPr>
        <w:tc>
          <w:tcPr>
            <w:shd w:val="clear" w:fill="EDF1F3"/>
          </w:tcPr>
          <w:p>
            <w:pPr>
              <w:pStyle w:val="Compact"/>
              <w:jc w:val="left"/>
            </w:pPr>
            <w:r>
              <w:rPr>
                <w:sz w:val="18"/>
              </w:rPr>
              <w:t xml:space="preserve">Tier</w:t>
            </w:r>
          </w:p>
        </w:tc>
        <w:tc>
          <w:tcPr>
            <w:shd w:val="clear" w:fill="EDF1F3"/>
          </w:tcPr>
          <w:p>
            <w:pPr>
              <w:pStyle w:val="Compact"/>
              <w:jc w:val="left"/>
            </w:pPr>
            <w:r>
              <w:rPr>
                <w:sz w:val="18"/>
              </w:rPr>
              <w:t xml:space="preserve">Meaning</w:t>
            </w:r>
          </w:p>
        </w:tc>
        <w:tc>
          <w:tcPr>
            <w:shd w:val="clear" w:fill="EDF1F3"/>
          </w:tcPr>
          <w:p>
            <w:pPr>
              <w:pStyle w:val="Compact"/>
              <w:jc w:val="left"/>
            </w:pPr>
            <w:r>
              <w:rPr>
                <w:sz w:val="18"/>
              </w:rPr>
              <w:t xml:space="preserve">What happens</w:t>
            </w:r>
          </w:p>
        </w:tc>
      </w:tr>
      <w:tr>
        <w:tc>
          <w:tcPr/>
          <w:p>
            <w:pPr>
              <w:pStyle w:val="Compact"/>
              <w:jc w:val="left"/>
            </w:pPr>
            <w:r>
              <w:rPr>
                <w:bCs/>
                <w:b/>
                <w:sz w:val="18"/>
              </w:rPr>
              <w:t xml:space="preserve">1 - Escalate</w:t>
            </w:r>
          </w:p>
        </w:tc>
        <w:tc>
          <w:tcPr/>
          <w:p>
            <w:pPr>
              <w:pStyle w:val="Compact"/>
              <w:jc w:val="left"/>
            </w:pPr>
            <w:r>
              <w:rPr>
                <w:sz w:val="18"/>
              </w:rPr>
              <w:t xml:space="preserve">Older building with likely significance and a real sign it will be lost, especially on a public hearing or variance item</w:t>
            </w:r>
          </w:p>
        </w:tc>
        <w:tc>
          <w:tcPr/>
          <w:p>
            <w:pPr>
              <w:pStyle w:val="Compact"/>
              <w:jc w:val="left"/>
            </w:pPr>
            <w:r>
              <w:rPr>
                <w:sz w:val="18"/>
              </w:rPr>
              <w:t xml:space="preserve">Email Emily the same day with your research; flag the comment deadline</w:t>
            </w:r>
          </w:p>
        </w:tc>
      </w:tr>
      <w:tr>
        <w:tc>
          <w:tcPr/>
          <w:p>
            <w:pPr>
              <w:pStyle w:val="Compact"/>
              <w:jc w:val="left"/>
            </w:pPr>
            <w:r>
              <w:rPr>
                <w:bCs/>
                <w:b/>
                <w:sz w:val="18"/>
              </w:rPr>
              <w:t xml:space="preserve">2 - Watch</w:t>
            </w:r>
          </w:p>
        </w:tc>
        <w:tc>
          <w:tcPr/>
          <w:p>
            <w:pPr>
              <w:pStyle w:val="Compact"/>
              <w:jc w:val="left"/>
            </w:pPr>
            <w:r>
              <w:rPr>
                <w:sz w:val="18"/>
              </w:rPr>
              <w:t xml:space="preserve">Older building, significance unclear or no immediate threat</w:t>
            </w:r>
          </w:p>
        </w:tc>
        <w:tc>
          <w:tcPr/>
          <w:p>
            <w:pPr>
              <w:pStyle w:val="Compact"/>
              <w:jc w:val="left"/>
            </w:pPr>
            <w:r>
              <w:rPr>
                <w:sz w:val="18"/>
              </w:rPr>
              <w:t xml:space="preserve">Add to the watchlist; check permits and Street View again next cycle</w:t>
            </w:r>
          </w:p>
        </w:tc>
      </w:tr>
      <w:tr>
        <w:tc>
          <w:tcPr/>
          <w:p>
            <w:pPr>
              <w:pStyle w:val="Compact"/>
              <w:jc w:val="left"/>
            </w:pPr>
            <w:r>
              <w:rPr>
                <w:bCs/>
                <w:b/>
                <w:sz w:val="18"/>
              </w:rPr>
              <w:t xml:space="preserve">3 - Note</w:t>
            </w:r>
          </w:p>
        </w:tc>
        <w:tc>
          <w:tcPr/>
          <w:p>
            <w:pPr>
              <w:pStyle w:val="Compact"/>
              <w:jc w:val="left"/>
            </w:pPr>
            <w:r>
              <w:rPr>
                <w:sz w:val="18"/>
              </w:rPr>
              <w:t xml:space="preserve">Designated property, or researched and dropped</w:t>
            </w:r>
          </w:p>
        </w:tc>
        <w:tc>
          <w:tcPr/>
          <w:p>
            <w:pPr>
              <w:pStyle w:val="Compact"/>
              <w:jc w:val="left"/>
            </w:pPr>
            <w:r>
              <w:rPr>
                <w:sz w:val="18"/>
              </w:rPr>
              <w:t xml:space="preserve">Record the reason in one line so no one repeats the work</w:t>
            </w:r>
          </w:p>
        </w:tc>
      </w:tr>
    </w:tbl>
    <w:p>
      <w:pPr>
        <w:pStyle w:val="BodyText"/>
      </w:pPr>
      <w:r>
        <w:rPr>
          <w:bCs/>
          <w:b/>
        </w:rPr>
        <w:t xml:space="preserve">Log columns.</w:t>
      </w:r>
      <w:r>
        <w:t xml:space="preserve"> </w:t>
      </w:r>
      <w:r>
        <w:t xml:space="preserve">Keep one row per item, adding new rows each cycle rather than starting a new file: PC date, App No., Subdivision name, Address (from HCAD), Original subdivision (column P), Year built (from the appraisal district), Designation (none / city / NR / RTHL), Tier (1, 2 or 3), Why (2-3 sentences on what it is and why it matters), Sources (links), and Follow-up (next check or decision).</w:t>
      </w:r>
    </w:p>
    <w:p>
      <w:pPr>
        <w:pStyle w:val="BodyText"/>
      </w:pPr>
      <w:r>
        <w:rPr>
          <w:bCs/>
          <w:b/>
        </w:rPr>
        <w:t xml:space="preserve">Email to Emily.</w:t>
      </w:r>
      <w:r>
        <w:t xml:space="preserve"> </w:t>
      </w:r>
      <w:r>
        <w:t xml:space="preserve">Subject:</w:t>
      </w:r>
      <w:r>
        <w:t xml:space="preserve"> </w:t>
      </w:r>
      <w:r>
        <w:t xml:space="preserve">“</w:t>
      </w:r>
      <w:r>
        <w:t xml:space="preserve">Plat review - PC [meeting date].</w:t>
      </w:r>
      <w:r>
        <w:t xml:space="preserve">”</w:t>
      </w:r>
      <w:r>
        <w:t xml:space="preserve"> </w:t>
      </w:r>
      <w:r>
        <w:t xml:space="preserve">List Tier 1 items first, then Tier 2, one line each with the app number, address, year built and your reason, then a link to the log. Note any deferred items returning from earlier cycles and any developer who keeps appearing on older sites.</w:t>
      </w:r>
    </w:p>
    <w:p>
      <w:pPr>
        <w:pStyle w:val="BodyText"/>
      </w:pPr>
      <w:r>
        <w:t xml:space="preserve">The monitor’s</w:t>
      </w:r>
      <w:r>
        <w:t xml:space="preserve"> </w:t>
      </w:r>
      <w:r>
        <w:rPr>
          <w:bCs/>
          <w:b/>
        </w:rPr>
        <w:t xml:space="preserve">Copy email summary</w:t>
      </w:r>
      <w:r>
        <w:t xml:space="preserve"> </w:t>
      </w:r>
      <w:r>
        <w:t xml:space="preserve">writes this email for you from your review notes.</w:t>
      </w:r>
    </w:p>
    <w:p>
      <w:pPr>
        <w:pStyle w:val="BodyText"/>
      </w:pPr>
      <w:r>
        <w:rPr>
          <w:bCs/>
          <w:b/>
        </w:rPr>
        <w:t xml:space="preserve">What to file.</w:t>
      </w:r>
      <w:r>
        <w:t xml:space="preserve"> </w:t>
      </w:r>
      <w:r>
        <w:t xml:space="preserve">At the end of each round, use</w:t>
      </w:r>
      <w:r>
        <w:t xml:space="preserve"> </w:t>
      </w:r>
      <w:r>
        <w:rPr>
          <w:bCs/>
          <w:b/>
        </w:rPr>
        <w:t xml:space="preserve">Save and export</w:t>
      </w:r>
      <w:r>
        <w:t xml:space="preserve"> </w:t>
      </w:r>
      <w:r>
        <w:t xml:space="preserve">in the monitor to download three files, and save all three to the advocacy file:</w:t>
      </w:r>
    </w:p>
    <w:p>
      <w:pPr>
        <w:numPr>
          <w:ilvl w:val="0"/>
          <w:numId w:val="1009"/>
        </w:numPr>
        <w:pStyle w:val="Compact"/>
      </w:pPr>
      <w:r>
        <w:rPr>
          <w:bCs/>
          <w:b/>
        </w:rPr>
        <w:t xml:space="preserve">Findings report (Word):</w:t>
      </w:r>
      <w:r>
        <w:t xml:space="preserve"> </w:t>
      </w:r>
      <w:r>
        <w:t xml:space="preserve">summary counts, full write-ups for Tier 1 items and tables for Tiers 2 and 3.</w:t>
      </w:r>
    </w:p>
    <w:p>
      <w:pPr>
        <w:numPr>
          <w:ilvl w:val="0"/>
          <w:numId w:val="1009"/>
        </w:numPr>
        <w:pStyle w:val="Compact"/>
      </w:pPr>
      <w:r>
        <w:rPr>
          <w:bCs/>
          <w:b/>
        </w:rPr>
        <w:t xml:space="preserve">Findings log (CSV):</w:t>
      </w:r>
      <w:r>
        <w:t xml:space="preserve"> </w:t>
      </w:r>
      <w:r>
        <w:t xml:space="preserve">one row per researched item, with the log columns above. Opens in Excel.</w:t>
      </w:r>
    </w:p>
    <w:p>
      <w:pPr>
        <w:numPr>
          <w:ilvl w:val="0"/>
          <w:numId w:val="1009"/>
        </w:numPr>
        <w:pStyle w:val="Compact"/>
      </w:pPr>
      <w:r>
        <w:rPr>
          <w:bCs/>
          <w:b/>
        </w:rPr>
        <w:t xml:space="preserve">Work file (.json):</w:t>
      </w:r>
      <w:r>
        <w:t xml:space="preserve"> </w:t>
      </w:r>
      <w:r>
        <w:t xml:space="preserve">reopens the whole review in the monitor later.</w:t>
      </w:r>
    </w:p>
    <w:bookmarkEnd w:id="30"/>
    <w:bookmarkStart w:id="31" w:name="glossary"/>
    <w:p>
      <w:pPr>
        <w:pStyle w:val="Heading2"/>
      </w:pPr>
      <w:r>
        <w:t xml:space="preserve">Glossary</w:t>
      </w:r>
    </w:p>
    <w:tbl>
      <w:tblPr>
        <w:tblStyle w:val="Table"/>
        <w:tblW w:type="pct" w:w="5000"/>
        <w:tblLook w:firstRow="1" w:lastRow="0" w:firstColumn="0" w:lastColumn="0" w:noHBand="0" w:noVBand="0" w:val="0020"/>
        <w:jc w:val="start"/>
        <w:tblBorders>
          <w:top w:val="single" w:sz="4" w:color="C9D3DA"/>
          <w:left w:val="single" w:sz="4" w:color="C9D3DA"/>
          <w:bottom w:val="single" w:sz="4" w:color="C9D3DA"/>
          <w:right w:val="single" w:sz="4" w:color="C9D3DA"/>
          <w:insideH w:val="single" w:sz="4" w:color="C9D3DA"/>
          <w:insideV w:val="single" w:sz="4" w:color="C9D3DA"/>
        </w:tblBorders>
      </w:tblPr>
      <w:tblGrid>
        <w:gridCol w:w="3960"/>
        <w:gridCol w:w="3960"/>
      </w:tblGrid>
      <w:tr>
        <w:trPr>
          <w:tblHeader w:val="true"/>
        </w:trPr>
        <w:tc>
          <w:tcPr>
            <w:shd w:val="clear" w:fill="EDF1F3"/>
          </w:tcPr>
          <w:p>
            <w:pPr>
              <w:pStyle w:val="Compact"/>
              <w:jc w:val="left"/>
            </w:pPr>
            <w:r>
              <w:rPr>
                <w:sz w:val="18"/>
              </w:rPr>
              <w:t xml:space="preserve">Term</w:t>
            </w:r>
          </w:p>
        </w:tc>
        <w:tc>
          <w:tcPr>
            <w:shd w:val="clear" w:fill="EDF1F3"/>
          </w:tcPr>
          <w:p>
            <w:pPr>
              <w:pStyle w:val="Compact"/>
              <w:jc w:val="left"/>
            </w:pPr>
            <w:r>
              <w:rPr>
                <w:sz w:val="18"/>
              </w:rPr>
              <w:t xml:space="preserve">Meaning</w:t>
            </w:r>
          </w:p>
        </w:tc>
      </w:tr>
      <w:tr>
        <w:tc>
          <w:tcPr/>
          <w:p>
            <w:pPr>
              <w:pStyle w:val="Compact"/>
              <w:jc w:val="left"/>
            </w:pPr>
            <w:r>
              <w:rPr>
                <w:sz w:val="18"/>
              </w:rPr>
              <w:t xml:space="preserve">Plat</w:t>
            </w:r>
          </w:p>
        </w:tc>
        <w:tc>
          <w:tcPr/>
          <w:p>
            <w:pPr>
              <w:pStyle w:val="Compact"/>
              <w:jc w:val="left"/>
            </w:pPr>
            <w:r>
              <w:rPr>
                <w:sz w:val="18"/>
              </w:rPr>
              <w:t xml:space="preserve">A recorded drawing that divides land into lots, reserves and streets</w:t>
            </w:r>
          </w:p>
        </w:tc>
      </w:tr>
      <w:tr>
        <w:tc>
          <w:tcPr/>
          <w:p>
            <w:pPr>
              <w:pStyle w:val="Compact"/>
              <w:jc w:val="left"/>
            </w:pPr>
            <w:r>
              <w:rPr>
                <w:sz w:val="18"/>
              </w:rPr>
              <w:t xml:space="preserve">Replat / partial replat</w:t>
            </w:r>
          </w:p>
        </w:tc>
        <w:tc>
          <w:tcPr/>
          <w:p>
            <w:pPr>
              <w:pStyle w:val="Compact"/>
              <w:jc w:val="left"/>
            </w:pPr>
            <w:r>
              <w:rPr>
                <w:sz w:val="18"/>
              </w:rPr>
              <w:t xml:space="preserve">A new plat that changes an existing one, in whole or in part</w:t>
            </w:r>
          </w:p>
        </w:tc>
      </w:tr>
      <w:tr>
        <w:tc>
          <w:tcPr/>
          <w:p>
            <w:pPr>
              <w:pStyle w:val="Compact"/>
              <w:jc w:val="left"/>
            </w:pPr>
            <w:r>
              <w:rPr>
                <w:sz w:val="18"/>
              </w:rPr>
              <w:t xml:space="preserve">C2 / C2R</w:t>
            </w:r>
          </w:p>
        </w:tc>
        <w:tc>
          <w:tcPr/>
          <w:p>
            <w:pPr>
              <w:pStyle w:val="Compact"/>
              <w:jc w:val="left"/>
            </w:pPr>
            <w:r>
              <w:rPr>
                <w:sz w:val="18"/>
              </w:rPr>
              <w:t xml:space="preserve">Class 2 plat or replat: no new public streets and no public hearing</w:t>
            </w:r>
          </w:p>
        </w:tc>
      </w:tr>
      <w:tr>
        <w:tc>
          <w:tcPr/>
          <w:p>
            <w:pPr>
              <w:pStyle w:val="Compact"/>
              <w:jc w:val="left"/>
            </w:pPr>
            <w:r>
              <w:rPr>
                <w:sz w:val="18"/>
              </w:rPr>
              <w:t xml:space="preserve">C3P / C3F</w:t>
            </w:r>
          </w:p>
        </w:tc>
        <w:tc>
          <w:tcPr/>
          <w:p>
            <w:pPr>
              <w:pStyle w:val="Compact"/>
              <w:jc w:val="left"/>
            </w:pPr>
            <w:r>
              <w:rPr>
                <w:sz w:val="18"/>
              </w:rPr>
              <w:t xml:space="preserve">Class 3 preliminary and final plat, usually for new subdivisions with streets</w:t>
            </w:r>
          </w:p>
        </w:tc>
      </w:tr>
      <w:tr>
        <w:tc>
          <w:tcPr/>
          <w:p>
            <w:pPr>
              <w:pStyle w:val="Compact"/>
              <w:jc w:val="left"/>
            </w:pPr>
            <w:r>
              <w:rPr>
                <w:sz w:val="18"/>
              </w:rPr>
              <w:t xml:space="preserve">C3R</w:t>
            </w:r>
          </w:p>
        </w:tc>
        <w:tc>
          <w:tcPr/>
          <w:p>
            <w:pPr>
              <w:pStyle w:val="Compact"/>
              <w:jc w:val="left"/>
            </w:pPr>
            <w:r>
              <w:rPr>
                <w:sz w:val="18"/>
              </w:rPr>
              <w:t xml:space="preserve">Class 3 preliminary replat</w:t>
            </w:r>
          </w:p>
        </w:tc>
      </w:tr>
      <w:tr>
        <w:tc>
          <w:tcPr/>
          <w:p>
            <w:pPr>
              <w:pStyle w:val="Compact"/>
              <w:jc w:val="left"/>
            </w:pPr>
            <w:r>
              <w:rPr>
                <w:sz w:val="18"/>
              </w:rPr>
              <w:t xml:space="preserve">C3N</w:t>
            </w:r>
          </w:p>
        </w:tc>
        <w:tc>
          <w:tcPr/>
          <w:p>
            <w:pPr>
              <w:pStyle w:val="Compact"/>
              <w:jc w:val="left"/>
            </w:pPr>
            <w:r>
              <w:rPr>
                <w:sz w:val="18"/>
              </w:rPr>
              <w:t xml:space="preserve">Class 3 replat with public hearing notification, required when single-family restrictions ever existed on the prior plat; nearby owners get mailed notice and a sign is posted</w:t>
            </w:r>
          </w:p>
        </w:tc>
      </w:tr>
      <w:tr>
        <w:tc>
          <w:tcPr/>
          <w:p>
            <w:pPr>
              <w:pStyle w:val="Compact"/>
              <w:jc w:val="left"/>
            </w:pPr>
            <w:r>
              <w:rPr>
                <w:sz w:val="18"/>
              </w:rPr>
              <w:t xml:space="preserve">GP</w:t>
            </w:r>
          </w:p>
        </w:tc>
        <w:tc>
          <w:tcPr/>
          <w:p>
            <w:pPr>
              <w:pStyle w:val="Compact"/>
              <w:jc w:val="left"/>
            </w:pPr>
            <w:r>
              <w:rPr>
                <w:sz w:val="18"/>
              </w:rPr>
              <w:t xml:space="preserve">General plan: the overall layout for a large development, platted later in sections</w:t>
            </w:r>
          </w:p>
        </w:tc>
      </w:tr>
      <w:tr>
        <w:tc>
          <w:tcPr/>
          <w:p>
            <w:pPr>
              <w:pStyle w:val="Compact"/>
              <w:jc w:val="left"/>
            </w:pPr>
            <w:r>
              <w:rPr>
                <w:sz w:val="18"/>
              </w:rPr>
              <w:t xml:space="preserve">SP</w:t>
            </w:r>
          </w:p>
        </w:tc>
        <w:tc>
          <w:tcPr/>
          <w:p>
            <w:pPr>
              <w:pStyle w:val="Compact"/>
              <w:jc w:val="left"/>
            </w:pPr>
            <w:r>
              <w:rPr>
                <w:sz w:val="18"/>
              </w:rPr>
              <w:t xml:space="preserve">Street dedication plat</w:t>
            </w:r>
          </w:p>
        </w:tc>
      </w:tr>
      <w:tr>
        <w:tc>
          <w:tcPr/>
          <w:p>
            <w:pPr>
              <w:pStyle w:val="Compact"/>
              <w:jc w:val="left"/>
            </w:pPr>
            <w:r>
              <w:rPr>
                <w:sz w:val="18"/>
              </w:rPr>
              <w:t xml:space="preserve">Chapter 42</w:t>
            </w:r>
          </w:p>
        </w:tc>
        <w:tc>
          <w:tcPr/>
          <w:p>
            <w:pPr>
              <w:pStyle w:val="Compact"/>
              <w:jc w:val="left"/>
            </w:pPr>
            <w:r>
              <w:rPr>
                <w:sz w:val="18"/>
              </w:rPr>
              <w:t xml:space="preserve">Houston’s land development ordinance, which sets platting rules</w:t>
            </w:r>
          </w:p>
        </w:tc>
      </w:tr>
      <w:tr>
        <w:tc>
          <w:tcPr/>
          <w:p>
            <w:pPr>
              <w:pStyle w:val="Compact"/>
              <w:jc w:val="left"/>
            </w:pPr>
            <w:r>
              <w:rPr>
                <w:sz w:val="18"/>
              </w:rPr>
              <w:t xml:space="preserve">ETJ</w:t>
            </w:r>
          </w:p>
        </w:tc>
        <w:tc>
          <w:tcPr/>
          <w:p>
            <w:pPr>
              <w:pStyle w:val="Compact"/>
              <w:jc w:val="left"/>
            </w:pPr>
            <w:r>
              <w:rPr>
                <w:sz w:val="18"/>
              </w:rPr>
              <w:t xml:space="preserve">Extraterritorial jurisdiction: the unincorporated area around the city where Houston still reviews plats</w:t>
            </w:r>
          </w:p>
        </w:tc>
      </w:tr>
      <w:tr>
        <w:tc>
          <w:tcPr/>
          <w:p>
            <w:pPr>
              <w:pStyle w:val="Compact"/>
              <w:jc w:val="left"/>
            </w:pPr>
            <w:r>
              <w:rPr>
                <w:sz w:val="18"/>
              </w:rPr>
              <w:t xml:space="preserve">Reserve</w:t>
            </w:r>
          </w:p>
        </w:tc>
        <w:tc>
          <w:tcPr/>
          <w:p>
            <w:pPr>
              <w:pStyle w:val="Compact"/>
              <w:jc w:val="left"/>
            </w:pPr>
            <w:r>
              <w:rPr>
                <w:sz w:val="18"/>
              </w:rPr>
              <w:t xml:space="preserve">A tract not divided into lots, set aside for a use;</w:t>
            </w:r>
            <w:r>
              <w:rPr>
                <w:sz w:val="18"/>
              </w:rPr>
              <w:t xml:space="preserve"> </w:t>
            </w:r>
            <w:r>
              <w:rPr>
                <w:sz w:val="18"/>
              </w:rPr>
              <w:t xml:space="preserve">“</w:t>
            </w:r>
            <w:r>
              <w:rPr>
                <w:sz w:val="18"/>
              </w:rPr>
              <w:t xml:space="preserve">unrestricted</w:t>
            </w:r>
            <w:r>
              <w:rPr>
                <w:sz w:val="18"/>
              </w:rPr>
              <w:t xml:space="preserve">”</w:t>
            </w:r>
            <w:r>
              <w:rPr>
                <w:sz w:val="18"/>
              </w:rPr>
              <w:t xml:space="preserve"> </w:t>
            </w:r>
            <w:r>
              <w:rPr>
                <w:sz w:val="18"/>
              </w:rPr>
              <w:t xml:space="preserve">means any use</w:t>
            </w:r>
          </w:p>
        </w:tc>
      </w:tr>
      <w:tr>
        <w:tc>
          <w:tcPr/>
          <w:p>
            <w:pPr>
              <w:pStyle w:val="Compact"/>
              <w:jc w:val="left"/>
            </w:pPr>
            <w:r>
              <w:rPr>
                <w:sz w:val="18"/>
              </w:rPr>
              <w:t xml:space="preserve">Building line</w:t>
            </w:r>
          </w:p>
        </w:tc>
        <w:tc>
          <w:tcPr/>
          <w:p>
            <w:pPr>
              <w:pStyle w:val="Compact"/>
              <w:jc w:val="left"/>
            </w:pPr>
            <w:r>
              <w:rPr>
                <w:sz w:val="18"/>
              </w:rPr>
              <w:t xml:space="preserve">Minimum setback from the street</w:t>
            </w:r>
          </w:p>
        </w:tc>
      </w:tr>
      <w:tr>
        <w:tc>
          <w:tcPr/>
          <w:p>
            <w:pPr>
              <w:pStyle w:val="Compact"/>
              <w:jc w:val="left"/>
            </w:pPr>
            <w:r>
              <w:rPr>
                <w:sz w:val="18"/>
              </w:rPr>
              <w:t xml:space="preserve">Shared driveway / PAE</w:t>
            </w:r>
          </w:p>
        </w:tc>
        <w:tc>
          <w:tcPr/>
          <w:p>
            <w:pPr>
              <w:pStyle w:val="Compact"/>
              <w:jc w:val="left"/>
            </w:pPr>
            <w:r>
              <w:rPr>
                <w:sz w:val="18"/>
              </w:rPr>
              <w:t xml:space="preserve">Lots served by a common drive or permanent access easement instead of a public street, typical of townhouse projects</w:t>
            </w:r>
          </w:p>
        </w:tc>
      </w:tr>
      <w:tr>
        <w:tc>
          <w:tcPr/>
          <w:p>
            <w:pPr>
              <w:pStyle w:val="Compact"/>
              <w:jc w:val="left"/>
            </w:pPr>
            <w:r>
              <w:rPr>
                <w:sz w:val="18"/>
              </w:rPr>
              <w:t xml:space="preserve">Compensating open space</w:t>
            </w:r>
          </w:p>
        </w:tc>
        <w:tc>
          <w:tcPr/>
          <w:p>
            <w:pPr>
              <w:pStyle w:val="Compact"/>
              <w:jc w:val="left"/>
            </w:pPr>
            <w:r>
              <w:rPr>
                <w:sz w:val="18"/>
              </w:rPr>
              <w:t xml:space="preserve">Open space provided in exchange for smaller lots</w:t>
            </w:r>
          </w:p>
        </w:tc>
      </w:tr>
      <w:tr>
        <w:tc>
          <w:tcPr/>
          <w:p>
            <w:pPr>
              <w:pStyle w:val="Compact"/>
              <w:jc w:val="left"/>
            </w:pPr>
            <w:r>
              <w:rPr>
                <w:sz w:val="18"/>
              </w:rPr>
              <w:t xml:space="preserve">Variance</w:t>
            </w:r>
          </w:p>
        </w:tc>
        <w:tc>
          <w:tcPr/>
          <w:p>
            <w:pPr>
              <w:pStyle w:val="Compact"/>
              <w:jc w:val="left"/>
            </w:pPr>
            <w:r>
              <w:rPr>
                <w:sz w:val="18"/>
              </w:rPr>
              <w:t xml:space="preserve">Request to depart from a Chapter 42 standard; requires notice to nearby owners</w:t>
            </w:r>
          </w:p>
        </w:tc>
      </w:tr>
      <w:tr>
        <w:tc>
          <w:tcPr/>
          <w:p>
            <w:pPr>
              <w:pStyle w:val="Compact"/>
              <w:jc w:val="left"/>
            </w:pPr>
            <w:r>
              <w:rPr>
                <w:sz w:val="18"/>
              </w:rPr>
              <w:t xml:space="preserve">Reconsideration of Requirement</w:t>
            </w:r>
          </w:p>
        </w:tc>
        <w:tc>
          <w:tcPr/>
          <w:p>
            <w:pPr>
              <w:pStyle w:val="Compact"/>
              <w:jc w:val="left"/>
            </w:pPr>
            <w:r>
              <w:rPr>
                <w:sz w:val="18"/>
              </w:rPr>
              <w:t xml:space="preserve">Applicant asks the Commission to reverse a requirement set by staff</w:t>
            </w:r>
          </w:p>
        </w:tc>
      </w:tr>
      <w:tr>
        <w:tc>
          <w:tcPr/>
          <w:p>
            <w:pPr>
              <w:pStyle w:val="Compact"/>
              <w:jc w:val="left"/>
            </w:pPr>
            <w:r>
              <w:rPr>
                <w:sz w:val="18"/>
              </w:rPr>
              <w:t xml:space="preserve">Deferral</w:t>
            </w:r>
          </w:p>
        </w:tc>
        <w:tc>
          <w:tcPr/>
          <w:p>
            <w:pPr>
              <w:pStyle w:val="Compact"/>
              <w:jc w:val="left"/>
            </w:pPr>
            <w:r>
              <w:rPr>
                <w:sz w:val="18"/>
              </w:rPr>
              <w:t xml:space="preserve">Commission postpones action to the next meeting; allowed twice within the 30-day limit</w:t>
            </w:r>
          </w:p>
        </w:tc>
      </w:tr>
      <w:tr>
        <w:tc>
          <w:tcPr/>
          <w:p>
            <w:pPr>
              <w:pStyle w:val="Compact"/>
              <w:jc w:val="left"/>
            </w:pPr>
            <w:r>
              <w:rPr>
                <w:sz w:val="18"/>
              </w:rPr>
              <w:t xml:space="preserve">Special Minimum Lot Size / Building Line</w:t>
            </w:r>
          </w:p>
        </w:tc>
        <w:tc>
          <w:tcPr/>
          <w:p>
            <w:pPr>
              <w:pStyle w:val="Compact"/>
              <w:jc w:val="left"/>
            </w:pPr>
            <w:r>
              <w:rPr>
                <w:sz w:val="18"/>
              </w:rPr>
              <w:t xml:space="preserve">Neighborhood-requested rules that lock in existing lot sizes or setbacks on a block</w:t>
            </w:r>
          </w:p>
        </w:tc>
      </w:tr>
      <w:tr>
        <w:tc>
          <w:tcPr/>
          <w:p>
            <w:pPr>
              <w:pStyle w:val="Compact"/>
              <w:jc w:val="left"/>
            </w:pPr>
            <w:r>
              <w:rPr>
                <w:sz w:val="18"/>
              </w:rPr>
              <w:t xml:space="preserve">TIRZ</w:t>
            </w:r>
          </w:p>
        </w:tc>
        <w:tc>
          <w:tcPr/>
          <w:p>
            <w:pPr>
              <w:pStyle w:val="Compact"/>
              <w:jc w:val="left"/>
            </w:pPr>
            <w:r>
              <w:rPr>
                <w:sz w:val="18"/>
              </w:rPr>
              <w:t xml:space="preserve">Tax Increment Reinvestment Zone, a special financing district</w:t>
            </w:r>
          </w:p>
        </w:tc>
      </w:tr>
      <w:tr>
        <w:tc>
          <w:tcPr/>
          <w:p>
            <w:pPr>
              <w:pStyle w:val="Compact"/>
              <w:jc w:val="left"/>
            </w:pPr>
            <w:r>
              <w:rPr>
                <w:sz w:val="18"/>
              </w:rPr>
              <w:t xml:space="preserve">HAHC</w:t>
            </w:r>
          </w:p>
        </w:tc>
        <w:tc>
          <w:tcPr/>
          <w:p>
            <w:pPr>
              <w:pStyle w:val="Compact"/>
              <w:jc w:val="left"/>
            </w:pPr>
            <w:r>
              <w:rPr>
                <w:sz w:val="18"/>
              </w:rPr>
              <w:t xml:space="preserve">Houston Archaeological and Historical Commission, which reviews work on designated properties</w:t>
            </w:r>
          </w:p>
        </w:tc>
      </w:tr>
    </w:tbl>
    <w:bookmarkEnd w:id="31"/>
    <w:bookmarkStart w:id="34" w:name="sources"/>
    <w:p>
      <w:pPr>
        <w:pStyle w:val="Heading2"/>
      </w:pPr>
      <w:r>
        <w:t xml:space="preserve">Sources</w:t>
      </w:r>
    </w:p>
    <w:p>
      <w:pPr>
        <w:numPr>
          <w:ilvl w:val="0"/>
          <w:numId w:val="1010"/>
        </w:numPr>
        <w:pStyle w:val="Compact"/>
      </w:pPr>
      <w:hyperlink ns1:id="rId21">
        <w:r>
          <w:rPr>
            <w:rStyle w:val="Hyperlink"/>
          </w:rPr>
          <w:t xml:space="preserve">Planning Commission page, City of Houston</w:t>
        </w:r>
      </w:hyperlink>
    </w:p>
    <w:p>
      <w:pPr>
        <w:numPr>
          <w:ilvl w:val="0"/>
          <w:numId w:val="1010"/>
        </w:numPr>
        <w:pStyle w:val="Compact"/>
      </w:pPr>
      <w:hyperlink ns1:id="rId32">
        <w:r>
          <w:rPr>
            <w:rStyle w:val="Hyperlink"/>
          </w:rPr>
          <w:t xml:space="preserve">Development Regulations FAQ, City of Houston</w:t>
        </w:r>
      </w:hyperlink>
    </w:p>
    <w:p>
      <w:pPr>
        <w:numPr>
          <w:ilvl w:val="0"/>
          <w:numId w:val="1010"/>
        </w:numPr>
        <w:pStyle w:val="Compact"/>
      </w:pPr>
      <w:hyperlink ns1:id="rId33">
        <w:r>
          <w:rPr>
            <w:rStyle w:val="Hyperlink"/>
          </w:rPr>
          <w:t xml:space="preserve">Land Development Regulations brochure, City of Houston</w:t>
        </w:r>
      </w:hyperlink>
    </w:p>
    <w:p>
      <w:pPr>
        <w:numPr>
          <w:ilvl w:val="0"/>
          <w:numId w:val="1010"/>
        </w:numPr>
        <w:pStyle w:val="Compact"/>
      </w:pPr>
      <w:r>
        <w:t xml:space="preserve">Example agenda: Portal - Current Agenda Spreadsheet for the October 1, 2026 Planning Commission meeting</w:t>
      </w:r>
    </w:p>
    <w:bookmarkEnd w:id="34"/>
    <w:sectPr>
      <w:pgSz w:w="12240" w:h="15840"/>
      <w:pgMar w:left="1152" w:right="1152"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b w:val="0"/>
      <w:color w:val="1E2B38"/>
      <w:sz w:val="21"/>
    </w:rPr>
  </w:style>
  <w:style w:styleId="BodyText" w:type="paragraph">
    <w:name w:val="Body Text"/>
    <w:basedOn w:val="Normal"/>
    <w:link w:val="BodyTextChar"/>
    <w:pPr>
      <w:spacing w:after="180" w:before="180"/>
    </w:pPr>
    <w:qFormat/>
    <w:rPr>
      <w:rFonts w:ascii="Arial" w:cs="Arial" w:eastAsia="Arial" w:hAnsi="Arial"/>
      <w:b w:val="0"/>
      <w:color w:val="1E2B38"/>
      <w:sz w:val="21"/>
    </w:rPr>
  </w:style>
  <w:style w:customStyle="1" w:styleId="FirstParagraph" w:type="paragraph">
    <w:name w:val="First Paragraph"/>
    <w:basedOn w:val="BodyText"/>
    <w:next w:val="BodyText"/>
    <w:qFormat/>
    <w:rPr>
      <w:rFonts w:ascii="Arial" w:cs="Arial" w:eastAsia="Arial" w:hAnsi="Arial"/>
      <w:b w:val="0"/>
      <w:color w:val="1E2B38"/>
      <w:sz w:val="21"/>
    </w:rPr>
  </w:style>
  <w:style w:customStyle="1" w:styleId="Compact" w:type="paragraph">
    <w:name w:val="Compact"/>
    <w:basedOn w:val="BodyText"/>
    <w:qFormat/>
    <w:pPr>
      <w:spacing w:after="36" w:before="36"/>
    </w:pPr>
    <w:rPr>
      <w:rFonts w:ascii="Arial" w:cs="Arial" w:eastAsia="Arial" w:hAnsi="Arial"/>
      <w:b w:val="0"/>
      <w:color w:val="1E2B38"/>
      <w:sz w:val="21"/>
    </w:rPr>
  </w:style>
  <w:style w:styleId="Title" w:type="paragraph">
    <w:name w:val="Title"/>
    <w:basedOn w:val="Normal"/>
    <w:next w:val="BodyText"/>
    <w:qFormat/>
    <w:pPr>
      <w:keepNext/>
      <w:keepLines/>
      <w:spacing w:after="240" w:before="480"/>
      <w:jc w:val="center"/>
    </w:pPr>
    <w:rPr>
      <w:rFonts w:ascii="Arial" w:cs="Arial" w:eastAsia="Arial" w:hAnsi="Arial"/>
      <w:b/>
      <w:bCs/>
      <w:color w:val="1E2B38"/>
      <w:sz w:val="40"/>
      <w:szCs w:val="36"/>
    </w:rPr>
  </w:style>
  <w:style w:styleId="Subtitle" w:type="paragraph">
    <w:name w:val="Subtitle"/>
    <w:basedOn w:val="Title"/>
    <w:next w:val="BodyText"/>
    <w:qFormat/>
    <w:pPr>
      <w:keepNext/>
      <w:keepLines/>
      <w:spacing w:after="240" w:before="240"/>
      <w:jc w:val="center"/>
    </w:pPr>
    <w:rPr>
      <w:rFonts w:ascii="Arial" w:cs="Arial" w:eastAsia="Arial" w:hAnsi="Arial"/>
      <w:b w:val="0"/>
      <w:color w:val="5C6B78"/>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rial" w:hAnsi="Arial" w:cs="Arial" w:eastAsia="Arial"/>
      <w:b/>
      <w:bCs/>
      <w:color w:val="1E2B38"/>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hAnsi="Arial" w:cs="Arial" w:eastAsia="Arial"/>
      <w:b/>
      <w:bCs/>
      <w:color w:val="1E2B38"/>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hAnsi="Arial" w:cs="Arial" w:eastAsia="Arial"/>
      <w:b/>
      <w:bCs/>
      <w:color w:val="1E2B38"/>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hAnsi="Arial" w:cs="Arial" w:eastAsia="Arial"/>
      <w:i/>
      <w:bCs/>
      <w:color w:val="1E2B38"/>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hAnsi="Arial" w:cs="Arial" w:eastAsia="Arial"/>
      <w:iCs/>
      <w:color w:val="1E2B38"/>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hAnsi="Arial" w:cs="Arial" w:eastAsia="Arial"/>
      <w:color w:val="1E2B38"/>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hAnsi="Arial" w:cs="Arial" w:eastAsia="Arial"/>
      <w:color w:val="1E2B38"/>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hAnsi="Arial" w:cs="Arial" w:eastAsia="Arial"/>
      <w:color w:val="1E2B38"/>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hAnsi="Arial" w:cs="Arial" w:eastAsia="Arial"/>
      <w:color w:val="1E2B38"/>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8" Type="http://schemas.openxmlformats.org/officeDocument/2006/relationships/hyperlink" Target="https://atlas.thc.texas.gov" TargetMode="External"/><Relationship Id="rId27" Type="http://schemas.openxmlformats.org/officeDocument/2006/relationships/hyperlink" Target="https://hcad.org" TargetMode="External"/><Relationship Id="rId21" Type="http://schemas.openxmlformats.org/officeDocument/2006/relationships/hyperlink" Target="https://www.houstontx.gov/planning/Commissions/commiss_plan.html" TargetMode="External"/><Relationship Id="rId32" Type="http://schemas.openxmlformats.org/officeDocument/2006/relationships/hyperlink" Target="https://www.houstontx.gov/planning/DevelopRegs/faq.html" TargetMode="External"/><Relationship Id="rId33" Type="http://schemas.openxmlformats.org/officeDocument/2006/relationships/hyperlink" Target="https://www.houstontx.gov/planning/Publications/docs-pdfs/Land-Regulations-Brochure.pdf" TargetMode="External"/></Relationships>
</file>

<file path=word/_rels/footnotes.xml.rels><?xml version='1.0' encoding='UTF-8' standalone='yes'?>
<Relationships xmlns="http://schemas.openxmlformats.org/package/2006/relationships"><Relationship Id="rId28" Type="http://schemas.openxmlformats.org/officeDocument/2006/relationships/hyperlink" Target="https://atlas.thc.texas.gov" TargetMode="External"/><Relationship Id="rId27" Type="http://schemas.openxmlformats.org/officeDocument/2006/relationships/hyperlink" Target="https://hcad.org" TargetMode="External"/><Relationship Id="rId21" Type="http://schemas.openxmlformats.org/officeDocument/2006/relationships/hyperlink" Target="https://www.houstontx.gov/planning/Commissions/commiss_plan.html" TargetMode="External"/><Relationship Id="rId32" Type="http://schemas.openxmlformats.org/officeDocument/2006/relationships/hyperlink" Target="https://www.houstontx.gov/planning/DevelopRegs/faq.html" TargetMode="External"/><Relationship Id="rId33" Type="http://schemas.openxmlformats.org/officeDocument/2006/relationships/hyperlink" Target="https://www.houstontx.gov/planning/Publications/docs-pdfs/Land-Regulations-Brochur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 Report Monitoring Guide</dc:title>
  <dc:creator/>
  <cp:keywords/>
  <dcterms:created xsi:type="dcterms:W3CDTF">2026-09-24T16:23:29Z</dcterms:created>
  <dcterms:modified xsi:type="dcterms:W3CDTF">2026-09-24T16:23:29Z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Preservation Houston · September 24, 2026</vt:lpwstr>
  </property>
</Properties>
</file>