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36"/>
          <w:szCs w:val="36"/>
        </w:rPr>
        <w:t xml:space="preserve">SHAREHOLDERS' AGREEMENT</w:t>
      </w:r>
    </w:p>
    <w:p>
      <w:pPr>
        <w:spacing w:after="120"/>
        <w:jc w:val="center"/>
      </w:pPr>
      <w:r>
        <w:rPr>
          <w:sz w:val="26"/>
          <w:szCs w:val="26"/>
        </w:rPr>
        <w:t xml:space="preserve">NovaBright Technologies Ltd</w:t>
      </w:r>
    </w:p>
    <w:p>
      <w:pPr>
        <w:spacing w:after="400"/>
        <w:jc w:val="center"/>
      </w:pPr>
      <w:r>
        <w:rPr>
          <w:color w:val="666666"/>
          <w:sz w:val="20"/>
          <w:szCs w:val="20"/>
        </w:rPr>
        <w:t xml:space="preserve">Dated: 28 February 2026</w:t>
      </w:r>
    </w:p>
    <w:p>
      <w:pPr>
        <w:pStyle w:val="Heading1"/>
      </w:pPr>
      <w:r>
        <w:t xml:space="preserve">PARTIES</w:t>
      </w:r>
    </w:p>
    <w:p>
      <w:pPr>
        <w:spacing w:after="120"/>
      </w:pPr>
      <w:r>
        <w:rPr>
          <w:b/>
          <w:bCs/>
        </w:rPr>
        <w:t xml:space="preserve">1. </w:t>
      </w:r>
      <w:r>
        <w:rPr>
          <w:b/>
          <w:bCs/>
        </w:rPr>
        <w:t xml:space="preserve">VentureHawk Capital Ltd</w:t>
      </w:r>
      <w:r>
        <w:t xml:space="preserve"> (Company No. 14293847), a company incorporated in England and Wales whose registered office is at 70 St Mary Axe, London EC3A 8BE ("the Investor")</w:t>
      </w:r>
    </w:p>
    <w:p>
      <w:pPr>
        <w:spacing w:after="120"/>
      </w:pPr>
      <w:r>
        <w:rPr>
          <w:b/>
          <w:bCs/>
        </w:rPr>
        <w:t xml:space="preserve">2. </w:t>
      </w:r>
      <w:r>
        <w:rPr>
          <w:b/>
          <w:bCs/>
        </w:rPr>
        <w:t xml:space="preserve">Daniel Chen</w:t>
      </w:r>
      <w:r>
        <w:t xml:space="preserve"> of 15 Riverside Walk, Cambridge CB5 8AQ ("Founder 1")</w:t>
      </w:r>
    </w:p>
    <w:p>
      <w:pPr>
        <w:spacing w:after="120"/>
      </w:pPr>
      <w:r>
        <w:rPr>
          <w:b/>
          <w:bCs/>
        </w:rPr>
        <w:t xml:space="preserve">3. </w:t>
      </w:r>
      <w:r>
        <w:rPr>
          <w:b/>
          <w:bCs/>
        </w:rPr>
        <w:t xml:space="preserve">Leila Osman</w:t>
      </w:r>
      <w:r>
        <w:t xml:space="preserve"> of 22 Park Crescent, Oxford OX2 6QH ("Founder 2")</w:t>
      </w:r>
    </w:p>
    <w:p>
      <w:pPr>
        <w:spacing w:after="200"/>
      </w:pPr>
      <w:r>
        <w:rPr>
          <w:b/>
          <w:bCs/>
        </w:rPr>
        <w:t xml:space="preserve">4. </w:t>
      </w:r>
      <w:r>
        <w:rPr>
          <w:b/>
          <w:bCs/>
        </w:rPr>
        <w:t xml:space="preserve">NovaBright Technologies Ltd</w:t>
      </w:r>
      <w:r>
        <w:t xml:space="preserve"> (Company No. 15482937), a company incorporated in England and Wales whose registered office is at Unit 8, Innovation Hub, 100 Hills Road, Cambridge CB2 1PH ("the Company")</w:t>
      </w:r>
    </w:p>
    <w:p>
      <w:pPr>
        <w:spacing w:after="120"/>
      </w:pPr>
      <w:r>
        <w:t xml:space="preserve">(each a "Party" and together the "Parties")</w:t>
      </w:r>
    </w:p>
    <w:p>
      <w:pPr>
        <w:pStyle w:val="Heading1"/>
      </w:pPr>
      <w:r>
        <w:t xml:space="preserve">RECITALS</w:t>
      </w:r>
    </w:p>
    <w:p>
      <w:pPr>
        <w:spacing w:after="120"/>
      </w:pPr>
      <w:r>
        <w:t xml:space="preserve">(A) The Company was incorporated by the Founders for the purpose of developing AI-powered supply chain optimisation software.</w:t>
      </w:r>
    </w:p>
    <w:p>
      <w:pPr>
        <w:spacing w:after="120"/>
      </w:pPr>
      <w:r>
        <w:t xml:space="preserve">(B) The Investor has agreed to invest GBP 750,000 in the Company in exchange for 30% of the Company's fully diluted share capital.</w:t>
      </w:r>
    </w:p>
    <w:p>
      <w:pPr>
        <w:spacing w:after="200"/>
      </w:pPr>
      <w:r>
        <w:t xml:space="preserve">(C) The Parties wish to regulate their respective rights and obligations as shareholders of the Company.</w:t>
      </w:r>
    </w:p>
    <w:p>
      <w:pPr>
        <w:pStyle w:val="Heading1"/>
      </w:pPr>
      <w:r>
        <w:t xml:space="preserve">1. SHARE CAPITAL</w:t>
      </w:r>
    </w:p>
    <w:p>
      <w:pPr>
        <w:spacing w:after="200"/>
      </w:pPr>
      <w:r>
        <w:t xml:space="preserve">1.1 Immediately following completion of the Investor's subscription, the share capital of the Company shall be as follows: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513"/>
        <w:gridCol w:w="2513"/>
      </w:tblGrid>
      <w:tr>
        <w:tc>
          <w:tcPr>
            <w:tcW w:type="dxa" w:w="4000"/>
            <w:tcBorders>
              <w:top w:val="single" w:color="AAAAAA" w:sz="1"/>
              <w:left w:val="single" w:color="AAAAAA" w:sz="1"/>
              <w:bottom w:val="single" w:color="AAAAAA" w:sz="1"/>
              <w:right w:val="single" w:color="AAAAAA" w:sz="1"/>
            </w:tcBorders>
            <w:shd w:fill="E8E8E8" w:val="clear"/>
            <w:tcMar>
              <w:top w:type="dxa" w:w="80"/>
              <w:left w:type="dxa" w:w="120"/>
              <w:bottom w:type="dxa" w:w="80"/>
              <w:right w:type="dxa" w:w="120"/>
            </w:tcMar>
          </w:tcPr>
          <w:p>
            <w:r>
              <w:rPr>
                <w:b/>
                <w:bCs/>
              </w:rPr>
              <w:t xml:space="preserve">Shareholder</w:t>
            </w:r>
          </w:p>
        </w:tc>
        <w:tc>
          <w:tcPr>
            <w:tcW w:type="dxa" w:w="2513"/>
            <w:tcBorders>
              <w:top w:val="single" w:color="AAAAAA" w:sz="1"/>
              <w:left w:val="single" w:color="AAAAAA" w:sz="1"/>
              <w:bottom w:val="single" w:color="AAAAAA" w:sz="1"/>
              <w:right w:val="single" w:color="AAAAAA" w:sz="1"/>
            </w:tcBorders>
            <w:shd w:fill="E8E8E8" w:val="clear"/>
            <w:tcMar>
              <w:top w:type="dxa" w:w="80"/>
              <w:left w:type="dxa" w:w="120"/>
              <w:bottom w:type="dxa" w:w="80"/>
              <w:right w:type="dxa" w:w="120"/>
            </w:tcMar>
          </w:tcPr>
          <w:p>
            <w:r>
              <w:rPr>
                <w:b/>
                <w:bCs/>
              </w:rPr>
              <w:t xml:space="preserve">Shares</w:t>
            </w:r>
          </w:p>
        </w:tc>
        <w:tc>
          <w:tcPr>
            <w:tcW w:type="dxa" w:w="2513"/>
            <w:tcBorders>
              <w:top w:val="single" w:color="AAAAAA" w:sz="1"/>
              <w:left w:val="single" w:color="AAAAAA" w:sz="1"/>
              <w:bottom w:val="single" w:color="AAAAAA" w:sz="1"/>
              <w:right w:val="single" w:color="AAAAAA" w:sz="1"/>
            </w:tcBorders>
            <w:shd w:fill="E8E8E8" w:val="clear"/>
            <w:tcMar>
              <w:top w:type="dxa" w:w="80"/>
              <w:left w:type="dxa" w:w="120"/>
              <w:bottom w:type="dxa" w:w="80"/>
              <w:right w:type="dxa" w:w="120"/>
            </w:tcMar>
          </w:tcPr>
          <w:p>
            <w:r>
              <w:rPr>
                <w:b/>
                <w:bCs/>
              </w:rPr>
              <w:t xml:space="preserve">Percentage</w:t>
            </w:r>
          </w:p>
        </w:tc>
      </w:tr>
      <w:tr>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VentureHawk Capital Ltd</w:t>
            </w:r>
          </w:p>
        </w:tc>
        <w:tc>
          <w:tcPr>
            <w:tcW w:type="dxa" w:w="2513"/>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300</w:t>
            </w:r>
          </w:p>
        </w:tc>
        <w:tc>
          <w:tcPr>
            <w:tcW w:type="dxa" w:w="2513"/>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30%</w:t>
            </w:r>
          </w:p>
        </w:tc>
      </w:tr>
      <w:tr>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Daniel Chen (Founder 1)</w:t>
            </w:r>
          </w:p>
        </w:tc>
        <w:tc>
          <w:tcPr>
            <w:tcW w:type="dxa" w:w="2513"/>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350</w:t>
            </w:r>
          </w:p>
        </w:tc>
        <w:tc>
          <w:tcPr>
            <w:tcW w:type="dxa" w:w="2513"/>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35%</w:t>
            </w:r>
          </w:p>
        </w:tc>
      </w:tr>
      <w:tr>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Leila Osman (Founder 2)</w:t>
            </w:r>
          </w:p>
        </w:tc>
        <w:tc>
          <w:tcPr>
            <w:tcW w:type="dxa" w:w="2513"/>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350</w:t>
            </w:r>
          </w:p>
        </w:tc>
        <w:tc>
          <w:tcPr>
            <w:tcW w:type="dxa" w:w="2513"/>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35%</w:t>
            </w:r>
          </w:p>
        </w:tc>
      </w:tr>
    </w:tbl>
    <w:p>
      <w:pPr>
        <w:pStyle w:val="Heading1"/>
      </w:pPr>
      <w:r>
        <w:t xml:space="preserve">2. FOUNDER REVERSE VESTING</w:t>
      </w:r>
    </w:p>
    <w:p>
      <w:pPr>
        <w:spacing w:after="120"/>
      </w:pPr>
      <w:r>
        <w:t xml:space="preserve">2.1 </w:t>
      </w:r>
      <w:r>
        <w:rPr>
          <w:b/>
          <w:bCs/>
        </w:rPr>
        <w:t xml:space="preserve">100% of each Founder's shares shall be subject to reverse vesting</w:t>
      </w:r>
      <w:r>
        <w:t xml:space="preserve"> over a period of forty-eight (48) months from the date of this Agreement (the "Vesting Period").</w:t>
      </w:r>
    </w:p>
    <w:p>
      <w:pPr>
        <w:spacing w:after="120"/>
      </w:pPr>
      <w:r>
        <w:t xml:space="preserve">2.2 No shares shall vest during the first twelve (12) months of the Vesting Period (the "Cliff Period"). If a Founder ceases to be a full-time employee of the Company for any reason during the Cliff Period, 100% of that Founder's shares shall be subject to compulsory transfer as set out in clause 3.</w:t>
      </w:r>
    </w:p>
    <w:p>
      <w:pPr>
        <w:spacing w:after="120"/>
      </w:pPr>
      <w:r>
        <w:t xml:space="preserve">2.3 After the Cliff Period, shares shall vest monthly in equal instalments over the remaining thirty-six (36) months of the Vesting Period.</w:t>
      </w:r>
    </w:p>
    <w:p>
      <w:pPr>
        <w:spacing w:after="120"/>
      </w:pPr>
      <w:r>
        <w:t xml:space="preserve">2.4 If a Founder ceases to be a full-time employee of the Company for any reason (including resignation, termination by the Company, redundancy, ill health, or death), all unvested shares shall be subject to compulsory transfer in accordance with clause 3.</w:t>
      </w:r>
    </w:p>
    <w:p>
      <w:pPr>
        <w:spacing w:after="120"/>
      </w:pPr>
      <w:r>
        <w:rPr>
          <w:b/>
          <w:bCs/>
        </w:rPr>
        <w:t xml:space="preserve">2.5 The Investor's shares are not subject to any vesting or reverse vesting provisions.</w:t>
      </w:r>
    </w:p>
    <w:p>
      <w:pPr>
        <w:pStyle w:val="Heading1"/>
      </w:pPr>
      <w:r>
        <w:t xml:space="preserve">3. LEAVER PROVISIONS</w:t>
      </w:r>
    </w:p>
    <w:p>
      <w:pPr>
        <w:spacing w:after="120"/>
      </w:pPr>
      <w:r>
        <w:rPr>
          <w:b/>
          <w:bCs/>
        </w:rPr>
        <w:t xml:space="preserve">3.1 Bad Leaver.</w:t>
      </w:r>
      <w:r>
        <w:t xml:space="preserve"> A Founder shall be a "Bad Leaver" if they cease to be a full-time employee of the Company for any of the following reasons:</w:t>
      </w:r>
    </w:p>
    <w:p>
      <w:pPr>
        <w:spacing w:after="80"/>
        <w:ind w:left="720"/>
      </w:pPr>
      <w:r>
        <w:t xml:space="preserve">(a) termination by the Company for cause (including gross misconduct, material breach, or persistent poor performance);</w:t>
      </w:r>
    </w:p>
    <w:p>
      <w:pPr>
        <w:spacing w:after="80"/>
        <w:ind w:left="720"/>
      </w:pPr>
      <w:r>
        <w:rPr>
          <w:b/>
          <w:bCs/>
        </w:rPr>
        <w:t xml:space="preserve">(b) resignation by the Founder for any reason;</w:t>
      </w:r>
    </w:p>
    <w:p>
      <w:pPr>
        <w:spacing w:after="80"/>
        <w:ind w:left="720"/>
      </w:pPr>
      <w:r>
        <w:t xml:space="preserve">(c) the Founder becoming bankrupt or entering into an individual voluntary arrangement;</w:t>
      </w:r>
    </w:p>
    <w:p>
      <w:pPr>
        <w:spacing w:after="80"/>
        <w:ind w:left="720"/>
      </w:pPr>
      <w:r>
        <w:t xml:space="preserve">(d) the Founder being convicted of a criminal offence;</w:t>
      </w:r>
    </w:p>
    <w:p>
      <w:pPr>
        <w:spacing w:after="80"/>
        <w:ind w:left="720"/>
      </w:pPr>
      <w:r>
        <w:t xml:space="preserve">(e) the Founder breaching any provision of this Agreement or their employment contract;</w:t>
      </w:r>
    </w:p>
    <w:p>
      <w:pPr>
        <w:spacing w:after="80"/>
        <w:ind w:left="720"/>
      </w:pPr>
      <w:r>
        <w:t xml:space="preserve">(f) any other circumstance that the Investor, in its sole discretion, considers to be a Bad Leaver event.</w:t>
      </w:r>
    </w:p>
    <w:p>
      <w:pPr>
        <w:spacing w:after="120"/>
      </w:pPr>
      <w:r>
        <w:t xml:space="preserve">3.2 </w:t>
      </w:r>
      <w:r>
        <w:rPr>
          <w:b/>
          <w:bCs/>
        </w:rPr>
        <w:t xml:space="preserve">If a Founder is a Bad Leaver, ALL of that Founder's shares (both vested and unvested) shall be transferred to the Investor (or its nominee) at a price of GBP 1 (one pound) per share.</w:t>
      </w:r>
    </w:p>
    <w:p>
      <w:pPr>
        <w:spacing w:after="120"/>
      </w:pPr>
      <w:r>
        <w:rPr>
          <w:b/>
          <w:bCs/>
        </w:rPr>
        <w:t xml:space="preserve">3.3 Good Leaver.</w:t>
      </w:r>
      <w:r>
        <w:t xml:space="preserve"> A Founder shall be a "Good Leaver" only if they die or become permanently incapacitated (as certified by two independent medical practitioners appointed by the Investor). A Good Leaver shall transfer their unvested shares at fair market value as determined by the Investor's auditors.</w:t>
      </w:r>
    </w:p>
    <w:r>
      <w:br w:type="page"/>
    </w:r>
    <w:p>
      <w:pPr>
        <w:pStyle w:val="Heading1"/>
      </w:pPr>
      <w:r>
        <w:t xml:space="preserve">4. BOARD OF DIRECTORS</w:t>
      </w:r>
    </w:p>
    <w:p>
      <w:pPr>
        <w:spacing w:after="120"/>
      </w:pPr>
      <w:r>
        <w:t xml:space="preserve">4.1 The board of directors of the Company shall comprise three (3) directors:</w:t>
      </w:r>
    </w:p>
    <w:p>
      <w:pPr>
        <w:spacing w:after="80"/>
        <w:ind w:left="720"/>
      </w:pPr>
      <w:r>
        <w:rPr>
          <w:b/>
          <w:bCs/>
        </w:rPr>
        <w:t xml:space="preserve">(a) two (2) directors appointed by the Investor;</w:t>
      </w:r>
    </w:p>
    <w:p>
      <w:pPr>
        <w:spacing w:after="80"/>
        <w:ind w:left="720"/>
      </w:pPr>
      <w:r>
        <w:t xml:space="preserve">(b) one (1) director appointed by the Founders (jointly).</w:t>
      </w:r>
    </w:p>
    <w:p>
      <w:pPr>
        <w:spacing w:after="120"/>
      </w:pPr>
      <w:r>
        <w:t xml:space="preserve">4.2 The chairman of the board shall be one of the Investor's appointed directors, who shall have a casting vote in the event of a tied vote.</w:t>
      </w:r>
    </w:p>
    <w:p>
      <w:pPr>
        <w:spacing w:after="120"/>
      </w:pPr>
      <w:r>
        <w:t xml:space="preserve">4.3 Board meetings shall require a quorum of two (2) directors, one of whom must be an Investor-appointed director. No board meeting shall be quorate without the presence of at least one Investor-appointed director.</w:t>
      </w:r>
    </w:p>
    <w:p>
      <w:pPr>
        <w:spacing w:after="120"/>
      </w:pPr>
      <w:r>
        <w:t xml:space="preserve">4.4 The Investor's appointed directors shall have the right to veto any board decision, including (without limitation) decisions relating to the Company's strategy, budget, hiring, compensation, contracts, fundraising, and expenditure exceeding GBP 5,000.</w:t>
      </w:r>
    </w:p>
    <w:p>
      <w:pPr>
        <w:pStyle w:val="Heading1"/>
      </w:pPr>
      <w:r>
        <w:t xml:space="preserve">5. PRE-EMPTIVE RIGHTS AND ANTI-DILUTION</w:t>
      </w:r>
    </w:p>
    <w:p>
      <w:pPr>
        <w:spacing w:after="120"/>
      </w:pPr>
      <w:r>
        <w:t xml:space="preserve">5.1 </w:t>
      </w:r>
      <w:r>
        <w:rPr>
          <w:b/>
          <w:bCs/>
        </w:rPr>
        <w:t xml:space="preserve">The Investor shall have unlimited pre-emptive rights on all future issuances of shares</w:t>
      </w:r>
      <w:r>
        <w:t xml:space="preserve">, options, convertible securities, or any other equity or equity-linked instruments by the Company. The Investor shall have the right (but not the obligation) to subscribe for up to 100% of any such issuance on the same terms offered to other subscribers.</w:t>
      </w:r>
    </w:p>
    <w:p>
      <w:pPr>
        <w:spacing w:after="120"/>
      </w:pPr>
      <w:r>
        <w:t xml:space="preserve">5.2 The Investor shall have full-ratchet anti-dilution protection. If the Company issues any shares at a price per share lower than the price paid by the Investor, the Investor's existing shares shall be adjusted (by way of bonus issue or otherwise) such that the Investor's effective price per share is reduced to the lower price.</w:t>
      </w:r>
    </w:p>
    <w:p>
      <w:pPr>
        <w:spacing w:after="120"/>
      </w:pPr>
      <w:r>
        <w:rPr>
          <w:b/>
          <w:bCs/>
        </w:rPr>
        <w:t xml:space="preserve">5.3 The Founders shall not have any pre-emptive rights or anti-dilution protections.</w:t>
      </w:r>
      <w:r>
        <w:t xml:space="preserve"> The Founders acknowledge and accept that their shareholdings may be diluted by future fundraising rounds.</w:t>
      </w:r>
    </w:p>
    <w:p>
      <w:pPr>
        <w:pStyle w:val="Heading1"/>
      </w:pPr>
      <w:r>
        <w:t xml:space="preserve">6. DRAG-ALONG</w:t>
      </w:r>
    </w:p>
    <w:p>
      <w:pPr>
        <w:spacing w:after="120"/>
      </w:pPr>
      <w:r>
        <w:t xml:space="preserve">6.1 </w:t>
      </w:r>
      <w:r>
        <w:rPr>
          <w:b/>
          <w:bCs/>
        </w:rPr>
        <w:t xml:space="preserve">The Investor may, at any time and in its sole discretion, require all other shareholders (including the Founders) to sell their shares</w:t>
      </w:r>
      <w:r>
        <w:t xml:space="preserve"> in the Company to a third party purchaser identified by the Investor (a "Drag-Along Sale").</w:t>
      </w:r>
    </w:p>
    <w:p>
      <w:pPr>
        <w:spacing w:after="120"/>
      </w:pPr>
      <w:r>
        <w:t xml:space="preserve">6.2 </w:t>
      </w:r>
      <w:r>
        <w:rPr>
          <w:b/>
          <w:bCs/>
        </w:rPr>
        <w:t xml:space="preserve">The sale price in a Drag-Along Sale shall be at such price as the Investor determines</w:t>
      </w:r>
      <w:r>
        <w:t xml:space="preserve">, and the Founders shall have no right to challenge, dispute, or negotiate the price or any other terms of the sale.</w:t>
      </w:r>
    </w:p>
    <w:p>
      <w:pPr>
        <w:spacing w:after="120"/>
      </w:pPr>
      <w:r>
        <w:t xml:space="preserve">6.3 The Founders shall execute all documents and take all steps necessary to give effect to a Drag-Along Sale within fourteen (14) days of being notified by the Investor. Failure to do so shall constitute a Bad Leaver event under clause 3.</w:t>
      </w:r>
    </w:p>
    <w:p>
      <w:pPr>
        <w:spacing w:after="120"/>
      </w:pPr>
      <w:r>
        <w:t xml:space="preserve">6.4 The Founders shall give customary representations, warranties, and indemnities to the purchaser in a Drag-Along Sale, without limitation as to liability.</w:t>
      </w:r>
    </w:p>
    <w:p>
      <w:pPr>
        <w:pStyle w:val="Heading1"/>
      </w:pPr>
      <w:r>
        <w:t xml:space="preserve">7. INVESTOR CONSENT MATTERS</w:t>
      </w:r>
    </w:p>
    <w:p>
      <w:pPr>
        <w:spacing w:after="120"/>
      </w:pPr>
      <w:r>
        <w:t xml:space="preserve">7.1 The following matters shall require the prior written consent of the Investor:</w:t>
      </w:r>
    </w:p>
    <w:p>
      <w:pPr>
        <w:spacing w:after="80"/>
        <w:ind w:left="720"/>
      </w:pPr>
      <w:r>
        <w:t xml:space="preserve">(a) any change to the Company's articles of association;</w:t>
      </w:r>
    </w:p>
    <w:p>
      <w:pPr>
        <w:spacing w:after="80"/>
        <w:ind w:left="720"/>
      </w:pPr>
      <w:r>
        <w:t xml:space="preserve">(b) any issue or allotment of shares, options, or convertible instruments;</w:t>
      </w:r>
    </w:p>
    <w:p>
      <w:pPr>
        <w:spacing w:after="80"/>
        <w:ind w:left="720"/>
      </w:pPr>
      <w:r>
        <w:t xml:space="preserve">(c) any borrowing or giving of security;</w:t>
      </w:r>
    </w:p>
    <w:p>
      <w:pPr>
        <w:spacing w:after="80"/>
        <w:ind w:left="720"/>
      </w:pPr>
      <w:r>
        <w:t xml:space="preserve">(d) any expenditure exceeding GBP 5,000 in aggregate in any 12-month period;</w:t>
      </w:r>
    </w:p>
    <w:p>
      <w:pPr>
        <w:spacing w:after="80"/>
        <w:ind w:left="720"/>
      </w:pPr>
      <w:r>
        <w:t xml:space="preserve">(e) hiring or dismissing any employee;</w:t>
      </w:r>
    </w:p>
    <w:p>
      <w:pPr>
        <w:spacing w:after="80"/>
        <w:ind w:left="720"/>
      </w:pPr>
      <w:r>
        <w:t xml:space="preserve">(f) entering into any contract with a value exceeding GBP 1,000;</w:t>
      </w:r>
    </w:p>
    <w:p>
      <w:pPr>
        <w:spacing w:after="80"/>
        <w:ind w:left="720"/>
      </w:pPr>
      <w:r>
        <w:t xml:space="preserve">(g) any change to Founder compensation, benefits, or expenses;</w:t>
      </w:r>
    </w:p>
    <w:p>
      <w:pPr>
        <w:spacing w:after="80"/>
        <w:ind w:left="720"/>
      </w:pPr>
      <w:r>
        <w:t xml:space="preserve">(h) any sale, transfer, or encumbrance of Company assets;</w:t>
      </w:r>
    </w:p>
    <w:p>
      <w:pPr>
        <w:spacing w:after="120"/>
        <w:ind w:left="720"/>
      </w:pPr>
      <w:r>
        <w:t xml:space="preserve">(i) any other matter the Investor considers material.</w:t>
      </w:r>
    </w:p>
    <w:p>
      <w:pPr>
        <w:pStyle w:val="Heading1"/>
      </w:pPr>
      <w:r>
        <w:t xml:space="preserve">8. GOVERNING LAW</w:t>
      </w:r>
    </w:p>
    <w:p>
      <w:pPr>
        <w:spacing w:after="120"/>
      </w:pPr>
      <w:r>
        <w:t xml:space="preserve">8.1 This Agreement shall be governed by and construed in accordance with English law.</w:t>
      </w:r>
    </w:p>
    <w:p>
      <w:pPr>
        <w:spacing w:after="120"/>
      </w:pPr>
      <w:r>
        <w:t xml:space="preserve">8.2 The parties submit to the exclusive jurisdiction of the English courts.</w:t>
      </w:r>
    </w:p>
    <w:r>
      <w:br w:type="page"/>
    </w:r>
    <w:p>
      <w:pPr>
        <w:pStyle w:val="Heading1"/>
      </w:pPr>
      <w:r>
        <w:t xml:space="preserve">EXECUTION</w:t>
      </w:r>
    </w:p>
    <w:p>
      <w:pPr>
        <w:spacing w:after="200"/>
      </w:pPr>
      <w:r>
        <w:t xml:space="preserve">This Agreement has been entered into on the date stated at the beginning of this Agreement.</w:t>
      </w:r>
    </w:p>
    <w:p>
      <w:pPr>
        <w:spacing w:after="80"/>
      </w:pPr>
      <w:r>
        <w:rPr>
          <w:b/>
          <w:bCs/>
        </w:rPr>
        <w:t xml:space="preserve">Signed for and on behalf of VentureHawk Capital Ltd:</w:t>
      </w:r>
    </w:p>
    <w:p>
      <w:pPr>
        <w:spacing w:after="80"/>
      </w:pPr>
      <w:r>
        <w:t xml:space="preserve">Name: Marcus Van der Berg</w:t>
      </w:r>
    </w:p>
    <w:p>
      <w:pPr>
        <w:spacing w:after="80"/>
      </w:pPr>
      <w:r>
        <w:t xml:space="preserve">Position: Managing Partner</w:t>
      </w:r>
    </w:p>
    <w:p>
      <w:pPr>
        <w:spacing w:after="80"/>
      </w:pPr>
      <w:r>
        <w:t xml:space="preserve">Signature: ____________________________</w:t>
      </w:r>
    </w:p>
    <w:p>
      <w:pPr>
        <w:spacing w:after="200"/>
      </w:pPr>
      <w:r>
        <w:t xml:space="preserve">Date: ____________________________</w:t>
      </w:r>
    </w:p>
    <w:p>
      <w:pPr>
        <w:spacing w:after="80"/>
      </w:pPr>
      <w:r>
        <w:rPr>
          <w:b/>
          <w:bCs/>
        </w:rPr>
        <w:t xml:space="preserve">Signed by Founder 1:</w:t>
      </w:r>
    </w:p>
    <w:p>
      <w:pPr>
        <w:spacing w:after="80"/>
      </w:pPr>
      <w:r>
        <w:t xml:space="preserve">Name: Daniel Chen</w:t>
      </w:r>
    </w:p>
    <w:p>
      <w:pPr>
        <w:spacing w:after="80"/>
      </w:pPr>
      <w:r>
        <w:t xml:space="preserve">Signature: ____________________________</w:t>
      </w:r>
    </w:p>
    <w:p>
      <w:pPr>
        <w:spacing w:after="200"/>
      </w:pPr>
      <w:r>
        <w:t xml:space="preserve">Date: ____________________________</w:t>
      </w:r>
    </w:p>
    <w:p>
      <w:pPr>
        <w:spacing w:after="80"/>
      </w:pPr>
      <w:r>
        <w:rPr>
          <w:b/>
          <w:bCs/>
        </w:rPr>
        <w:t xml:space="preserve">Signed by Founder 2:</w:t>
      </w:r>
    </w:p>
    <w:p>
      <w:pPr>
        <w:spacing w:after="80"/>
      </w:pPr>
      <w:r>
        <w:t xml:space="preserve">Name: Leila Osman</w:t>
      </w:r>
    </w:p>
    <w:p>
      <w:pPr>
        <w:spacing w:after="80"/>
      </w:pPr>
      <w:r>
        <w:t xml:space="preserve">Signature: ____________________________</w:t>
      </w:r>
    </w:p>
    <w:p>
      <w:pPr>
        <w:spacing w:after="200"/>
      </w:pPr>
      <w:r>
        <w:t xml:space="preserve">Date: ____________________________</w:t>
      </w:r>
    </w:p>
    <w:p>
      <w:pPr>
        <w:spacing w:after="80"/>
      </w:pPr>
      <w:r>
        <w:rPr>
          <w:b/>
          <w:bCs/>
        </w:rPr>
        <w:t xml:space="preserve">Signed for and on behalf of NovaBright Technologies Ltd:</w:t>
      </w:r>
    </w:p>
    <w:p>
      <w:pPr>
        <w:spacing w:after="80"/>
      </w:pPr>
      <w:r>
        <w:t xml:space="preserve">Director: ____________________________</w:t>
      </w:r>
    </w:p>
    <w:p>
      <w:pPr>
        <w:spacing w:after="80"/>
      </w:pPr>
      <w:r>
        <w:t xml:space="preserve">Signature: ____________________________</w:t>
      </w:r>
    </w:p>
    <w:p>
      <w:pPr>
        <w:spacing w:after="200"/>
      </w:pPr>
      <w:r>
        <w:t xml:space="preserve">Date: ____________________________</w:t>
      </w:r>
    </w:p>
    <w:p>
      <w:pPr>
        <w:spacing w:before="300"/>
      </w:pPr>
      <w:r>
        <w:rPr>
          <w:i/>
          <w:iCs/>
          <w:color w:val="888888"/>
          <w:sz w:val="18"/>
          <w:szCs w:val="18"/>
        </w:rPr>
        <w:t xml:space="preserve">Prepared by: Harrington Wolfe LLP, Solicitors, 70 St Mary Axe, London EC3A 8BE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b/>
        <w:bCs/>
        <w:color w:val="CC0000"/>
        <w:sz w:val="16"/>
        <w:szCs w:val="16"/>
      </w:rPr>
      <w:t xml:space="preserve">STRICTLY PRIVATE AND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0"/>
      <w:szCs w:val="30"/>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2026-04-11T21:54:05.971Z</dcterms:created>
  <dcterms:modified xsi:type="dcterms:W3CDTF">2026-04-11T21:54:05.972Z</dcterms:modified>
</cp:coreProperties>
</file>

<file path=docProps/custom.xml><?xml version="1.0" encoding="utf-8"?>
<Properties xmlns="http://schemas.openxmlformats.org/officeDocument/2006/custom-properties" xmlns:vt="http://schemas.openxmlformats.org/officeDocument/2006/docPropsVTypes"/>
</file>