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273A" w14:textId="77777777" w:rsidR="00FB6450" w:rsidRDefault="00FB6450">
      <w:r>
        <w:t>Abstract</w:t>
      </w:r>
    </w:p>
    <w:p w14:paraId="7B889FAC" w14:textId="5BB62707" w:rsidR="00621522" w:rsidRDefault="00824ADA" w:rsidP="00E40A10">
      <w:r>
        <w:t>The Crystal Knob volcanic neck in the central California Coast Ranges was erupted during the Pleistocene (1.65 Ma) through the Nacimiento belt of the Franciscan complex. It is composed of olivine-plagioclase phyric basalt containing spinel peridotite and cumulate dunite xenoliths. The peridotites sample the mantle lithosphere beneath the Nacimiento Franciscan, which was constructed as an accretionary prism during Late Cretaceous subduction of the Farallon plate. 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r w:rsidR="00732126">
        <w:t xml:space="preserve"> </w:t>
      </w:r>
      <w:r>
        <w:t xml:space="preserve">Six spinel peridotite samples were analyzed, ranging from fertile lherzolites to clinopyroxene harzburgites with modal clinopyroxene from 2-13%. They have a depleted mantle </w:t>
      </w:r>
      <w:r w:rsidR="002E3B32">
        <w:t xml:space="preserve">Sr and Nd </w:t>
      </w:r>
      <w:r>
        <w:t xml:space="preserve">isotopic signature and correspond to abyssal peridotites, most likely sourced in a relict subducted slab. Ca-exchange geothermometry shows equilibration temperatures between 950 and 1060 ºC. Rare-earth geothermometry shows similar results, but hotter for the hottest </w:t>
      </w:r>
      <w:r w:rsidR="005C5AB7">
        <w:t xml:space="preserve">and deepest </w:t>
      </w:r>
      <w:r>
        <w:t>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t>
      </w:r>
      <w:r w:rsidR="00111778">
        <w:t xml:space="preserve"> </w:t>
      </w:r>
      <w:r>
        <w:t xml:space="preserve">Given constraints from xenolith thermobarometry, forward modeling of thermal evolution is used to construct a range of potential thermal structures </w:t>
      </w:r>
      <w:r w:rsidR="00841D12">
        <w:t xml:space="preserve">that are tested against </w:t>
      </w:r>
      <w:r w:rsidR="00732126">
        <w:t xml:space="preserve">plausible </w:t>
      </w:r>
      <w:r>
        <w:t>tectonic scenarios for the evolution of the mantle lithosphere beneath</w:t>
      </w:r>
      <w:r w:rsidR="00841D12">
        <w:t xml:space="preserve"> the region</w:t>
      </w:r>
      <w:r>
        <w:t xml:space="preserve">. </w:t>
      </w:r>
      <w:r w:rsidR="00841D12">
        <w:t>Underplated Late Cretaceous Farallon plate floored by a deep slab window, and underplated Neogene Monterey microplate equally satisfy the thermal constraints, but a shallow Neogene slab window is excluded.</w:t>
      </w:r>
      <w:r w:rsidR="00111778">
        <w:t xml:space="preserve"> </w:t>
      </w:r>
      <w:r w:rsidR="005C5AB7">
        <w:t>U</w:t>
      </w:r>
      <w:r w:rsidR="00841D12">
        <w:t xml:space="preserve">nderplated Farallon plate </w:t>
      </w:r>
      <w:r>
        <w:t>be</w:t>
      </w:r>
      <w:r w:rsidR="005C5AB7">
        <w:t xml:space="preserve">st </w:t>
      </w:r>
      <w:r>
        <w:t xml:space="preserve"> </w:t>
      </w:r>
      <w:r w:rsidR="00841D12">
        <w:t xml:space="preserve">satisfies the </w:t>
      </w:r>
      <w:r>
        <w:t xml:space="preserve">crustal geological constraints. </w:t>
      </w:r>
      <w:r w:rsidR="00841D12">
        <w:t>Given this, t</w:t>
      </w:r>
      <w:r>
        <w:t xml:space="preserve">he preferred tectonic scenario for </w:t>
      </w:r>
      <w:r w:rsidR="00841D12">
        <w:t xml:space="preserve">the </w:t>
      </w:r>
      <w:r>
        <w:t>construction of the</w:t>
      </w:r>
      <w:r w:rsidR="00111778">
        <w:t xml:space="preserve"> region’s</w:t>
      </w:r>
      <w:r>
        <w:t xml:space="preserve"> mantle lithosphere is  subduction </w:t>
      </w:r>
      <w:r w:rsidR="00111778">
        <w:t xml:space="preserve">underplating of Farallon plate </w:t>
      </w:r>
      <w:r>
        <w:t>during the late</w:t>
      </w:r>
      <w:r w:rsidR="00111778">
        <w:t>st Cretaceous followed by</w:t>
      </w:r>
      <w:r>
        <w:t xml:space="preserve"> cooling at depth over the Paleogene</w:t>
      </w:r>
      <w:r w:rsidR="00111778">
        <w:t xml:space="preserve">, and then superposed slab window formation at ~80 km depth during the Neogene. </w:t>
      </w:r>
      <w:r>
        <w:t xml:space="preserve">This scenario can explain the temperature and depth distribution of the Crystal Knob xenoliths, as well as the paired depletion and re-enrichment signatures recorded by most of the samples. This work shows that the mantle lithosphere beneath the Coast Ranges was constructed in a similar fashion </w:t>
      </w:r>
      <w:r w:rsidR="00111778">
        <w:t>as</w:t>
      </w:r>
      <w:r>
        <w:t xml:space="preserve"> the mantle lithosphere beneath the Mojave Province</w:t>
      </w:r>
      <w:r w:rsidR="00111778">
        <w:t xml:space="preserve">; </w:t>
      </w:r>
      <w:r w:rsidR="002E3B32">
        <w:t xml:space="preserve">two </w:t>
      </w:r>
      <w:r w:rsidR="00111778">
        <w:t xml:space="preserve">regions that were in immediate proximity to one another prior to late Neogene-Quaternary dextral offsets along the San Andreas transform system. </w:t>
      </w:r>
    </w:p>
    <w:p w14:paraId="436288CA" w14:textId="77777777" w:rsidR="00555B45" w:rsidRDefault="00824ADA">
      <w:pPr>
        <w:pStyle w:val="Heading1"/>
      </w:pPr>
      <w:bookmarkStart w:id="0" w:name="introduction"/>
      <w:bookmarkEnd w:id="0"/>
      <w:r>
        <w:lastRenderedPageBreak/>
        <w:t>Introduction</w:t>
      </w:r>
    </w:p>
    <w:p w14:paraId="3626783D" w14:textId="77777777" w:rsidR="00555B45" w:rsidRDefault="00824ADA">
      <w:pPr>
        <w:pStyle w:val="FirstParagraph"/>
      </w:pPr>
      <w: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14:paraId="7CDF813E" w14:textId="2D18A239" w:rsidR="00555B45" w:rsidRDefault="00824ADA">
      <w:pPr>
        <w:pStyle w:val="BodyText"/>
      </w:pPr>
      <w:r>
        <w:t>The Crystal Knob xenolith locality samples a highly 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Jr 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Pr>
          <w:i/>
        </w:rPr>
        <w:t>Barth et al.</w:t>
      </w:r>
      <w:r>
        <w:t xml:space="preserve">, 2003; </w:t>
      </w:r>
      <w:r w:rsidR="005C5AB7">
        <w:rPr>
          <w:i/>
        </w:rPr>
        <w:t>Kidder and Ducea</w:t>
      </w:r>
      <w:r w:rsidR="005C5AB7">
        <w:t xml:space="preserve">, 2006; </w:t>
      </w:r>
      <w:r>
        <w:rPr>
          <w:i/>
        </w:rPr>
        <w:t>Chapman et al.</w:t>
      </w:r>
      <w:r>
        <w:t xml:space="preserve">, 2012; </w:t>
      </w:r>
      <w:r>
        <w:rPr>
          <w:i/>
        </w:rPr>
        <w:t>Ducea et al.</w:t>
      </w:r>
      <w:r>
        <w:t xml:space="preserve">, 2009; </w:t>
      </w:r>
      <w:r>
        <w:rPr>
          <w:i/>
        </w:rPr>
        <w:t>Hall and Saleeby</w:t>
      </w:r>
      <w:r>
        <w:t>, 2013;]. In aggregate these crystalline nappes have been called “Salinia”, or the “Salinian terrane” [</w:t>
      </w:r>
      <w:r>
        <w:rPr>
          <w:i/>
        </w:rPr>
        <w:t>Page</w:t>
      </w:r>
      <w:r>
        <w:t>, 1981]. The Crystal Knob xenolith locality lies along the western margin of Salinia, adjacent to the Nacimiento fault [Figure </w:t>
      </w:r>
      <w:r w:rsidR="005C5AB7">
        <w:rPr>
          <w:b/>
        </w:rPr>
        <w:t>2</w:t>
      </w:r>
      <w:r>
        <w:t>], a polyphase structural zone</w:t>
      </w:r>
      <w:r w:rsidR="005C5AB7">
        <w:t>, which</w:t>
      </w:r>
      <w:r>
        <w:t xml:space="preserve"> in its original geomet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14:paraId="256E137F" w14:textId="77777777" w:rsidR="00555B45" w:rsidRDefault="00824ADA">
      <w:pPr>
        <w:pStyle w:val="Heading2"/>
      </w:pPr>
      <w:bookmarkStart w:id="1" w:name="regional-tectonic-setting-and-the-applic"/>
      <w:bookmarkEnd w:id="1"/>
      <w:r>
        <w:lastRenderedPageBreak/>
        <w:t>Regional tectonic setting and the application of mantle xenolith studies</w:t>
      </w:r>
    </w:p>
    <w:p w14:paraId="0AEEBF3D" w14:textId="12464E57" w:rsidR="00555B45" w:rsidRDefault="00824ADA">
      <w:pPr>
        <w:pStyle w:val="FirstParagraph"/>
      </w:pPr>
      <w:r>
        <w:t>The SW North American Cordillera is endowed with an abundance of xenolith localities wherein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r>
        <w:rPr>
          <w:i/>
        </w:rPr>
        <w:t>Alibert</w:t>
      </w:r>
      <w:r>
        <w:t xml:space="preserve">, 1994; </w:t>
      </w:r>
      <w:r>
        <w:rPr>
          <w:i/>
        </w:rPr>
        <w:t>Beard and Glazner</w:t>
      </w:r>
      <w:r>
        <w:t xml:space="preserve">, 1995; </w:t>
      </w:r>
      <w:r>
        <w:rPr>
          <w:i/>
        </w:rPr>
        <w:t>Ducea and Saleeby</w:t>
      </w:r>
      <w:r>
        <w:t xml:space="preserve">, 1996, </w:t>
      </w:r>
      <w:r>
        <w:rPr>
          <w:i/>
        </w:rPr>
        <w:t>Ducea and Saleeby</w:t>
      </w:r>
      <w:r w:rsidR="005C5AB7">
        <w:rPr>
          <w:i/>
        </w:rPr>
        <w:t>,</w:t>
      </w:r>
      <w:r>
        <w:t xml:space="preserve"> 1998a; </w:t>
      </w:r>
      <w:r>
        <w:rPr>
          <w:i/>
        </w:rPr>
        <w:t>Galer and O’Nions</w:t>
      </w:r>
      <w:r>
        <w:t xml:space="preserve">, 1989; </w:t>
      </w:r>
      <w:r>
        <w:rPr>
          <w:i/>
        </w:rPr>
        <w:t>Jové and Coleman</w:t>
      </w:r>
      <w:r>
        <w:t xml:space="preserve">, 1998; </w:t>
      </w:r>
      <w:r>
        <w:rPr>
          <w:i/>
        </w:rPr>
        <w:t>Lee et al.</w:t>
      </w:r>
      <w:r>
        <w:t xml:space="preserve">, 2006, 2001; </w:t>
      </w:r>
      <w:r>
        <w:rPr>
          <w:i/>
        </w:rPr>
        <w:t>Livaccari and Perry</w:t>
      </w:r>
      <w:r>
        <w:t xml:space="preserve">, 1993; </w:t>
      </w:r>
      <w:r>
        <w:rPr>
          <w:i/>
        </w:rPr>
        <w:t>Luffi et al.</w:t>
      </w:r>
      <w:r>
        <w:t xml:space="preserve">, 2009; </w:t>
      </w:r>
      <w:r>
        <w:rPr>
          <w:i/>
        </w:rPr>
        <w:t>Usui et al.</w:t>
      </w:r>
      <w:r>
        <w:t>, 2003].</w:t>
      </w:r>
    </w:p>
    <w:p w14:paraId="042B414F" w14:textId="77777777" w:rsidR="00555B45" w:rsidRDefault="00824ADA">
      <w:pPr>
        <w:pStyle w:val="BodyText"/>
      </w:pPr>
      <w:r>
        <w:t>In general, there is a geologically reasonable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t>
      </w:r>
    </w:p>
    <w:p w14:paraId="0A752561" w14:textId="3170D2A9" w:rsidR="00555B45" w:rsidRDefault="00824ADA">
      <w:pPr>
        <w:pStyle w:val="BodyText"/>
      </w:pPr>
      <w:r>
        <w:t>The tectonic setting of the sub-Crystal Knob mantle lithosphere is best posed by the restoration of its host crustal rocks to a pre-San Andreas transform offset position, outboard of the northern reaches of the southern California batholith (Figure </w:t>
      </w:r>
      <w:r w:rsidR="005C5AB7">
        <w:rPr>
          <w:b/>
        </w:rPr>
        <w:t>1</w:t>
      </w:r>
      <w:r>
        <w:t xml:space="preserve"> and Figure </w:t>
      </w:r>
      <w:r w:rsidR="00FD6099">
        <w:rPr>
          <w:b/>
        </w:rPr>
        <w:t>19</w:t>
      </w:r>
      <w:r>
        <w:t>, detailed below). The southern California batholith is the southern continuation of the Sierra Nevada batholith across the Garlock fault.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all share a common regional upper plate position above a polyphase low 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 as subduction channel schists in Figure </w:t>
      </w:r>
      <w:r w:rsidR="00FD6099">
        <w:rPr>
          <w:b/>
        </w:rPr>
        <w:t>2</w:t>
      </w:r>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 xml:space="preserve">Chapman </w:t>
      </w:r>
      <w:r>
        <w:rPr>
          <w:i/>
        </w:rPr>
        <w:lastRenderedPageBreak/>
        <w:t>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14:paraId="4B27BE1F" w14:textId="37CA838A" w:rsidR="00555B45" w:rsidRDefault="00824ADA">
      <w:pPr>
        <w:pStyle w:val="BodyText"/>
      </w:pPr>
      <w:r>
        <w:t>The relatively shallow level of the tectonic underplating of the schists directly beneath deep crustal large 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w:t>
      </w:r>
      <w:r w:rsidR="00FD6099">
        <w:rPr>
          <w:b/>
        </w:rPr>
        <w:t>. 2</w:t>
      </w:r>
      <w:r>
        <w:t>]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w:t>
      </w:r>
      <w:r w:rsidR="00FD6099">
        <w:rPr>
          <w:b/>
        </w:rPr>
        <w:t>. 2)</w:t>
      </w:r>
      <w:r>
        <w:t xml:space="preserve">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lithosphere [</w:t>
      </w:r>
      <w:r>
        <w:rPr>
          <w:i/>
        </w:rPr>
        <w:t>Luffi et al.</w:t>
      </w:r>
      <w:r>
        <w:t xml:space="preserve">, 2009; </w:t>
      </w:r>
      <w:r>
        <w:rPr>
          <w:i/>
        </w:rPr>
        <w:t>Shervais et al.</w:t>
      </w:r>
      <w:r>
        <w:t xml:space="preserve">, 1973; </w:t>
      </w:r>
      <w:r>
        <w:rPr>
          <w:i/>
        </w:rPr>
        <w:t>Shields and Chapman</w:t>
      </w:r>
      <w:r>
        <w:t>, 2016]. More specifically the Dish Hill suite [Fig</w:t>
      </w:r>
      <w:r w:rsidR="00FD6099">
        <w:rPr>
          <w:b/>
        </w:rPr>
        <w:t>. 2)</w:t>
      </w:r>
      <w:r>
        <w:t xml:space="preserve">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w:t>
      </w:r>
      <w:r w:rsidR="00FD6099" w:rsidRPr="00FD6099">
        <w:rPr>
          <w:b/>
        </w:rPr>
        <w:t>.</w:t>
      </w:r>
      <w:r w:rsidR="00FD6099">
        <w:t xml:space="preserve"> 2)</w:t>
      </w:r>
      <w:r>
        <w:t xml:space="preserve"> as well as the neck having penetrated the Franciscan accretionary complex, clearly poses the question of the Crystal Knob </w:t>
      </w:r>
      <w:r>
        <w:lastRenderedPageBreak/>
        <w:t>suite having sampled additional underplated Farallon mantle nappes, in structural sequence with the Dish Hill mantle duplex.</w:t>
      </w:r>
    </w:p>
    <w:p w14:paraId="4EB59AD4" w14:textId="7FA336CC" w:rsidR="00555B45" w:rsidRDefault="00824ADA">
      <w:pPr>
        <w:pStyle w:val="BodyText"/>
      </w:pPr>
      <w:r>
        <w:t>Mantle xenoliths of the eastern Sierra suite [Figure </w:t>
      </w:r>
      <w:r>
        <w:rPr>
          <w:b/>
        </w:rPr>
        <w:t>¿fig:context?</w:t>
      </w:r>
      <w:r>
        <w:t>],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&lt;10 Ma Owens Valley rift system [Figure </w:t>
      </w:r>
      <w:r>
        <w:rPr>
          <w:b/>
        </w:rPr>
        <w:t>¿fig:context?</w:t>
      </w:r>
      <w:r>
        <w:t>], which is presumably driven by upper mantle convection. Convective ascent of asthenosphere to relatively shallow levels and late Cenozoic regional volcanism of the central to southern California region are correlated to the opening of the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14:paraId="2801A29D" w14:textId="77777777" w:rsidR="00555B45" w:rsidRDefault="00824ADA">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14:paraId="61C83494" w14:textId="77777777" w:rsidR="00555B45" w:rsidRDefault="00824ADA">
      <w:pPr>
        <w:pStyle w:val="Heading1"/>
      </w:pPr>
      <w:bookmarkStart w:id="2" w:name="crystal-knob-xenolith-locality"/>
      <w:bookmarkEnd w:id="2"/>
      <w:r>
        <w:t>Crystal Knob xenolith locality</w:t>
      </w:r>
    </w:p>
    <w:p w14:paraId="5895FFE9" w14:textId="77777777" w:rsidR="00555B45" w:rsidRDefault="00824ADA">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¿fig:field_photo?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14:paraId="0D8767F0" w14:textId="77777777" w:rsidR="00555B45" w:rsidRDefault="00824ADA">
      <w:pPr>
        <w:pStyle w:val="BodyText"/>
      </w:pPr>
      <w:r>
        <w:t xml:space="preserve">Samples were collected from the Crystal Knob lava with an emphasis on volumetrically minor polyphase peridotite xenoliths. Xenolith samples are 5-10 cm diameter friable peridotites with medium (200 µm -- 1 mm) grains. Additionally, </w:t>
      </w:r>
      <w:r>
        <w:lastRenderedPageBreak/>
        <w:t>several samples of the host basalt and dunite cumulates were collected to establish context for the xenoliths.</w:t>
      </w:r>
    </w:p>
    <w:p w14:paraId="1EAB10F2" w14:textId="77777777" w:rsidR="00555B45" w:rsidRDefault="00824ADA">
      <w:pPr>
        <w:pStyle w:val="Heading2"/>
      </w:pPr>
      <w:bookmarkStart w:id="3" w:name="eruptive-age"/>
      <w:bookmarkEnd w:id="3"/>
      <w:r>
        <w:t>Eruptive age</w:t>
      </w:r>
    </w:p>
    <w:p w14:paraId="23B5D494" w14:textId="78EC624C" w:rsidR="00555B45" w:rsidRDefault="00824ADA">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[1998</w:t>
      </w:r>
      <w:r w:rsidR="000B5F23">
        <w:t>a</w:t>
      </w:r>
      <w:r>
        <w:t xml:space="preserve">]). The age of the Crystal Knob host lava was determined using the </w:t>
      </w:r>
      <w:r w:rsidR="00A31A21">
        <w:t>Ar/Ar</w:t>
      </w:r>
      <w:r>
        <w:t xml:space="preserve"> technique</w:t>
      </w:r>
      <w:r w:rsidR="004C7B8F">
        <w:t xml:space="preserve"> on phenocrystic plagioclase</w:t>
      </w:r>
      <w:r>
        <w:t xml:space="preserv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¿fig:step_heating?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t>
      </w:r>
      <w:r>
        <w:rPr>
          <w:i/>
        </w:rPr>
        <w:t>Cosca et al.</w:t>
      </w:r>
      <w:r>
        <w:t>, 2011].</w:t>
      </w:r>
    </w:p>
    <w:p w14:paraId="11A9023E" w14:textId="77777777" w:rsidR="00555B45" w:rsidRDefault="00824ADA">
      <w:pPr>
        <w:pStyle w:val="BodyText"/>
      </w:pPr>
      <w:r>
        <w:t>Data for stepwise heating are presented in Table </w:t>
      </w:r>
      <w:r>
        <w:rPr>
          <w:b/>
        </w:rPr>
        <w:t>¿tbl:step_heating_table?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14:paraId="1BC7BB26" w14:textId="77777777" w:rsidR="00555B45" w:rsidRDefault="00824ADA">
      <w:pPr>
        <w:pStyle w:val="Heading2"/>
      </w:pPr>
      <w:bookmarkStart w:id="4" w:name="sec:methods"/>
      <w:bookmarkEnd w:id="4"/>
      <w:r>
        <w:t>Petrographic and analytical methods</w:t>
      </w:r>
    </w:p>
    <w:p w14:paraId="5863643D" w14:textId="0FFBED23" w:rsidR="00555B45" w:rsidRDefault="00824ADA">
      <w:pPr>
        <w:pStyle w:val="FirstParagraph"/>
      </w:pPr>
      <w:r>
        <w:t xml:space="preserve">Polished thin sections of 250 µm thickness were prepared for six peridotite xenolith samples (CK-2 through CK-7) and the basalt host (CK-1). The xenolith samples were bound with epoxy prior to sectioning. Large-format rectangular thin sections were prepared for two </w:t>
      </w:r>
      <w:r w:rsidR="004C7B8F">
        <w:t>host basalt</w:t>
      </w:r>
      <w:r>
        <w:t xml:space="preserve"> samples dominated by dunite cumulate fragments (CK-D1 and CK-D2). The samples were evaluated under a petrographic microscope to determine their textural and mineralogic </w:t>
      </w:r>
      <w:r w:rsidR="004C7B8F">
        <w:t>features</w:t>
      </w:r>
      <w:r>
        <w:t>. Characteristic textures of the xenolith samples and basaltic host are shown in Figure </w:t>
      </w:r>
      <w:r>
        <w:rPr>
          <w:b/>
        </w:rPr>
        <w:t>¿fig:microscope-images?</w:t>
      </w:r>
      <w:r>
        <w:t>.</w:t>
      </w:r>
    </w:p>
    <w:p w14:paraId="78096447" w14:textId="77777777" w:rsidR="00555B45" w:rsidRDefault="00824ADA">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xml:space="preserve">, 1988] algorithm. 1714 measurements were performed across the six peridotite samples, concentrated in 3-4 locations of interest per sample. Areas with orthopyroxene and clinopyroxene in contact were emphasized to aid in </w:t>
      </w:r>
      <w:r>
        <w:lastRenderedPageBreak/>
        <w:t>thermometry. 403 measurements of basaltic host and entrained dunites were also taken.</w:t>
      </w:r>
    </w:p>
    <w:p w14:paraId="1B58FC1E" w14:textId="77777777" w:rsidR="00555B45" w:rsidRDefault="00824ADA">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14:paraId="3FCCDC59" w14:textId="4EC51322" w:rsidR="00555B45" w:rsidRDefault="00824ADA">
      <w:pPr>
        <w:pStyle w:val="BodyText"/>
      </w:pPr>
      <w:r>
        <w:t xml:space="preserve">Isotope and trace-element geochemical techniques </w:t>
      </w:r>
      <w:r w:rsidR="004C7B8F">
        <w:t>were applied</w:t>
      </w:r>
      <w:r>
        <w:t xml:space="preserve"> for the harzburgite and lherzolite samples in the dataset, and are discussed throughout Section 2.4.</w:t>
      </w:r>
    </w:p>
    <w:p w14:paraId="312E06D1" w14:textId="77777777" w:rsidR="00555B45" w:rsidRDefault="00824ADA">
      <w:pPr>
        <w:pStyle w:val="Heading2"/>
      </w:pPr>
      <w:bookmarkStart w:id="5" w:name="the-basaltic-host"/>
      <w:bookmarkEnd w:id="5"/>
      <w:r>
        <w:t>The basaltic host</w:t>
      </w:r>
    </w:p>
    <w:p w14:paraId="4DC85A83" w14:textId="797BDAC3" w:rsidR="00555B45" w:rsidRDefault="00824ADA">
      <w:pPr>
        <w:pStyle w:val="FirstParagraph"/>
      </w:pPr>
      <w:r>
        <w:t xml:space="preserve">The Crystal Knob </w:t>
      </w:r>
      <w:r w:rsidR="004C7B8F">
        <w:t>host rock</w:t>
      </w:r>
      <w:r>
        <w:t xml:space="preserve"> (sample CK-1) is an alkali basalt with sparse vesicles and abundant phenocrysts of feldspar, clinopyroxene, and olivine. The sample also contains dunite and multiphase peridotite fragments ranging from aggregates of a few grains to ~5 cm diameter.</w:t>
      </w:r>
    </w:p>
    <w:p w14:paraId="1A454496" w14:textId="77777777" w:rsidR="00555B45" w:rsidRDefault="00824ADA">
      <w:pPr>
        <w:pStyle w:val="BodyText"/>
      </w:pPr>
      <w:r>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14:paraId="6E64DEAB" w14:textId="77777777" w:rsidR="00555B45" w:rsidRDefault="00824ADA">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14:paraId="2EBF3E75" w14:textId="77777777" w:rsidR="00555B45" w:rsidRDefault="00824ADA">
      <w:pPr>
        <w:pStyle w:val="BodyText"/>
      </w:pPr>
      <w:r>
        <w:t xml:space="preserve">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w:t>
      </w:r>
      <w:r>
        <w:lastRenderedPageBreak/>
        <w:t>highlighted in [Figure </w:t>
      </w:r>
      <w:r>
        <w:rPr>
          <w:b/>
        </w:rPr>
        <w:t>¿fig:cpx_profile?</w:t>
      </w:r>
      <w:r>
        <w:t>] has a large core with Mg# ~90, but material with Mg# &lt; 75 occurs only in the outermost 30 µm of the grain. This suggests that the last phase of the magma's fractionation occurred relatively quickly, perhaps as the flow cooled.</w:t>
      </w:r>
    </w:p>
    <w:p w14:paraId="79CBDD8D" w14:textId="77777777" w:rsidR="00555B45" w:rsidRDefault="00824ADA">
      <w:pPr>
        <w:pStyle w:val="BodyText"/>
      </w:pPr>
      <w:r>
        <w:t xml:space="preserve">Major-element analysis of olivine "phenocrysts" in the host lava shows a well-sampled trendline from compositions comparable to fertile peridotite xenoliths (Mg# </w:t>
      </w:r>
      <m:oMath>
        <m:r>
          <w:rPr>
            <w:rFonts w:ascii="Cambria Math" w:hAnsi="Cambria Math"/>
          </w:rPr>
          <m:t>≈</m:t>
        </m:r>
      </m:oMath>
      <w:r>
        <w:t xml:space="preserve"> 89) through progressively lower Mg# cumulate grains, with cumulate aggregates clustered at Mg#=68 [Figure </w:t>
      </w:r>
      <w:r>
        <w:rPr>
          <w:b/>
        </w:rPr>
        <w:t>¿fig:major_elements?</w:t>
      </w:r>
      <w:r>
        <w:t>]. Thus, olivine grains in the host lava range from true phenocrysts, to cumulates from various intermediate stages of magma evolution and entrained xenocrysts corresponding to entrained peridotites.</w:t>
      </w:r>
    </w:p>
    <w:p w14:paraId="1CFF5C44" w14:textId="77777777" w:rsidR="00555B45" w:rsidRPr="000E3270" w:rsidRDefault="004C7B8F">
      <w:pPr>
        <w:pStyle w:val="BodyText"/>
        <w:rPr>
          <w:i/>
        </w:rPr>
      </w:pPr>
      <w:r>
        <w:t>((</w:t>
      </w:r>
      <w:r w:rsidR="00824ADA">
        <w:t>Petrographic features and the presence of phenocrysts recording multiple stages of magmatic enrichment suggest that the Crystal Knob material experienced a multiphase history of fractional crystallization. The Crystal Knob basalt contains fragments (both single-crystal and lithic aggregates) entrained from the lithospheric mantle and dunite cumulates. The phenocrysts record a compositional progression that indicates precipitation during multiple stages of fractionation.</w:t>
      </w:r>
      <w:r>
        <w:rPr>
          <w:i/>
        </w:rPr>
        <w:t>redundant, delete?))</w:t>
      </w:r>
    </w:p>
    <w:p w14:paraId="0B8361DE" w14:textId="77777777" w:rsidR="00555B45" w:rsidRDefault="00824ADA">
      <w:pPr>
        <w:pStyle w:val="Heading2"/>
      </w:pPr>
      <w:bookmarkStart w:id="6" w:name="sec:xenoliths"/>
      <w:bookmarkEnd w:id="6"/>
      <w:r>
        <w:t>Peridotite xenoliths</w:t>
      </w:r>
    </w:p>
    <w:p w14:paraId="4A4E27DD" w14:textId="77777777" w:rsidR="00555B45" w:rsidRPr="000E3270" w:rsidRDefault="00824ADA">
      <w:pPr>
        <w:pStyle w:val="FirstParagraph"/>
        <w:rPr>
          <w:i/>
        </w:rPr>
      </w:pPr>
      <w:r>
        <w:t xml:space="preserve">The peridotite samples (CK-2 through CK-7) are texturally classified using the scheme of </w:t>
      </w:r>
      <w:r>
        <w:rPr>
          <w:i/>
        </w:rPr>
        <w:t>Pike and Schwarzman</w:t>
      </w:r>
      <w:r>
        <w:t xml:space="preserve"> [1977]. All samples display an allotriomorphic granular texture with anisotropy largely absent. There are no significant petrographically observed plastic deformation features (e.g. kink domains in olivine grains) in any of the samples. However, samples CK-2 and CK-5 exhibit a weak shape-preferred alignment in elongate spinels.</w:t>
      </w:r>
      <w:r w:rsidR="007908AE">
        <w:t xml:space="preserve"> </w:t>
      </w:r>
      <w:r w:rsidR="007908AE">
        <w:rPr>
          <w:i/>
        </w:rPr>
        <w:t>(pertinent photomicrographs?)</w:t>
      </w:r>
    </w:p>
    <w:p w14:paraId="335C1530" w14:textId="77777777" w:rsidR="00555B45" w:rsidRPr="000E3270" w:rsidRDefault="00824ADA">
      <w:pPr>
        <w:pStyle w:val="BodyText"/>
        <w:rPr>
          <w:i/>
        </w:rPr>
      </w:pPr>
      <w:r>
        <w: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abundant exsolution lamellae and graphic recrystallization of orthopyroxene and clinopyroxene.</w:t>
      </w:r>
      <w:r w:rsidR="007908AE">
        <w:t xml:space="preserve"> </w:t>
      </w:r>
      <w:r w:rsidR="007908AE">
        <w:rPr>
          <w:i/>
        </w:rPr>
        <w:t>(ditto as above?)</w:t>
      </w:r>
    </w:p>
    <w:p w14:paraId="6EA5AC59" w14:textId="77777777" w:rsidR="00555B45" w:rsidRDefault="00824ADA">
      <w:pPr>
        <w:pStyle w:val="Heading3"/>
      </w:pPr>
      <w:bookmarkStart w:id="7" w:name="compositions-of-dominant-phases"/>
      <w:bookmarkEnd w:id="7"/>
      <w:r>
        <w:lastRenderedPageBreak/>
        <w:t>Compositions of dominant phases</w:t>
      </w:r>
    </w:p>
    <w:p w14:paraId="64D1D155" w14:textId="77777777" w:rsidR="00555B45" w:rsidRDefault="00824ADA">
      <w:pPr>
        <w:pStyle w:val="FirstParagraph"/>
      </w:pPr>
      <w:r>
        <w:t>Major-element abundances for the peridotite xenoliths were measured by electron microprobe using methods discussed in Section 2.2. Results are summarized in Table </w:t>
      </w:r>
      <w:r>
        <w:rPr>
          <w:b/>
        </w:rPr>
        <w:t>¿tbl:minerals?</w:t>
      </w:r>
      <w:r>
        <w:t xml:space="preserve"> and Figure </w:t>
      </w:r>
      <w:r>
        <w:rPr>
          <w:b/>
        </w:rPr>
        <w:t>¿fig:major_elements?</w:t>
      </w:r>
      <w:r>
        <w:t>. Generally, phase compositions show tight per-sample groupings, which suggest equilibrium within samples. The major silicate phases show Mg# &gt; 87, consistent with fertile or residual mantle compositions. Variation in Mg# between samples indicates differences in melt-extraction history between the samples.</w:t>
      </w:r>
    </w:p>
    <w:p w14:paraId="6058A595" w14:textId="77777777" w:rsidR="00555B45" w:rsidRDefault="00824ADA">
      <w:pPr>
        <w:pStyle w:val="BodyText"/>
      </w:pPr>
      <w:r>
        <w: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t>
      </w:r>
    </w:p>
    <w:p w14:paraId="43D5410F" w14:textId="77777777" w:rsidR="00555B45" w:rsidRDefault="00824ADA">
      <w:pPr>
        <w:pStyle w:val="BodyText"/>
      </w:pPr>
      <w:r>
        <w: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t>
      </w:r>
      <m:oMath>
        <m:r>
          <w:rPr>
            <w:rFonts w:ascii="STIXGeneral-Regular" w:hAnsi="STIXGeneral-Regular" w:cs="STIXGeneral-Regular"/>
          </w:rPr>
          <m:t>Σ</m:t>
        </m:r>
        <m:r>
          <m:rPr>
            <m:sty m:val="p"/>
          </m:rPr>
          <w:rPr>
            <w:rFonts w:ascii="Cambria Math" w:hAnsi="Cambria Math"/>
          </w:rPr>
          <m:t>cations</m:t>
        </m:r>
        <m:r>
          <w:rPr>
            <w:rFonts w:ascii="Cambria Math" w:hAnsi="Cambria Math"/>
          </w:rPr>
          <m:t>=3</m:t>
        </m:r>
      </m:oMath>
      <w:r>
        <w:t xml:space="preserve"> with a 4-oxygen basis. This correction results in spinel Mg# between 75 and 81, slightly higher than the uncorrected value. Results are shown in Table </w:t>
      </w:r>
      <w:r>
        <w:rPr>
          <w:b/>
        </w:rPr>
        <w:t>¿tbl:spinel_correction?</w:t>
      </w:r>
      <w:r>
        <w:t xml:space="preserve"> and Figure </w:t>
      </w:r>
      <w:r>
        <w:rPr>
          <w:b/>
        </w:rPr>
        <w:t>¿fig:spinel_cr?</w:t>
      </w:r>
      <w:r>
        <w: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a].</w:t>
      </w:r>
    </w:p>
    <w:p w14:paraId="672DC6EC" w14:textId="77777777" w:rsidR="00555B45" w:rsidRDefault="00824ADA">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14:paraId="623529D8" w14:textId="77777777" w:rsidR="00555B45" w:rsidRDefault="00824ADA">
      <w:pPr>
        <w:pStyle w:val="Heading3"/>
      </w:pPr>
      <w:bookmarkStart w:id="8" w:name="modal-mineralogy"/>
      <w:bookmarkEnd w:id="8"/>
      <w:r>
        <w:t>Modal mineralogy</w:t>
      </w:r>
    </w:p>
    <w:p w14:paraId="2C9322B4" w14:textId="77777777" w:rsidR="00555B45" w:rsidRDefault="00824ADA">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¿fig:textures?</w:t>
      </w:r>
      <w:r>
        <w:t>]. Volumetric modes were converted to %wt using representative densities for spinel-facies peridotite phases [</w:t>
      </w:r>
      <w:r>
        <w:rPr>
          <w:i/>
        </w:rPr>
        <w:t>Nesse</w:t>
      </w:r>
      <w:r>
        <w:t>, 2000]. Results are shown in Table </w:t>
      </w:r>
      <w:r>
        <w:rPr>
          <w:b/>
        </w:rPr>
        <w:t>¿tbl:modal_mineralogy?</w:t>
      </w:r>
      <w:r>
        <w:t xml:space="preserve"> and Figure </w:t>
      </w:r>
      <w:r>
        <w:rPr>
          <w:b/>
        </w:rPr>
        <w:t>¿fig:modes?</w:t>
      </w:r>
      <w:r>
        <w:t>.</w:t>
      </w:r>
    </w:p>
    <w:p w14:paraId="23A72810" w14:textId="77777777" w:rsidR="00555B45" w:rsidRDefault="00824ADA">
      <w:pPr>
        <w:pStyle w:val="BodyText"/>
      </w:pPr>
      <w:r>
        <w:t xml:space="preserve">The samples range from lherzolites to clinopyroxene harzburgites and are dominated by olivine and orthopyroxene. All samples contain minor (&lt;1%wt) spinel. CK-2 has the most fertile composition, with 12.2%wt clinopyroxene. CK-3 is </w:t>
      </w:r>
      <w:r>
        <w:lastRenderedPageBreak/>
        <w:t xml:space="preserve">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14:paraId="5EB8AB07" w14:textId="77777777" w:rsidR="00555B45" w:rsidRDefault="00824ADA">
      <w:pPr>
        <w:pStyle w:val="Heading3"/>
      </w:pPr>
      <w:bookmarkStart w:id="9" w:name="whole-rock-composition"/>
      <w:bookmarkEnd w:id="9"/>
      <w:r>
        <w:t>Whole-rock composition</w:t>
      </w:r>
    </w:p>
    <w:p w14:paraId="6D8614BD" w14:textId="77777777" w:rsidR="00555B45" w:rsidRDefault="00824ADA">
      <w:pPr>
        <w:pStyle w:val="FirstParagraph"/>
      </w:pPr>
      <w:r>
        <w:t>Whole-rock major-element abundances are reconstructed from averaged mineral composition and estimated modes. Representative mineral and recalculated whole-rock compositions are tabulated in Table </w:t>
      </w:r>
      <w:r>
        <w:rPr>
          <w:b/>
        </w:rPr>
        <w:t>¿tbl:minerals?</w:t>
      </w:r>
      <w:r>
        <w:t>.</w:t>
      </w:r>
    </w:p>
    <w:p w14:paraId="4BD697C3" w14:textId="77777777" w:rsidR="00555B45" w:rsidRDefault="00824ADA">
      <w:pPr>
        <w:pStyle w:val="BodyText"/>
      </w:pPr>
      <w:r>
        <w:t xml:space="preserve">Whole-rock Mg# (molar Mg/(Mg+Fe) </w:t>
      </w:r>
      <m:oMath>
        <m:r>
          <w:rPr>
            <w:rFonts w:ascii="Prestige Elite Std Bold" w:hAnsi="Prestige Elite Std Bold" w:cs="Prestige Elite Std Bold"/>
          </w:rPr>
          <m:t>⋅</m:t>
        </m:r>
      </m:oMath>
      <w:r>
        <w:t xml:space="preserve"> 100) ranges from 87 to 91. Within each sample, a consistent Mg# for all silicate phases [Figure </w:t>
      </w:r>
      <w:r>
        <w:rPr>
          <w:b/>
        </w:rPr>
        <w:t>¿fig:major_elements?</w:t>
      </w:r>
      <w:r>
        <w:t xml:space="preserve">] is indicative of Fe-Mg equilibrium. All samples contain &lt;1%wt spinel, which show variation that mirrors that of the silicate phases. A range of spinel Cr# (molar Cr/(Cr+Al) </w:t>
      </w:r>
      <m:oMath>
        <m:r>
          <w:rPr>
            <w:rFonts w:ascii="Prestige Elite Std Bold" w:hAnsi="Prestige Elite Std Bold" w:cs="Prestige Elite Std Bold"/>
          </w:rPr>
          <m:t>⋅</m:t>
        </m:r>
      </m:oMath>
      <w:r>
        <w:t xml:space="preserve"> 100) from 10 to 27 implies variation in degree of partial melting between samples [</w:t>
      </w:r>
      <w:r>
        <w:rPr>
          <w:i/>
        </w:rPr>
        <w:t>Dick and Bullen</w:t>
      </w:r>
      <w:r>
        <w:t>, 1984].</w:t>
      </w:r>
    </w:p>
    <w:p w14:paraId="0288EC7C" w14:textId="77777777" w:rsidR="00555B45" w:rsidRDefault="00824ADA">
      <w:pPr>
        <w:pStyle w:val="BodyText"/>
      </w:pPr>
      <w:r>
        <w: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t>
      </w:r>
    </w:p>
    <w:p w14:paraId="59E4FFF3" w14:textId="77777777" w:rsidR="00555B45" w:rsidRDefault="00824ADA">
      <w:pPr>
        <w:pStyle w:val="BodyText"/>
      </w:pPr>
      <w:r>
        <w: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t>
      </w:r>
    </w:p>
    <w:p w14:paraId="413C023E" w14:textId="77777777" w:rsidR="00555B45" w:rsidRDefault="00824ADA">
      <w:pPr>
        <w:pStyle w:val="Heading2"/>
      </w:pPr>
      <w:bookmarkStart w:id="10" w:name="rb-sr-and-sm-nd-isotopes"/>
      <w:bookmarkEnd w:id="10"/>
      <w:r>
        <w:t>Rb-Sr and Sm-Nd isotopes</w:t>
      </w:r>
    </w:p>
    <w:p w14:paraId="362EE3C2" w14:textId="1F845BC2" w:rsidR="00555B45" w:rsidRDefault="00824ADA">
      <w:pPr>
        <w:pStyle w:val="FirstParagraph"/>
      </w:pPr>
      <w:r>
        <w:t xml:space="preserve">Portions of each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t>
      </w:r>
      <w:r>
        <w:lastRenderedPageBreak/>
        <w:t xml:space="preserve">with mixed </w:t>
      </w:r>
      <m:oMath>
        <m:sSup>
          <m:sSupPr>
            <m:ctrlPr>
              <w:rPr>
                <w:rFonts w:ascii="Lucida Grande" w:hAnsi="Lucida Grande"/>
              </w:rPr>
            </m:ctrlPr>
          </m:sSupPr>
          <m:e/>
          <m:sup>
            <m:r>
              <w:rPr>
                <w:rFonts w:ascii="Cambria Math" w:hAnsi="Cambria Math"/>
              </w:rPr>
              <m:t>147</m:t>
            </m:r>
          </m:sup>
        </m:sSup>
      </m:oMath>
      <w:r>
        <w:t>Sm-</w:t>
      </w:r>
      <m:oMath>
        <m:sSup>
          <m:sSupPr>
            <m:ctrlPr>
              <w:rPr>
                <w:rFonts w:ascii="Lucida Grande" w:hAnsi="Lucida Grande"/>
              </w:rPr>
            </m:ctrlPr>
          </m:sSupPr>
          <m:e/>
          <m:sup>
            <m:r>
              <w:rPr>
                <w:rFonts w:ascii="Cambria Math" w:hAnsi="Cambria Math"/>
              </w:rPr>
              <m:t>150</m:t>
            </m:r>
          </m:sup>
        </m:sSup>
      </m:oMath>
      <w:r>
        <w:t>Nd tracers [</w:t>
      </w:r>
      <w:r>
        <w:rPr>
          <w:i/>
        </w:rPr>
        <w:t>Wasserburg et al.</w:t>
      </w:r>
      <w:r>
        <w:t>, 1981]. Samarium was analyzed using a static routine on a 54 VG Sector multicollector thermal ionization mass spectrometer (TIMS), and neodymium was measured as an oxide on a 354 VG Sector instrument. Results are presented in Table </w:t>
      </w:r>
      <w:r>
        <w:rPr>
          <w:b/>
        </w:rPr>
        <w:t>¿tbl:isotopes_table?</w:t>
      </w:r>
      <w:r>
        <w:t>.</w:t>
      </w:r>
    </w:p>
    <w:p w14:paraId="3FE45E25" w14:textId="72EB6B57" w:rsidR="00555B45" w:rsidRDefault="00824ADA">
      <w:pPr>
        <w:pStyle w:val="BodyText"/>
      </w:pPr>
      <w:r>
        <w:t>Rb-Sr and Sm-Nd radiogenic isotope data for clinopyroxene separates show these samples to be derived from the depleted convecting mantle. All xenolith samples are enriched in radiogenic  (</w:t>
      </w:r>
      <m:oMath>
        <m:sSub>
          <m:sSubPr>
            <m:ctrlPr>
              <w:rPr>
                <w:rFonts w:ascii="Lucida Grande" w:hAnsi="Lucida Grande"/>
              </w:rPr>
            </m:ctrlPr>
          </m:sSubPr>
          <m:e>
            <m:r>
              <w:rPr>
                <w:rFonts w:ascii="STIXGeneral-Regular" w:hAnsi="STIXGeneral-Regular" w:cs="STIXGeneral-Regular"/>
              </w:rPr>
              <m:t>ϵ</m:t>
            </m:r>
          </m:e>
          <m:sub>
            <m:r>
              <m:rPr>
                <m:sty m:val="p"/>
              </m:rPr>
              <w:rPr>
                <w:rFonts w:ascii="Cambria Math" w:hAnsi="Cambria Math"/>
              </w:rPr>
              <m:t>Nd</m:t>
            </m:r>
          </m:sub>
        </m:sSub>
      </m:oMath>
      <w:r>
        <w:t xml:space="preserve"> from 10.3 to 11.0) and depleted in  (/ of .702). With respect to the central California coast, values here are well below those of 0.708 recorded by Salinian granites [e.g.</w:t>
      </w:r>
      <w:r w:rsidR="007909FF">
        <w:t xml:space="preserve"> Kistler and Champion, 2001</w:t>
      </w:r>
      <w:r>
        <w:t>],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r w:rsidR="007909FF">
        <w:t xml:space="preserve">Ducea and Saleeby, 1998b;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14:paraId="36FC9506" w14:textId="77777777" w:rsidR="00555B45" w:rsidRDefault="00824ADA">
      <w:pPr>
        <w:pStyle w:val="Heading2"/>
      </w:pPr>
      <w:bookmarkStart w:id="11" w:name="trace-elements"/>
      <w:bookmarkEnd w:id="11"/>
      <w:r>
        <w:t>Trace Elements</w:t>
      </w:r>
    </w:p>
    <w:p w14:paraId="12EDCA05" w14:textId="77777777" w:rsidR="00555B45" w:rsidRDefault="00824ADA">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¿tbl:trace_elements?</w:t>
      </w:r>
      <w:r>
        <w:t>. Graphical results for pyroxene REEs are shown in Figure </w:t>
      </w:r>
      <w:r>
        <w:rPr>
          <w:b/>
        </w:rPr>
        <w:t>¿fig:spider?</w:t>
      </w:r>
      <w:r>
        <w:t>, and estimated whole-rock modes are shown in Figure </w:t>
      </w:r>
      <w:r>
        <w:rPr>
          <w:b/>
        </w:rPr>
        <w:t>¿fig:ree_model?</w:t>
      </w:r>
      <w:r>
        <w:t>.</w:t>
      </w:r>
    </w:p>
    <w:p w14:paraId="476BD631" w14:textId="77777777" w:rsidR="00555B45" w:rsidRDefault="00824ADA">
      <w:pPr>
        <w:pStyle w:val="BodyText"/>
      </w:pPr>
      <w:r>
        <w: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t>
      </w:r>
      <w:r>
        <w:rPr>
          <w:b/>
        </w:rPr>
        <w:t>¿fig:cpx_literature_comparison?</w:t>
      </w:r>
      <w:r>
        <w:t>].</w:t>
      </w:r>
    </w:p>
    <w:p w14:paraId="0F04EE5F" w14:textId="77777777" w:rsidR="00555B45" w:rsidRDefault="00824ADA">
      <w:pPr>
        <w:pStyle w:val="Heading3"/>
      </w:pPr>
      <w:bookmarkStart w:id="12" w:name="modeling-depletion-and-re-enrichment"/>
      <w:bookmarkEnd w:id="12"/>
      <w:r>
        <w:lastRenderedPageBreak/>
        <w:t>Modeling depletion and re-enrichment</w:t>
      </w:r>
    </w:p>
    <w:p w14:paraId="4B395A73" w14:textId="77777777" w:rsidR="00555B45" w:rsidRDefault="00824ADA">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14:paraId="724FC07F" w14:textId="77777777" w:rsidR="00555B45" w:rsidRDefault="00824ADA">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14:paraId="7898B65A" w14:textId="77777777" w:rsidR="00555B45" w:rsidRDefault="00824ADA">
      <w:pPr>
        <w:pStyle w:val="BodyText"/>
      </w:pPr>
      <w:r>
        <w: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t>
      </w:r>
    </w:p>
    <w:p w14:paraId="1598A265" w14:textId="77777777" w:rsidR="00555B45" w:rsidRDefault="00824ADA">
      <w:pPr>
        <w:pStyle w:val="BodyText"/>
      </w:pPr>
      <w:r>
        <w:t>The difference between the sample composition and this fitted depleted profile is taken as the contribution from batch addition of an enriching fluid. The net amounts of REE added during re-enrichment are then normalized to an average of 12</w:t>
      </w:r>
      <m:oMath>
        <m:r>
          <w:rPr>
            <w:rFonts w:ascii="Cambria Math" w:hAnsi="Cambria Math"/>
          </w:rPr>
          <m:t>×</m:t>
        </m:r>
      </m:oMath>
      <w:r>
        <w:t>primitive mantle for HREE, reflecting the average HREE concentrations in likely enriching fluids including normal MORB [</w:t>
      </w:r>
      <w:r>
        <w:rPr>
          <w:i/>
        </w:rPr>
        <w:t>Sun and McDonough</w:t>
      </w:r>
      <w:r>
        <w:t>, 1989] and alkali 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t>
      </w:r>
    </w:p>
    <w:p w14:paraId="1B9AAE5F" w14:textId="77777777" w:rsidR="00555B45" w:rsidRDefault="00824ADA">
      <w:pPr>
        <w:pStyle w:val="BodyText"/>
      </w:pPr>
      <w:r>
        <w:t>The results of this model show that the samples are variably depleted and all except CK-2 are re-enriched to some extent [Figure </w:t>
      </w:r>
      <w:r>
        <w:rPr>
          <w:b/>
        </w:rPr>
        <w:t>¿fig:ree_model?</w:t>
      </w:r>
      <w:r>
        <w: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b].</w:t>
      </w:r>
    </w:p>
    <w:p w14:paraId="18203666" w14:textId="77777777" w:rsidR="00555B45" w:rsidRDefault="00824ADA">
      <w:pPr>
        <w:pStyle w:val="BodyText"/>
      </w:pPr>
      <w:r>
        <w:t xml:space="preserve">Primary depletion degrees of the xenolith samples are estimated by finding the model compositions that best fit the whole-rock HREE, MgO, and  composition of </w:t>
      </w:r>
      <w:r>
        <w:lastRenderedPageBreak/>
        <w:t>each sample. Results are summarized in Table </w:t>
      </w:r>
      <w:r>
        <w:rPr>
          <w:b/>
        </w:rPr>
        <w:t>¿tbl:depletion_degrees?</w:t>
      </w:r>
      <w:r>
        <w:t xml:space="preserve"> and show trends superficially similar to those visible in modal abundance [Figure </w:t>
      </w:r>
      <w:r>
        <w:rPr>
          <w:b/>
        </w:rPr>
        <w:t>¿fig:modes?</w:t>
      </w:r>
      <w:r>
        <w:t>] and trace element [Figure </w:t>
      </w:r>
      <w:r>
        <w:rPr>
          <w:b/>
        </w:rPr>
        <w:t>¿fig:spider?</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14:paraId="26D3B043" w14:textId="77777777" w:rsidR="00555B45" w:rsidRDefault="00824ADA">
      <w:pPr>
        <w:pStyle w:val="Heading3"/>
      </w:pPr>
      <w:bookmarkStart w:id="13" w:name="discussion-of-trace-elements"/>
      <w:bookmarkEnd w:id="13"/>
      <w:r>
        <w:t>Discussion of trace elements</w:t>
      </w:r>
    </w:p>
    <w:p w14:paraId="221DBF93" w14:textId="77777777" w:rsidR="00555B45" w:rsidRDefault="00824ADA">
      <w:pPr>
        <w:pStyle w:val="FirstParagraph"/>
      </w:pPr>
      <w:r>
        <w:t>The trace element dataset developed here suggests that the samples were variably depleted of REEs following progressive fractional melting [</w:t>
      </w:r>
      <w:r>
        <w:rPr>
          <w:i/>
        </w:rPr>
        <w:t>Johnson et al.</w:t>
      </w:r>
      <w:r>
        <w: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14:paraId="6A4B3DF2" w14:textId="77777777" w:rsidR="00555B45" w:rsidRDefault="00824ADA">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t>
      </w:r>
      <w:r>
        <w:rPr>
          <w:i/>
        </w:rPr>
        <w:t>Luffi et al.</w:t>
      </w:r>
      <w:r>
        <w:t>, 2009]. However, it may also have arisen during melt extraction and entrainment prior to eruption. The latter seems to demand a significant residence time of the hotter xenoliths in a magma chamber at depth to allow LREE refertilization.</w:t>
      </w:r>
    </w:p>
    <w:p w14:paraId="63945B0F" w14:textId="77777777" w:rsidR="00555B45" w:rsidRDefault="00824ADA">
      <w:pPr>
        <w:pStyle w:val="Heading2"/>
      </w:pPr>
      <w:bookmarkStart w:id="14" w:name="major-element-thermometry"/>
      <w:bookmarkEnd w:id="14"/>
      <w:r>
        <w:t>Major-element thermometry</w:t>
      </w:r>
    </w:p>
    <w:p w14:paraId="4D7628BD" w14:textId="77777777" w:rsidR="00555B45" w:rsidRDefault="00824ADA">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Al 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¿tbl:thermometry?</w:t>
      </w:r>
      <w:r>
        <w:t xml:space="preserve"> and Figure </w:t>
      </w:r>
      <w:r>
        <w:rPr>
          <w:b/>
        </w:rPr>
        <w:t>¿fig:temp_comparisons?</w:t>
      </w:r>
      <w:r>
        <w:t>.</w:t>
      </w:r>
    </w:p>
    <w:p w14:paraId="4905AFC7" w14:textId="77777777" w:rsidR="00555B45" w:rsidRDefault="00824ADA">
      <w:pPr>
        <w:pStyle w:val="Heading4"/>
      </w:pPr>
      <w:bookmarkStart w:id="15" w:name="error-in-thermometer-calibrations"/>
      <w:bookmarkEnd w:id="15"/>
      <w:r>
        <w:lastRenderedPageBreak/>
        <w:t>Error in thermometer calibrations</w:t>
      </w:r>
    </w:p>
    <w:p w14:paraId="7A354C51" w14:textId="77777777" w:rsidR="00555B45" w:rsidRDefault="00824ADA">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m:oMath>
        <m:r>
          <w:rPr>
            <w:rFonts w:ascii="STIXGeneral-Regular" w:hAnsi="STIXGeneral-Regular" w:cs="STIXGeneral-Regular"/>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m:oMath>
        <m:r>
          <w:rPr>
            <w:rFonts w:ascii="STIXGeneral-Regular" w:hAnsi="STIXGeneral-Regular" w:cs="STIXGeneral-Regular"/>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14:paraId="69BDB643" w14:textId="77777777" w:rsidR="00555B45" w:rsidRDefault="00824ADA">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14:paraId="2E06057A" w14:textId="77777777" w:rsidR="00555B45" w:rsidRDefault="00824ADA">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m:oMath>
        <m:sSub>
          <m:sSubPr>
            <m:ctrlPr>
              <w:rPr>
                <w:rFonts w:ascii="Lucida Grande" w:hAnsi="Lucida Grande"/>
              </w:rPr>
            </m:ctrlPr>
          </m:sSubPr>
          <m:e>
            <m:r>
              <w:rPr>
                <w:rFonts w:ascii="STIXGeneral-Regular" w:hAnsi="STIXGeneral-Regular" w:cs="STIXGeneral-Regular"/>
              </w:rPr>
              <m:t>T</m:t>
            </m:r>
          </m:e>
          <m:sub>
            <m:r>
              <m:rPr>
                <m:sty m:val="p"/>
              </m:rPr>
              <w:rPr>
                <w:rFonts w:ascii="Cambria Math" w:hAnsi="Cambria Math"/>
              </w:rPr>
              <m:t>BKN</m:t>
            </m:r>
          </m:sub>
        </m:sSub>
        <m:r>
          <w:rPr>
            <w:rFonts w:ascii="Cambria Math" w:hAnsi="Cambria Math"/>
          </w:rPr>
          <m:t>=0.9</m:t>
        </m:r>
        <m:r>
          <w:rPr>
            <w:rFonts w:ascii="Times New Roman" w:hAnsi="Times New Roman" w:cs="Times New Roman"/>
          </w:rPr>
          <m:t> </m:t>
        </m:r>
        <m:sSub>
          <m:sSubPr>
            <m:ctrlPr>
              <w:rPr>
                <w:rFonts w:ascii="Lucida Grande" w:hAnsi="Lucida Grande"/>
              </w:rPr>
            </m:ctrlPr>
          </m:sSubPr>
          <m:e>
            <m:r>
              <w:rPr>
                <w:rFonts w:ascii="STIXGeneral-Regular" w:hAnsi="STIXGeneral-Regular" w:cs="STIXGeneral-Regular"/>
              </w:rPr>
              <m:t>T</m:t>
            </m:r>
          </m:e>
          <m:sub>
            <m:r>
              <m:rPr>
                <m:sty m:val="p"/>
              </m:rPr>
              <w:rPr>
                <w:rFonts w:ascii="Cambria Math" w:hAnsi="Cambria Math"/>
              </w:rPr>
              <m:t>TA98</m:t>
            </m:r>
          </m:sub>
        </m:sSub>
        <m:r>
          <w:rPr>
            <w:rFonts w:ascii="Cambria Math" w:hAnsi="Cambria Math"/>
          </w:rPr>
          <m:t>+145</m:t>
        </m:r>
      </m:oMath>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Ca-in-OPX thermometer yields remarkably little within-sample scatter, possibly the result of fast diffusion and complete re-equilibration of small amounts of Ca in orthopyroxene, or of generally higher stability of this more refractory phase against late magmatic modification. </w:t>
      </w:r>
    </w:p>
    <w:p w14:paraId="380CEAB1" w14:textId="77777777" w:rsidR="00555B45" w:rsidRDefault="00824ADA">
      <w:pPr>
        <w:pStyle w:val="Heading3"/>
      </w:pPr>
      <w:bookmarkStart w:id="16" w:name="core-temperatures"/>
      <w:bookmarkEnd w:id="16"/>
      <w:r>
        <w:t>Core temperatures</w:t>
      </w:r>
    </w:p>
    <w:p w14:paraId="62946C2E" w14:textId="77777777" w:rsidR="00555B45" w:rsidRDefault="00824ADA">
      <w:pPr>
        <w:pStyle w:val="FirstParagraph"/>
      </w:pPr>
      <w:r>
        <w:t>Average TA98 temperatures range from 957 to 1063ºC for cores and 955 to 1054ºC for rims Table </w:t>
      </w:r>
      <w:r>
        <w:rPr>
          <w:b/>
        </w:rPr>
        <w:t>¿tbl:thermometry?</w:t>
      </w:r>
      <w:r>
        <w:t xml:space="preserve">.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w:t>
      </w:r>
      <w:r>
        <w:lastRenderedPageBreak/>
        <w:t>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14:paraId="7306FF6B" w14:textId="77777777" w:rsidR="00555B45" w:rsidRDefault="00824ADA">
      <w:pPr>
        <w:pStyle w:val="Heading3"/>
      </w:pPr>
      <w:bookmarkStart w:id="17" w:name="rim-temperatures"/>
      <w:bookmarkEnd w:id="17"/>
      <w:r>
        <w:t>Rim temperatures</w:t>
      </w:r>
    </w:p>
    <w:p w14:paraId="6E819C7C" w14:textId="77777777" w:rsidR="00555B45" w:rsidRDefault="00824ADA">
      <w:pPr>
        <w:pStyle w:val="FirstParagraph"/>
      </w:pPr>
      <w:r>
        <w: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14:paraId="7D5D418C" w14:textId="77777777" w:rsidR="00555B45" w:rsidRDefault="00824ADA">
      <w:pPr>
        <w:pStyle w:val="Heading3"/>
      </w:pPr>
      <w:bookmarkStart w:id="18" w:name="two-temperature-cohorts"/>
      <w:bookmarkEnd w:id="18"/>
      <w:r>
        <w:t>Two temperature cohorts</w:t>
      </w:r>
    </w:p>
    <w:p w14:paraId="7DA8857A" w14:textId="77777777" w:rsidR="00555B45" w:rsidRDefault="00824ADA">
      <w:pPr>
        <w:pStyle w:val="FirstParagraph"/>
      </w:pPr>
      <w:r>
        <w: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t>
      </w:r>
    </w:p>
    <w:p w14:paraId="45158FA2" w14:textId="77777777" w:rsidR="00555B45" w:rsidRPr="000E3270" w:rsidRDefault="00824ADA">
      <w:pPr>
        <w:pStyle w:val="BodyText"/>
        <w:rPr>
          <w:i/>
        </w:rPr>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w:t>
      </w:r>
      <w:r w:rsidR="003F4A1B">
        <w:t xml:space="preserve"> </w:t>
      </w:r>
      <w:r w:rsidR="003F4A1B">
        <w:rPr>
          <w:b/>
          <w:i/>
        </w:rPr>
        <w:t>(call out figs 9-18??)</w:t>
      </w:r>
      <w:r>
        <w:t>.</w:t>
      </w:r>
      <w:r w:rsidR="003F4A1B">
        <w:t xml:space="preserve"> </w:t>
      </w:r>
    </w:p>
    <w:p w14:paraId="67340C7F" w14:textId="77777777" w:rsidR="00555B45" w:rsidRDefault="00824ADA">
      <w:pPr>
        <w:pStyle w:val="Heading2"/>
      </w:pPr>
      <w:bookmarkStart w:id="19" w:name="ree-in-pyroxene-thermometry"/>
      <w:bookmarkEnd w:id="19"/>
      <w:r>
        <w:t>REE-in-pyroxene thermometry</w:t>
      </w:r>
    </w:p>
    <w:p w14:paraId="52D04B63" w14:textId="77777777" w:rsidR="00555B45" w:rsidRDefault="00824ADA">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14:paraId="1BE8FA58" w14:textId="77777777" w:rsidR="00555B45" w:rsidRDefault="00824ADA">
      <w:pPr>
        <w:pStyle w:val="BodyText"/>
      </w:pPr>
      <w:r>
        <w:t xml:space="preserve">Rare-earth abundances are compiled for SIMS measurements of pyroxene phases in contact (2--3 pairs) for each xenolith sample. A two-pyroxene equilibrium is calculated for each REE element and Y, equivalent to </w:t>
      </w:r>
      <m:oMath>
        <m:sSub>
          <m:sSubPr>
            <m:ctrlPr>
              <w:rPr>
                <w:rFonts w:ascii="Lucida Grande" w:hAnsi="Lucida Grande"/>
              </w:rPr>
            </m:ctrlPr>
          </m:sSubPr>
          <m:e>
            <m:r>
              <w:rPr>
                <w:rFonts w:ascii="STIXGeneral-Regular" w:hAnsi="STIXGeneral-Regular" w:cs="STIXGeneral-Regular"/>
              </w:rPr>
              <m:t>T</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K</m:t>
        </m:r>
        <m:r>
          <w:rPr>
            <w:rFonts w:ascii="Cambria Math" w:hAnsi="Cambria Math"/>
          </w:rPr>
          <m:t>]=</m:t>
        </m:r>
        <m:sSub>
          <m:sSubPr>
            <m:ctrlPr>
              <w:rPr>
                <w:rFonts w:ascii="Lucida Grande" w:hAnsi="Lucida Grande"/>
              </w:rPr>
            </m:ctrlPr>
          </m:sSubPr>
          <m:e>
            <m:r>
              <w:rPr>
                <w:rFonts w:ascii="STIXGeneral-Regular" w:hAnsi="STIXGeneral-Regular" w:cs="STIXGeneral-Regular"/>
              </w:rPr>
              <m:t>B</m:t>
            </m:r>
          </m:e>
          <m:sub>
            <m:r>
              <w:rPr>
                <w:rFonts w:ascii="STIXGeneral-Regular" w:hAnsi="STIXGeneral-Regular" w:cs="STIXGeneral-Regular"/>
              </w:rPr>
              <m:t>i</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Lucida Grande" w:hAnsi="Lucida Grande"/>
              </w:rPr>
            </m:ctrlPr>
          </m:sSubPr>
          <m:e>
            <m:sSup>
              <m:sSupPr>
                <m:ctrlPr>
                  <w:rPr>
                    <w:rFonts w:ascii="Lucida Grande" w:hAnsi="Lucida Grande"/>
                  </w:rPr>
                </m:ctrlPr>
              </m:sSupPr>
              <m:e>
                <m:r>
                  <w:rPr>
                    <w:rFonts w:ascii="STIXGeneral-Regular" w:hAnsi="STIXGeneral-Regular" w:cs="STIXGeneral-Regular"/>
                  </w:rPr>
                  <m:t>D</m:t>
                </m:r>
              </m:e>
              <m:sup>
                <m:r>
                  <m:rPr>
                    <m:sty m:val="p"/>
                  </m:rPr>
                  <w:rPr>
                    <w:rFonts w:ascii="Cambria Math" w:hAnsi="Cambria Math"/>
                  </w:rPr>
                  <m:t>opx/cpx</m:t>
                </m:r>
              </m:sup>
            </m:sSup>
          </m:e>
          <m:sub>
            <m:r>
              <w:rPr>
                <w:rFonts w:ascii="STIXGeneral-Regular" w:hAnsi="STIXGeneral-Regular" w:cs="STIXGeneral-Regular"/>
              </w:rPr>
              <m:t>i</m:t>
            </m:r>
          </m:sub>
        </m:sSub>
        <m:r>
          <w:rPr>
            <w:rFonts w:ascii="Cambria Math" w:hAnsi="Cambria Math"/>
          </w:rPr>
          <m:t>)-</m:t>
        </m:r>
        <m:sSub>
          <m:sSubPr>
            <m:ctrlPr>
              <w:rPr>
                <w:rFonts w:ascii="Lucida Grande" w:hAnsi="Lucida Grande"/>
              </w:rPr>
            </m:ctrlPr>
          </m:sSubPr>
          <m:e>
            <m:r>
              <w:rPr>
                <w:rFonts w:ascii="STIXGeneral-Regular" w:hAnsi="STIXGeneral-Regular" w:cs="STIXGeneral-Regular"/>
              </w:rPr>
              <m:t>A</m:t>
            </m:r>
          </m:e>
          <m:sub>
            <m:r>
              <w:rPr>
                <w:rFonts w:ascii="STIXGeneral-Regular" w:hAnsi="STIXGeneral-Regular" w:cs="STIXGeneral-Regular"/>
              </w:rPr>
              <m:t>i</m:t>
            </m:r>
          </m:sub>
        </m:sSub>
        <m:sSup>
          <m:sSupPr>
            <m:ctrlPr>
              <w:rPr>
                <w:rFonts w:ascii="Lucida Grande" w:hAnsi="Lucida Grande"/>
              </w:rPr>
            </m:ctrlPr>
          </m:sSupPr>
          <m:e>
            <m:r>
              <w:rPr>
                <w:rFonts w:ascii="Cambria Math" w:hAnsi="Cambria Math"/>
              </w:rPr>
              <m:t>)</m:t>
            </m:r>
          </m:e>
          <m:sup>
            <m:r>
              <w:rPr>
                <w:rFonts w:ascii="Cambria Math" w:hAnsi="Cambria Math"/>
              </w:rPr>
              <m:t>-1</m:t>
            </m:r>
          </m:sup>
        </m:sSup>
      </m:oMath>
      <w:r>
        <w:t>. These per-element equilibration temperatures are shown in Figure </w:t>
      </w:r>
      <w:r>
        <w:rPr>
          <w:b/>
        </w:rPr>
        <w:t>¿fig:ree_temperatures?</w:t>
      </w:r>
      <w:r>
        <w:t xml:space="preserve">. The best-fitting line from the origin through each point in </w:t>
      </w:r>
      <m:oMath>
        <m:r>
          <w:rPr>
            <w:rFonts w:ascii="STIXGeneral-Regular" w:hAnsi="STIXGeneral-Regular" w:cs="STIXGeneral-Regular"/>
          </w:rPr>
          <m:t>B</m:t>
        </m:r>
      </m:oMath>
      <w:r>
        <w:t xml:space="preserve"> vs. </w:t>
      </w:r>
      <m:oMath>
        <m:r>
          <m:rPr>
            <m:sty m:val="p"/>
          </m:rPr>
          <w:rPr>
            <w:rFonts w:ascii="Cambria Math" w:hAnsi="Cambria Math"/>
          </w:rPr>
          <m:t>ln</m:t>
        </m:r>
        <m:r>
          <w:rPr>
            <w:rFonts w:ascii="Cambria Math" w:hAnsi="Cambria Math"/>
          </w:rPr>
          <m:t>(</m:t>
        </m:r>
        <m:sSup>
          <m:sSupPr>
            <m:ctrlPr>
              <w:rPr>
                <w:rFonts w:ascii="Lucida Grande" w:hAnsi="Lucida Grande"/>
              </w:rPr>
            </m:ctrlPr>
          </m:sSupPr>
          <m:e>
            <m:r>
              <w:rPr>
                <w:rFonts w:ascii="STIXGeneral-Regular" w:hAnsi="STIXGeneral-Regular" w:cs="STIXGeneral-Regular"/>
              </w:rPr>
              <m:t>D</m:t>
            </m:r>
          </m:e>
          <m:sup>
            <m:r>
              <m:rPr>
                <m:sty m:val="p"/>
              </m:rPr>
              <w:rPr>
                <w:rFonts w:ascii="Cambria Math" w:hAnsi="Cambria Math"/>
              </w:rPr>
              <m:t>opx/cpx</m:t>
            </m:r>
          </m:sup>
        </m:sSup>
        <m:r>
          <w:rPr>
            <w:rFonts w:ascii="Cambria Math" w:hAnsi="Cambria Math"/>
          </w:rPr>
          <m:t>)-</m:t>
        </m:r>
        <m:r>
          <w:rPr>
            <w:rFonts w:ascii="STIXGeneral-Regular" w:hAnsi="STIXGeneral-Regular" w:cs="STIXGeneral-Regular"/>
          </w:rPr>
          <m:t>A</m:t>
        </m:r>
      </m:oMath>
      <w:r>
        <w:t xml:space="preserve"> space (using a robust regression with a Tukey </w:t>
      </w:r>
      <w:r>
        <w:lastRenderedPageBreak/>
        <w:t>biweight norm) yields the equilibrium temperature for each sample. Significant outliers from the fit are excluded from the thermometry, and may represent effects of disequilibrium processes.</w:t>
      </w:r>
    </w:p>
    <w:p w14:paraId="53D8D297" w14:textId="77777777" w:rsidR="00555B45" w:rsidRDefault="00824ADA">
      <w:pPr>
        <w:pStyle w:val="Heading3"/>
      </w:pPr>
      <w:bookmarkStart w:id="20" w:name="pyroxene-rare-earth-disequilibrium"/>
      <w:bookmarkEnd w:id="20"/>
      <w:r>
        <w:t>Pyroxene rare-earth disequilibrium</w:t>
      </w:r>
    </w:p>
    <w:p w14:paraId="4013D5C7" w14:textId="77777777" w:rsidR="00555B45" w:rsidRDefault="00824ADA">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14:paraId="53FD14D9" w14:textId="77777777" w:rsidR="00555B45" w:rsidRDefault="00824ADA">
      <w:pPr>
        <w:pStyle w:val="BodyText"/>
      </w:pPr>
      <w:r>
        <w:t xml:space="preserve">The pattern of disequilibrium in sample CK-4 suggests that </w:t>
      </w:r>
      <m:oMath>
        <m:sSup>
          <m:sSupPr>
            <m:ctrlPr>
              <w:rPr>
                <w:rFonts w:ascii="Lucida Grande" w:hAnsi="Lucida Grande"/>
              </w:rPr>
            </m:ctrlPr>
          </m:sSupPr>
          <m:e>
            <m:r>
              <w:rPr>
                <w:rFonts w:ascii="STIXGeneral-Regular" w:hAnsi="STIXGeneral-Regular" w:cs="STIXGeneral-Regular"/>
              </w:rPr>
              <m:t>D</m:t>
            </m:r>
          </m:e>
          <m:sup>
            <m:r>
              <m:rPr>
                <m:sty m:val="p"/>
              </m:rPr>
              <w:rPr>
                <w:rFonts w:ascii="Cambria Math" w:hAnsi="Cambria Math"/>
              </w:rPr>
              <m:t>opx/cpx</m:t>
            </m:r>
          </m:sup>
        </m:sSup>
      </m:oMath>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clinopyroxene modes in the harzburgite CK-4 could result in more being incorporated into orthopyroxene, showing incomplete REE diffusion throughout the sample. This is consistent with late re-enrichment in LREEs from the Crystal Knob source magma.</w:t>
      </w:r>
    </w:p>
    <w:p w14:paraId="2F15B5B4" w14:textId="77777777" w:rsidR="00555B45" w:rsidRDefault="00824ADA">
      <w:pPr>
        <w:pStyle w:val="BodyText"/>
      </w:pPr>
      <w:r>
        <w:t xml:space="preserve">All samples except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 unclear, but it is likely that REE equilibrium was achieved in a reducing environment </w:t>
      </w:r>
      <w:r>
        <w:rPr>
          <w:i/>
        </w:rPr>
        <w:t>(P. Asimow and J. Blundy, personal communication</w:t>
      </w:r>
      <w:r w:rsidR="003F4A1B">
        <w:rPr>
          <w:i/>
        </w:rPr>
        <w:t>, 2016?</w:t>
      </w:r>
      <w:r>
        <w:rPr>
          <w:i/>
        </w:rPr>
        <w:t>)</w:t>
      </w:r>
      <w:r>
        <w:t>, or Eu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14:paraId="6EE8914E" w14:textId="77777777" w:rsidR="00555B45" w:rsidRDefault="00824ADA">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w:t>
      </w:r>
      <w:r>
        <w:lastRenderedPageBreak/>
        <w:t>HREE perform well as measured against major-element thermometry, even for samples (such as CK-4) with generalized LREE disequilibrium.</w:t>
      </w:r>
    </w:p>
    <w:p w14:paraId="6B1B5226" w14:textId="77777777" w:rsidR="00555B45" w:rsidRDefault="00824ADA">
      <w:pPr>
        <w:pStyle w:val="Heading3"/>
      </w:pPr>
      <w:bookmarkStart w:id="21" w:name="sec:temperature-significance"/>
      <w:bookmarkEnd w:id="21"/>
      <w:r>
        <w:t>Significance of temperature estimates</w:t>
      </w:r>
    </w:p>
    <w:p w14:paraId="122B5C8A" w14:textId="77777777" w:rsidR="00555B45" w:rsidRDefault="00824ADA">
      <w:pPr>
        <w:pStyle w:val="FirstParagraph"/>
      </w:pPr>
      <w:r>
        <w:t>Rare-earth exchange thermometry shows the samples as divided into the same two groupings of temperatures as those found by major-element thermometry. Temperatures measured for the low-temperature cohort are most comparable to the TA98 results [Figure </w:t>
      </w:r>
      <w:r>
        <w:rPr>
          <w:b/>
        </w:rPr>
        <w:t>¿fig:ree_temperatures?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t>
      </w:r>
    </w:p>
    <w:p w14:paraId="2489E0CB" w14:textId="77777777" w:rsidR="00555B45" w:rsidRDefault="00824ADA">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t>
      </w:r>
    </w:p>
    <w:p w14:paraId="58818A3C" w14:textId="77777777" w:rsidR="00555B45" w:rsidRDefault="00824ADA">
      <w:pPr>
        <w:pStyle w:val="Heading1"/>
      </w:pPr>
      <w:bookmarkStart w:id="22" w:name="geochemical-differences-within-the-cryst"/>
      <w:bookmarkEnd w:id="22"/>
      <w:r>
        <w:t>Geochemical differences within the Crystal Knob sample set</w:t>
      </w:r>
    </w:p>
    <w:p w14:paraId="7CA10C5D" w14:textId="77777777" w:rsidR="00555B45" w:rsidRDefault="00824ADA">
      <w:pPr>
        <w:pStyle w:val="FirstParagraph"/>
      </w:pPr>
      <w:r>
        <w:t xml:space="preserve">All of the Crystal Knob xenoliths analyzed are isotopically depleted, with an initial </w:t>
      </w:r>
      <m:oMath>
        <m:sSub>
          <m:sSubPr>
            <m:ctrlPr>
              <w:rPr>
                <w:rFonts w:ascii="Lucida Grande" w:hAnsi="Lucida Grande"/>
              </w:rPr>
            </m:ctrlPr>
          </m:sSubPr>
          <m:e>
            <m:r>
              <w:rPr>
                <w:rFonts w:ascii="STIXGeneral-Regular" w:hAnsi="STIXGeneral-Regular" w:cs="STIXGeneral-Regular"/>
              </w:rPr>
              <m:t>ϵ</m:t>
            </m:r>
          </m:e>
          <m:sub>
            <m:r>
              <m:rPr>
                <m:sty m:val="p"/>
              </m:rPr>
              <w:rPr>
                <w:rFonts w:ascii="Cambria Math" w:hAnsi="Cambria Math"/>
              </w:rPr>
              <m:t>Nd</m:t>
            </m:r>
          </m:sub>
        </m:sSub>
      </m:oMath>
      <w:r>
        <w:t xml:space="preserve"> of +10, and / of .7029. This corresponds to the depleted upper mantle [e.g. </w:t>
      </w:r>
      <w:r>
        <w:rPr>
          <w:i/>
        </w:rPr>
        <w:t>Hofmann</w:t>
      </w:r>
      <w:r>
        <w:t>, 1997], with a mantle upwelling source that has seen no contribution from the western North American crust or continental lithosphere</w:t>
      </w:r>
      <w:r w:rsidR="000B5F23">
        <w:t>,</w:t>
      </w:r>
      <w:r>
        <w:t xml:space="preserve"> more generally. The mantle lithosphere sampled by the Crystal Knob suite was created from the same</w:t>
      </w:r>
      <w:r w:rsidR="000B5F23">
        <w:t xml:space="preserve"> convective</w:t>
      </w:r>
      <w:r>
        <w:t xml:space="preserve"> mantle reservoir and is distinct from the overlying crustal material.</w:t>
      </w:r>
    </w:p>
    <w:p w14:paraId="4964538E" w14:textId="77777777" w:rsidR="00555B45" w:rsidRDefault="00824ADA">
      <w:pPr>
        <w:pStyle w:val="BodyText"/>
      </w:pPr>
      <w:r>
        <w:t xml:space="preserve">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w:t>
      </w:r>
      <w:r>
        <w:lastRenderedPageBreak/>
        <w:t>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¿fig:cpx_literature_comparison?</w:t>
      </w:r>
      <w:r>
        <w:t>].</w:t>
      </w:r>
    </w:p>
    <w:p w14:paraId="28E64D86" w14:textId="77777777" w:rsidR="00555B45" w:rsidRPr="000E3270" w:rsidRDefault="00824ADA">
      <w:pPr>
        <w:pStyle w:val="BodyText"/>
        <w:rPr>
          <w:b/>
          <w:i/>
        </w:rPr>
      </w:pPr>
      <w:r>
        <w: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¿fig:cpx_literature_comparison?</w:t>
      </w:r>
      <w:r>
        <w:t>]. They also contain chromian spinels, which are a product of increased levels of melt extraction.</w:t>
      </w:r>
      <w:r w:rsidR="000B5F23">
        <w:rPr>
          <w:b/>
          <w:i/>
        </w:rPr>
        <w:t xml:space="preserve">(I raise the question here, for later possible application, can the differences exhibited in the higher-T </w:t>
      </w:r>
      <w:r w:rsidR="0081348A">
        <w:rPr>
          <w:b/>
          <w:i/>
        </w:rPr>
        <w:t>chort be derived from the i</w:t>
      </w:r>
      <w:r w:rsidR="000B5F23">
        <w:rPr>
          <w:b/>
          <w:i/>
        </w:rPr>
        <w:t>nteraction of underlying younger convective mantle-ie. slab window. If not definitive, is the question worth raising-maybe ask Paul?)</w:t>
      </w:r>
    </w:p>
    <w:p w14:paraId="2638C67A" w14:textId="77777777" w:rsidR="00555B45" w:rsidRPr="000E3270" w:rsidRDefault="00824ADA">
      <w:pPr>
        <w:pStyle w:val="BodyText"/>
        <w:rPr>
          <w:b/>
          <w:i/>
        </w:rPr>
      </w:pPr>
      <w:r>
        <w:t>Sample CK-6 shows still-lower Mg#s for phases but greater abundances of pyroxene phases, suggesting some amount of major-element re-enrichment.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t>
      </w:r>
      <w:r w:rsidR="000B5F23">
        <w:t xml:space="preserve"> </w:t>
      </w:r>
      <w:r w:rsidR="000B5F23">
        <w:rPr>
          <w:b/>
          <w:i/>
        </w:rPr>
        <w:t>(ditto the above point)</w:t>
      </w:r>
    </w:p>
    <w:p w14:paraId="6B230405" w14:textId="77777777" w:rsidR="00555B45" w:rsidRPr="000E3270" w:rsidRDefault="00824ADA">
      <w:pPr>
        <w:pStyle w:val="BodyText"/>
        <w:rPr>
          <w:b/>
          <w:i/>
        </w:rPr>
      </w:pPr>
      <w:r>
        <w:t>Broadly, the results of geochemical and thermometric studies of the Crystal Knob suite suggest that the mantle lithosphere beneath central California was affected by differing levels of depletion and re-enrichment.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 ## Depth constraints</w:t>
      </w:r>
      <w:r w:rsidR="000B5F23">
        <w:rPr>
          <w:b/>
          <w:i/>
        </w:rPr>
        <w:t>(ditto, again)</w:t>
      </w:r>
    </w:p>
    <w:p w14:paraId="395E1B85" w14:textId="77777777" w:rsidR="00555B45" w:rsidRDefault="00824ADA">
      <w:pPr>
        <w:pStyle w:val="BodyText"/>
      </w:pPr>
      <w:r>
        <w:t xml:space="preserve">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w:t>
      </w:r>
      <w:r>
        <w:lastRenderedPageBreak/>
        <w:t>the xenolith source. We present several lines of reasoning suggesting that the xenoliths were sourced along a depth gradient relatively deep within the spinel stability field, between roughly 45 and 80 km.</w:t>
      </w:r>
    </w:p>
    <w:p w14:paraId="6A527FC7" w14:textId="77777777" w:rsidR="00555B45" w:rsidRDefault="00824ADA">
      <w:pPr>
        <w:pStyle w:val="BodyText"/>
      </w:pPr>
      <w:r>
        <w:t>Several of the techniques below produce estimates of pressure, rather than depth. We use a geothermal gradient based on integration of the crustal and mantle densities given in Table </w:t>
      </w:r>
      <w:r>
        <w:rPr>
          <w:b/>
        </w:rPr>
        <w:t>¿tbl:model_parameters?</w:t>
      </w:r>
      <w:r>
        <w:t>. This yields a gradient of ~0.03 GPa per km across the mantle lithosphere.</w:t>
      </w:r>
    </w:p>
    <w:p w14:paraId="79FCD38D" w14:textId="77777777" w:rsidR="00555B45" w:rsidRDefault="00824ADA">
      <w:pPr>
        <w:pStyle w:val="Heading3"/>
      </w:pPr>
      <w:bookmarkStart w:id="23" w:name="limits-of-spinel-stability"/>
      <w:bookmarkEnd w:id="23"/>
      <w:r>
        <w:t>Limits of spinel stability</w:t>
      </w:r>
    </w:p>
    <w:p w14:paraId="734CB564" w14:textId="2B2CA8A5" w:rsidR="00555B45" w:rsidRDefault="005974B2">
      <w:pPr>
        <w:pStyle w:val="FirstParagraph"/>
      </w:pPr>
      <w:r>
        <w:t>E</w:t>
      </w:r>
      <w:r w:rsidR="00824ADA">
        <w:t>ntrainment depths of all peridotite xenoliths must be greater than ~30 km, the depth of the Moho near the Crystal Knob eruption site [</w:t>
      </w:r>
      <w:r w:rsidR="00824ADA">
        <w:rPr>
          <w:i/>
        </w:rPr>
        <w:t>Tréhu</w:t>
      </w:r>
      <w:r w:rsidR="00824ADA">
        <w:t>, 1991], which will be discussed in more detail in Section </w:t>
      </w:r>
      <w:r w:rsidR="00824ADA">
        <w:rPr>
          <w:b/>
        </w:rPr>
        <w:t>¿sec:regional_structure?</w:t>
      </w:r>
      <w:r w:rsidR="00824ADA">
        <w:t>. Another minimum depth constraint is the plagioclase--spinel peridotite facies transition, which occurs at depths of 20-30 km [</w:t>
      </w:r>
      <w:r w:rsidR="00824ADA">
        <w:rPr>
          <w:i/>
        </w:rPr>
        <w:t>Borghini et al.</w:t>
      </w:r>
      <w:r w:rsidR="00824ADA">
        <w:t xml:space="preserve">, 2009; </w:t>
      </w:r>
      <w:r w:rsidR="00824ADA">
        <w:rPr>
          <w:i/>
        </w:rPr>
        <w:t>Green and Ringwood</w:t>
      </w:r>
      <w:r w:rsidR="00824ADA">
        <w:t xml:space="preserve">, 1970], </w:t>
      </w:r>
      <w:r>
        <w:t>with the upper bound</w:t>
      </w:r>
      <w:r w:rsidR="00824ADA">
        <w:t xml:space="preserve"> less than the high-pressure boundary of spinel stability.</w:t>
      </w:r>
    </w:p>
    <w:p w14:paraId="60D7B031" w14:textId="77777777" w:rsidR="00555B45" w:rsidRDefault="00824ADA">
      <w:pPr>
        <w:pStyle w:val="BodyText"/>
      </w:pPr>
      <w:r>
        <w:t>The spinel--garnet peridotite phase 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w:t>
      </w:r>
      <w:r w:rsidR="005974B2">
        <w:t>,</w:t>
      </w:r>
      <w:r>
        <w:t xml:space="preserve">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garnet--spinel mixing, a spinel-weighted metastable assemblage is possible even at higher pressures.</w:t>
      </w:r>
    </w:p>
    <w:p w14:paraId="4D8F332C" w14:textId="77777777" w:rsidR="00555B45" w:rsidRDefault="00824ADA">
      <w:pPr>
        <w:pStyle w:val="BodyText"/>
      </w:pPr>
      <w:r>
        <w:t>As shown in Figure </w:t>
      </w:r>
      <w:r>
        <w:rPr>
          <w:b/>
        </w:rPr>
        <w:t>¿fig:spinel_cr?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14:paraId="09AB03FE" w14:textId="77777777" w:rsidR="00555B45" w:rsidRDefault="00824ADA">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ºC. This empirical relationship is used in </w:t>
      </w:r>
      <w:r>
        <w:lastRenderedPageBreak/>
        <w:t>Figure </w:t>
      </w:r>
      <w:r>
        <w:rPr>
          <w:b/>
        </w:rPr>
        <w:t>¿fig:depth?</w:t>
      </w:r>
      <w:r>
        <w:t xml:space="preserve"> to graphically illustrate the phase-transition depths given the Cr# of each sample (with error bars of 0.15 GPa).</w:t>
      </w:r>
    </w:p>
    <w:p w14:paraId="00C4D50F" w14:textId="77777777" w:rsidR="00555B45" w:rsidRDefault="00824ADA">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14:paraId="1A2E5341" w14:textId="77777777" w:rsidR="00555B45" w:rsidRDefault="00824ADA">
      <w:pPr>
        <w:pStyle w:val="Heading3"/>
      </w:pPr>
      <w:bookmarkStart w:id="24" w:name="ca-in-olivine-barometer"/>
      <w:bookmarkEnd w:id="24"/>
      <w:r>
        <w:t>Ca-in-olivine barometer</w:t>
      </w:r>
    </w:p>
    <w:p w14:paraId="7E3C9DEE" w14:textId="77777777" w:rsidR="00555B45" w:rsidRDefault="00824ADA">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vertical isopleths in P-T space [</w:t>
      </w:r>
      <w:r>
        <w:rPr>
          <w:i/>
        </w:rPr>
        <w:t>Gasparik</w:t>
      </w:r>
      <w:r>
        <w:t xml:space="preserve">, 2000; </w:t>
      </w:r>
      <w:r>
        <w:rPr>
          <w:i/>
        </w:rPr>
        <w:t>Herzberg</w:t>
      </w:r>
      <w:r>
        <w:t>, 1978].</w:t>
      </w:r>
    </w:p>
    <w:p w14:paraId="7683BD70" w14:textId="77777777" w:rsidR="00555B45" w:rsidRDefault="00824ADA">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w:t>
      </w:r>
      <w:r w:rsidR="007D04F7">
        <w:t xml:space="preserve"> </w:t>
      </w:r>
      <w:r>
        <w:t>vulnerability to late-stage diffusion, and dependence on low Ca concentrations in olivine near analytical thresholds for electron microprobe analysis [</w:t>
      </w:r>
      <w:r>
        <w:rPr>
          <w:i/>
        </w:rPr>
        <w:t>Medaris et al.</w:t>
      </w:r>
      <w:r>
        <w:t xml:space="preserve">, 1999; </w:t>
      </w:r>
      <w:r>
        <w:rPr>
          <w:i/>
        </w:rPr>
        <w:t>O’Reilly</w:t>
      </w:r>
      <w:r>
        <w:t>, 1997].</w:t>
      </w:r>
    </w:p>
    <w:p w14:paraId="37077197" w14:textId="77777777" w:rsidR="00555B45" w:rsidRDefault="00824ADA">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¿fig:depth?</w:t>
      </w:r>
      <w:r>
        <w:t>, we show the full pressure--temperature error space for each sample by applying a Monte Carlo random sampling to the analytical errors on each pressure estimate.</w:t>
      </w:r>
    </w:p>
    <w:p w14:paraId="339D8A18" w14:textId="77777777" w:rsidR="00555B45" w:rsidRDefault="00824ADA">
      <w:pPr>
        <w:pStyle w:val="BodyText"/>
      </w:pPr>
      <w:r>
        <w:t>The Ca-in-olivine barometer yields a broad distribution in model depths, largely coincident with the spinel stability field [Figure </w:t>
      </w:r>
      <w:r>
        <w:rPr>
          <w:b/>
        </w:rPr>
        <w:t>¿fig:depth?</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xml:space="preserve">, 1990], which produces a shallowing bias </w:t>
      </w:r>
      <w:r>
        <w:lastRenderedPageBreak/>
        <w:t>on the depth distribution, and may be the explanation for the fact that CK-4, the most altered sample, has a depth mode ~10 km shallower than the other samples (CK-3 and CK-6) at similar temperature. The fact that temperatures derived from the independent REE system are higher than the major-element temperatures for several samples in the high-temperature cohort (CK-4 and CK-6) may point to these samples being derived from a greater depth within the distribution of Ca-in-olivine depths.</w:t>
      </w:r>
    </w:p>
    <w:p w14:paraId="3DC78533" w14:textId="77777777" w:rsidR="00555B45" w:rsidRDefault="00824ADA">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14:paraId="2A4DBE22" w14:textId="77777777" w:rsidR="00555B45" w:rsidRDefault="00824ADA">
      <w:pPr>
        <w:pStyle w:val="Heading3"/>
      </w:pPr>
      <w:bookmarkStart w:id="25" w:name="comparisons-with-steady-state-heat-flow"/>
      <w:bookmarkEnd w:id="25"/>
      <w:r>
        <w:t>Comparisons with steady-state heat flow</w:t>
      </w:r>
    </w:p>
    <w:p w14:paraId="0383F892" w14:textId="6B4E8FB7" w:rsidR="00555B45" w:rsidRDefault="00824ADA">
      <w:pPr>
        <w:pStyle w:val="FirstParagraph"/>
      </w:pPr>
      <w:r>
        <w:t xml:space="preserve">The depth constraints derived from xenolith thermobarometry </w:t>
      </w:r>
      <w:r w:rsidR="007D04F7">
        <w:t xml:space="preserve">above </w:t>
      </w:r>
      <w:r>
        <w:t>can be compared to surface heat-flow and seismic constraints on the regional geotherm.</w:t>
      </w:r>
    </w:p>
    <w:p w14:paraId="78E3A0D3" w14:textId="77777777" w:rsidR="00555B45" w:rsidRDefault="00824ADA">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¿fig:depth?</w:t>
      </w:r>
      <w:r>
        <w:t>, we show potential steady-state geotherms for surface heat fluxes ranging from 60 to 120 mW/m^2, all of which intersect the potential depth distributions from spinel stability and Ca-in-olivine barometry.</w:t>
      </w:r>
    </w:p>
    <w:p w14:paraId="4F9DA9CD" w14:textId="77777777" w:rsidR="00555B45" w:rsidRDefault="00824ADA">
      <w:pPr>
        <w:pStyle w:val="BodyText"/>
      </w:pPr>
      <w:r>
        <w:t>These geothermal gradients are calculated using thermal conductivity and diffusivity given in Table </w:t>
      </w:r>
      <w:r>
        <w:rPr>
          <w:b/>
        </w:rPr>
        <w:t>¿tbl:model_parameters?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w:t>
      </w:r>
      <w:r>
        <w:rPr>
          <w:b/>
        </w:rPr>
        <w:t>¿sec:modeling?</w:t>
      </w:r>
      <w:r>
        <w:t>]. This yields a slightly "hotter" geotherm throughout the mantle lithosphere.</w:t>
      </w:r>
    </w:p>
    <w:p w14:paraId="6E87EDB8" w14:textId="77777777" w:rsidR="00555B45" w:rsidRDefault="00824ADA">
      <w:pPr>
        <w:pStyle w:val="BodyText"/>
      </w:pPr>
      <w:r>
        <w:t xml:space="preserve">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w:t>
      </w:r>
      <w:r>
        <w:lastRenderedPageBreak/>
        <w:t>samples within the spinel stability field. The centroids of the Ca-in-olivine model age distributions broadly correspond to a range in surface heat flow from ~70 to 110 mW/m^2.</w:t>
      </w:r>
    </w:p>
    <w:p w14:paraId="6FB79A49" w14:textId="77777777" w:rsidR="00555B45" w:rsidRDefault="00824ADA">
      <w:pPr>
        <w:pStyle w:val="BodyText"/>
      </w:pPr>
      <w:r>
        <w:t>Using a database of surface heat flows for North America [</w:t>
      </w:r>
      <w:r>
        <w:rPr>
          <w:i/>
        </w:rPr>
        <w:t>Blackwell and Richards</w:t>
      </w:r>
      <w:r>
        <w:t xml:space="preserve">, 2004], </w:t>
      </w:r>
      <w:r>
        <w:rPr>
          <w:i/>
        </w:rPr>
        <w:t>Erkan and Blackwell</w:t>
      </w:r>
      <w:r>
        <w:t xml:space="preserve"> [2009] estimates regionally-averaged heat flows of 80-90 mW/m^2 for the central California coast, including the vicinity of Crystal Knob. Based on projection of the TA98 temperature distribution onto our calculated steady-state geotherms, corresponding to model depths of ~45-55 km for the Crystal Knob sample set. This depth range is within the spinel stability field and falls near the center of the depth distributions extracted using Ca-in-olivine barometry.</w:t>
      </w:r>
    </w:p>
    <w:p w14:paraId="71A6D8D4" w14:textId="77777777" w:rsidR="00555B45" w:rsidRDefault="00824ADA">
      <w:pPr>
        <w:pStyle w:val="Heading3"/>
      </w:pPr>
      <w:bookmarkStart w:id="26" w:name="summary-of-depth-constraints"/>
      <w:bookmarkEnd w:id="26"/>
      <w:r>
        <w:t>Summary of depth constraints</w:t>
      </w:r>
    </w:p>
    <w:p w14:paraId="28D93607" w14:textId="77777777" w:rsidR="00555B45" w:rsidRDefault="00824ADA">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14:paraId="2FFA6B82" w14:textId="77777777" w:rsidR="00555B45" w:rsidRDefault="00824ADA">
      <w:pPr>
        <w:pStyle w:val="BodyText"/>
      </w:pPr>
      <w:r>
        <w:t>This assessment of relatively deep entrainment of the Crystal Knob xenoliths along a fairly "cool" geotherm conforms to constraints from independent studies of the deep lithosphere in coastal California. Estimates of the thermal state of the deep lithosphere derived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14:paraId="34FB2036" w14:textId="77777777" w:rsidR="00555B45" w:rsidRDefault="00824ADA">
      <w:pPr>
        <w:pStyle w:val="BodyText"/>
      </w:pPr>
      <w:r>
        <w:t>We next turn to the accuracy of this extrapolation from heat flow values, and its implication for understanding the thermal structure of the lithosphere.</w:t>
      </w:r>
    </w:p>
    <w:p w14:paraId="210F841F" w14:textId="77777777" w:rsidR="00555B45" w:rsidRDefault="00824ADA">
      <w:pPr>
        <w:pStyle w:val="Heading1"/>
      </w:pPr>
      <w:bookmarkStart w:id="27" w:name="origin-of-mantle-lithosphere-beneath-the"/>
      <w:bookmarkEnd w:id="27"/>
      <w:r>
        <w:lastRenderedPageBreak/>
        <w:t>Origin of mantle lithosphere beneath the Crystal Knob volcanic neck</w:t>
      </w:r>
    </w:p>
    <w:p w14:paraId="6B4C5E32" w14:textId="77777777" w:rsidR="00555B45" w:rsidRDefault="00824ADA">
      <w:pPr>
        <w:pStyle w:val="FirstParagraph"/>
      </w:pPr>
      <w:r>
        <w:t xml:space="preserve">Rb-Sr and Sm-Nd isotopic and trace-element data on peridotite xenoliths from this study demonstrate that the mantle lithosphere that was sampled by the Crystal Knob volcanic neck is sourced from the depleted convecting mantle [e.g. </w:t>
      </w:r>
      <w:r>
        <w:rPr>
          <w:i/>
        </w:rPr>
        <w:t>Hofmann</w:t>
      </w:r>
      <w:r>
        <w:t>, 1997] with no contribution from recycled crustal material, nor ancient sub-continental mantle lithosphere. This is consistent with the neck having penetrated through the Franciscan accretionary complex, and also with the observations that Salinia continental arc rocks of the region are unrooted nappes that lie structurally above Franciscan complex rocks.</w:t>
      </w:r>
    </w:p>
    <w:p w14:paraId="6BC68232" w14:textId="677EEC95" w:rsidR="00555B45" w:rsidRDefault="00824ADA">
      <w:pPr>
        <w:pStyle w:val="BodyText"/>
      </w:pPr>
      <w:r>
        <w:t xml:space="preserve">In that the Franciscan complex of the region was assembled by long-lived subduction of the Farallon plate encompassing Cretaceous-early Tertiary time [ </w:t>
      </w:r>
      <w:r>
        <w:rPr>
          <w:i/>
        </w:rPr>
        <w:t>Cowan</w:t>
      </w:r>
      <w:r>
        <w:t xml:space="preserve">, 1978; </w:t>
      </w:r>
      <w:r>
        <w:rPr>
          <w:i/>
        </w:rPr>
        <w:t>Saleeby and 12 contributors</w:t>
      </w:r>
      <w:r>
        <w:t xml:space="preserve">, 1986; </w:t>
      </w:r>
      <w:r>
        <w:rPr>
          <w:i/>
        </w:rPr>
        <w:t>Seton et al.</w:t>
      </w:r>
      <w:r>
        <w:t>, 2012</w:t>
      </w:r>
      <w:r w:rsidR="00F65A49">
        <w:t xml:space="preserve">; </w:t>
      </w:r>
      <w:r w:rsidR="00F65A49">
        <w:rPr>
          <w:i/>
        </w:rPr>
        <w:t>Chapman et al.</w:t>
      </w:r>
      <w:r w:rsidR="00F65A49">
        <w:t>, 2016a</w:t>
      </w:r>
      <w:r>
        <w:t>], it follows that the mantle lithosphere of the region was constructed from partly subducted Farallon plate upper mantle at some point late in the Franciscan accretionary history, or by some other mechanism following the cessation of Farallon plate subduction with the establishment of the San Andreas transform system. Based on this regional geologic history and constraints from crustal structure, we identify several viable tectonic scenarios for the formation of the mantle lithosphere beneath coastal central California, which we summarize in Sections -.</w:t>
      </w:r>
    </w:p>
    <w:p w14:paraId="397DB6DE" w14:textId="77777777" w:rsidR="00555B45" w:rsidRDefault="00824ADA">
      <w:pPr>
        <w:pStyle w:val="Heading2"/>
      </w:pPr>
      <w:bookmarkStart w:id="28" w:name="sec:tectonic_scenarios"/>
      <w:bookmarkEnd w:id="28"/>
      <w:r>
        <w:t>Late Cenozoic tectonic history and regional crustal structure</w:t>
      </w:r>
    </w:p>
    <w:p w14:paraId="26DD427C" w14:textId="77777777" w:rsidR="00555B45" w:rsidRDefault="00824ADA">
      <w:pPr>
        <w:pStyle w:val="FirstParagraph"/>
      </w:pPr>
      <w:r>
        <w:t>In Oligocene to early Miocene time the Pacific-Farallon spreading ridge obliquely impinged into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as well as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linked to slab window formation by the partial melting of asthenosphere as it ascended into the slab window [</w:t>
      </w:r>
      <w:r>
        <w:rPr>
          <w:i/>
        </w:rPr>
        <w:t>Wilson et al.</w:t>
      </w:r>
      <w:r>
        <w:t>, 2005].</w:t>
      </w:r>
    </w:p>
    <w:p w14:paraId="114C4EBD" w14:textId="77777777" w:rsidR="00555B45" w:rsidRDefault="00824ADA">
      <w:pPr>
        <w:pStyle w:val="BodyText"/>
      </w:pPr>
      <w:r>
        <w:t>Alternatively, it has been suggested that microplate formation along the impinging Pacific-Farallon ridge was more dominant than slab window formation,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xml:space="preserve">, 2001]. Late Cenozoic volcanism of the region, in this scenario, is linked to the youthfulness of the subducted microplate(s), implying an “upside down” partial melting mechanism within and immediately adjacent to the lithospheric lid. Both the slab window (or gap) and stalled microplate hypotheses </w:t>
      </w:r>
      <w:r>
        <w:lastRenderedPageBreak/>
        <w:t>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14:paraId="37756B46" w14:textId="77777777" w:rsidR="00555B45" w:rsidRDefault="00824ADA">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xml:space="preserve">, 1991], indicate that this mafic layer is internally deformed and imbricated, which accounts for its thickness exceeding typical oceanic mafic crust by a factor of two to three. </w:t>
      </w:r>
    </w:p>
    <w:p w14:paraId="2EA12244" w14:textId="77777777" w:rsidR="00555B45" w:rsidRDefault="00824ADA">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14:paraId="76AC4944" w14:textId="0B46F5BC" w:rsidR="00555B45" w:rsidRDefault="00824ADA">
      <w:pPr>
        <w:pStyle w:val="BodyText"/>
      </w:pPr>
      <w:r>
        <w:t>The pre-Neogene tectonic setting of the Crystal Knob eruption site is shown in Figure </w:t>
      </w:r>
      <w:r>
        <w:rPr>
          <w:b/>
        </w:rPr>
        <w:t>¿fig:reconstruction?</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¿fig:reconstruction?</w:t>
      </w:r>
      <w:r>
        <w:t xml:space="preserve"> along with the principal upper plate batholithic exposures. In Figure </w:t>
      </w:r>
      <w:r>
        <w:rPr>
          <w:b/>
        </w:rPr>
        <w:t>¿fig:reconstruction?</w:t>
      </w:r>
      <w:r>
        <w:t>, the current western extent of the Salinia crystalline nappes is shown as the Nacimiento fault and the offshore Farallon escarpment. Crystalline rocks of the Salinia nappes extended westwards across Nacimiento belt Franciscan an unknown distance [</w:t>
      </w:r>
      <w:r>
        <w:rPr>
          <w:i/>
        </w:rPr>
        <w:t>Hall and Saleeby</w:t>
      </w:r>
      <w:r>
        <w:t>, 2013], but have been eroded off their lower plate complex as the coastal region has risen in the Pliocene [</w:t>
      </w:r>
      <w:r>
        <w:rPr>
          <w:i/>
        </w:rPr>
        <w:t>Ducea</w:t>
      </w:r>
      <w:r>
        <w:t>, 2003].</w:t>
      </w:r>
    </w:p>
    <w:p w14:paraId="4A83A93E" w14:textId="728EBD47" w:rsidR="00555B45" w:rsidRPr="000E3270" w:rsidRDefault="00824ADA">
      <w:pPr>
        <w:pStyle w:val="BodyText"/>
        <w:rPr>
          <w:b/>
          <w:i/>
        </w:rPr>
      </w:pPr>
      <w:r>
        <w:t>The cross-sections presented in Figure </w:t>
      </w:r>
      <w:r>
        <w:rPr>
          <w:b/>
        </w:rPr>
        <w:t>¿fig:cross_sections?</w:t>
      </w:r>
      <w:r>
        <w:t xml:space="preserve"> </w:t>
      </w:r>
      <w:r w:rsidR="00F65A49">
        <w:rPr>
          <w:b/>
          <w:i/>
        </w:rPr>
        <w:t>(the two tectonic sections as now show</w:t>
      </w:r>
      <w:r w:rsidR="00B952A3">
        <w:rPr>
          <w:b/>
          <w:i/>
        </w:rPr>
        <w:t>, figs 20 and 21 are out of sequence?)</w:t>
      </w:r>
      <w:r>
        <w:t>show the first-order crustal relations that are implied by three potential origins for the sub-Crystal Knob mantle lithosphere: 1. shallowly ascended asthenosphere within the Pacific-Farallon slab window [</w:t>
      </w:r>
      <w:r>
        <w:rPr>
          <w:i/>
        </w:rPr>
        <w:t>Atwater and Stock</w:t>
      </w:r>
      <w:r>
        <w:t>, 1998]; 2. subduction of an underplated, or stalled, Monterey oceanic microplate [</w:t>
      </w:r>
      <w:r>
        <w:rPr>
          <w:i/>
        </w:rPr>
        <w:t>Bohannon and Parsons</w:t>
      </w:r>
      <w:r>
        <w:t>, 1995]; or 3. underplated Farallon plate mantle lithosphere nappe(s) that lie in structural sequence with the upper mantle duplex resolved beneath the Dish Hill xenolith location</w:t>
      </w:r>
      <w:r w:rsidR="00B952A3">
        <w:t xml:space="preserve"> of the Mojave region</w:t>
      </w:r>
      <w:r>
        <w:t xml:space="preserve"> [</w:t>
      </w:r>
      <w:r>
        <w:rPr>
          <w:i/>
        </w:rPr>
        <w:t>Luffi et al.</w:t>
      </w:r>
      <w:r>
        <w:t xml:space="preserve">, 2009]. These scenarios have been posed by </w:t>
      </w:r>
      <w:r w:rsidR="00B952A3">
        <w:t>a number of</w:t>
      </w:r>
      <w:r>
        <w:t xml:space="preserve"> workers</w:t>
      </w:r>
      <w:r w:rsidR="0081348A">
        <w:t xml:space="preserve"> as detailed below.</w:t>
      </w:r>
      <w:r>
        <w:t xml:space="preserve"> </w:t>
      </w:r>
    </w:p>
    <w:p w14:paraId="38008CF6" w14:textId="77777777" w:rsidR="00555B45" w:rsidRDefault="00824ADA">
      <w:pPr>
        <w:pStyle w:val="Heading2"/>
      </w:pPr>
      <w:bookmarkStart w:id="29" w:name="sec:slab_window"/>
      <w:bookmarkEnd w:id="29"/>
      <w:r>
        <w:lastRenderedPageBreak/>
        <w:t>The Neogene slab window</w:t>
      </w:r>
    </w:p>
    <w:p w14:paraId="082C8041" w14:textId="69002F19" w:rsidR="00555B45" w:rsidRDefault="0081348A">
      <w:pPr>
        <w:pStyle w:val="FirstParagraph"/>
      </w:pPr>
      <w:r>
        <w:t xml:space="preserve">The </w:t>
      </w:r>
      <w:r w:rsidR="00824ADA">
        <w:t>Figure </w:t>
      </w:r>
      <w:r w:rsidR="00824ADA">
        <w:rPr>
          <w:b/>
        </w:rPr>
        <w:t>¿fig:reconstruction?</w:t>
      </w:r>
      <w:r w:rsidR="00824ADA">
        <w:t xml:space="preserve"> shows the </w:t>
      </w:r>
      <w:r w:rsidR="00A033A7">
        <w:t xml:space="preserve">hypothetical </w:t>
      </w:r>
      <w:r w:rsidR="00824ADA">
        <w:t>surface projection</w:t>
      </w:r>
      <w:r>
        <w:t>s</w:t>
      </w:r>
      <w:r w:rsidR="00824ADA">
        <w:t xml:space="preserve"> of the </w:t>
      </w:r>
      <w:r w:rsidR="00A033A7">
        <w:t xml:space="preserve">Pacific-Farallon </w:t>
      </w:r>
      <w:r w:rsidR="00824ADA">
        <w:t>slab window and the partially subducted Monterey plate at ca. 19 Ma [</w:t>
      </w:r>
      <w:r w:rsidR="00824ADA">
        <w:rPr>
          <w:i/>
        </w:rPr>
        <w:t>Wilson et al.</w:t>
      </w:r>
      <w:r w:rsidR="00824ADA">
        <w:t>, 2005]. The slab window formed by the subduction of the trailing edge of the Farallon plate, unsupported by sea floor spreading along the former spreading axis with the Pacific plate. The Monterey plate nucleated along an ~250 km long segment of the Pacific-Farallon ridge as an oblique rift that was rotated ~25º clockwise from the Pacific-Farallon rift axis [</w:t>
      </w:r>
      <w:r w:rsidR="00824ADA">
        <w:rPr>
          <w:i/>
        </w:rPr>
        <w:t>Atwater and Severinghaus</w:t>
      </w:r>
      <w:r w:rsidR="00824ADA">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sidR="00824ADA">
        <w:rPr>
          <w:i/>
        </w:rPr>
        <w:t>Atwater and Stock</w:t>
      </w:r>
      <w:r w:rsidR="00824ADA">
        <w:t xml:space="preserve">, 1998; </w:t>
      </w:r>
      <w:r w:rsidR="00824ADA">
        <w:rPr>
          <w:i/>
        </w:rPr>
        <w:t>Bohannon and Parsons</w:t>
      </w:r>
      <w:r w:rsidR="00824ADA">
        <w:t>, 1995].</w:t>
      </w:r>
    </w:p>
    <w:p w14:paraId="2E40EAA6" w14:textId="471BB7E9" w:rsidR="00555B45" w:rsidRDefault="00824ADA">
      <w:pPr>
        <w:pStyle w:val="BodyText"/>
      </w:pPr>
      <w:r>
        <w:t xml:space="preserve">According to the </w:t>
      </w:r>
      <w:r>
        <w:rPr>
          <w:i/>
        </w:rPr>
        <w:t>Wilson et al.</w:t>
      </w:r>
      <w:r>
        <w:t xml:space="preserve"> [2005] reconstruction of the Pacific-Farallon slab window and adjacent Monterey plate [Figure </w:t>
      </w:r>
      <w:r>
        <w:rPr>
          <w:b/>
        </w:rPr>
        <w:t>¿fig:reconstruction?</w:t>
      </w:r>
      <w:r>
        <w:t xml:space="preserve">], the Crystal Knob eruption site was located above a slab window in the early Neogene, </w:t>
      </w:r>
      <w:r w:rsidR="00B952A3">
        <w:t xml:space="preserve">~50-100 km northeast of </w:t>
      </w:r>
      <w:r>
        <w:t>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account for the eruption of the ca. 1.7 Ma Crystal Knob volcanic neck itself, which we return to in Section 7.2.</w:t>
      </w:r>
    </w:p>
    <w:p w14:paraId="0B769C27" w14:textId="77777777" w:rsidR="00555B45" w:rsidRDefault="00824ADA">
      <w:pPr>
        <w:pStyle w:val="Heading2"/>
      </w:pPr>
      <w:bookmarkStart w:id="30" w:name="the-monterey-plate"/>
      <w:bookmarkEnd w:id="30"/>
      <w:r>
        <w:t>The Monterey plate</w:t>
      </w:r>
    </w:p>
    <w:p w14:paraId="60514055" w14:textId="4F4CBED8" w:rsidR="00555B45" w:rsidRDefault="00824ADA">
      <w:pPr>
        <w:pStyle w:val="FirstParagraph"/>
      </w:pPr>
      <w:r>
        <w:t xml:space="preserve">The Monterey microplate </w:t>
      </w:r>
      <w:r w:rsidR="005427D0">
        <w:t xml:space="preserve">has been </w:t>
      </w:r>
      <w:r>
        <w:t>invoked as the source of the lithospher</w:t>
      </w:r>
      <w:r w:rsidR="00A93623">
        <w:t xml:space="preserve">ic mantle </w:t>
      </w:r>
      <w:r>
        <w:t xml:space="preserve"> beneath the central Coast Ranges</w:t>
      </w:r>
      <w:r w:rsidR="0081348A">
        <w:t>,</w:t>
      </w:r>
      <w:r>
        <w:t xml:space="preserve"> </w:t>
      </w:r>
      <w:r w:rsidR="005427D0">
        <w:t xml:space="preserve">by </w:t>
      </w:r>
      <w:r w:rsidR="0081348A">
        <w:t xml:space="preserve">its </w:t>
      </w:r>
      <w:r w:rsidR="005427D0">
        <w:t>stalling out as it partially subducted</w:t>
      </w:r>
      <w:r>
        <w:t>[</w:t>
      </w:r>
      <w:r>
        <w:rPr>
          <w:i/>
        </w:rPr>
        <w:t>Erkan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¿fig:reconstruction?</w:t>
      </w:r>
      <w:r>
        <w:t xml:space="preserve">. The remnant </w:t>
      </w:r>
      <w:r w:rsidR="0081348A">
        <w:t xml:space="preserve">microplate </w:t>
      </w:r>
      <w:r>
        <w:t xml:space="preserve">has been integrated into the Pacific plate and still forms part of the abyssal seafloor </w:t>
      </w:r>
      <w:r w:rsidR="005427D0">
        <w:t>in the proximal offshore region</w:t>
      </w:r>
      <w:r>
        <w:t>[Figure </w:t>
      </w:r>
      <w:r>
        <w:rPr>
          <w:b/>
        </w:rPr>
        <w:t>¿fig:context?</w:t>
      </w:r>
      <w:r>
        <w:t xml:space="preserve">]. </w:t>
      </w:r>
      <w:r w:rsidR="005427D0">
        <w:t xml:space="preserve">A recent permutation of the stalled slab hypothesis is </w:t>
      </w:r>
      <w:r>
        <w:t>that the Monterey plate</w:t>
      </w:r>
      <w:r w:rsidR="005427D0">
        <w:t xml:space="preserve"> extends eastwards of the San Andreas fault, as a “dangling”</w:t>
      </w:r>
      <w:r>
        <w:t xml:space="preserve"> </w:t>
      </w:r>
      <w:r w:rsidR="005427D0">
        <w:t xml:space="preserve">horizontally translated slab that descends </w:t>
      </w:r>
      <w:r>
        <w:t>eastward</w:t>
      </w:r>
      <w:r w:rsidR="005427D0">
        <w:t>s</w:t>
      </w:r>
      <w:r>
        <w:t xml:space="preserve"> </w:t>
      </w:r>
      <w:r w:rsidR="005427D0">
        <w:t>beneath</w:t>
      </w:r>
      <w:r>
        <w:t xml:space="preserve"> the Central Valley, corresponding </w:t>
      </w:r>
      <w:r w:rsidR="00A033A7">
        <w:t>to the “Isabella”</w:t>
      </w:r>
      <w:r w:rsidR="005427D0">
        <w:t xml:space="preserve"> high-wave speed </w:t>
      </w:r>
      <w:r>
        <w:t>seismic anomaly</w:t>
      </w:r>
      <w:r w:rsidR="005427D0">
        <w:t xml:space="preserve"> (Fig. 1 or 2?)</w:t>
      </w:r>
      <w:r>
        <w:t xml:space="preserve"> [</w:t>
      </w:r>
      <w:r>
        <w:rPr>
          <w:i/>
        </w:rPr>
        <w:t>Brink et al.</w:t>
      </w:r>
      <w:r>
        <w:t xml:space="preserve">, 1999; </w:t>
      </w:r>
      <w:r>
        <w:rPr>
          <w:i/>
        </w:rPr>
        <w:t>Pikser et al.</w:t>
      </w:r>
      <w:r>
        <w:t xml:space="preserve">, 2012; </w:t>
      </w:r>
      <w:r>
        <w:rPr>
          <w:i/>
        </w:rPr>
        <w:t>Wang et al.</w:t>
      </w:r>
      <w:r>
        <w:t>, 2013].</w:t>
      </w:r>
    </w:p>
    <w:p w14:paraId="281DF79D" w14:textId="7135B6D7" w:rsidR="00555B45" w:rsidRDefault="00824ADA">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¿fig:context?</w:t>
      </w:r>
      <w:r>
        <w:t xml:space="preserve">] as modeled both by geologic reconstruction of fault offsets </w:t>
      </w:r>
      <w:r>
        <w:lastRenderedPageBreak/>
        <w:t>[</w:t>
      </w:r>
      <w:r>
        <w:rPr>
          <w:i/>
        </w:rPr>
        <w:t>Dickinson et al.</w:t>
      </w:r>
      <w:r>
        <w:t xml:space="preserve">, 2005] and </w:t>
      </w:r>
      <w:r w:rsidR="00A93623">
        <w:t xml:space="preserve">plate kinematic </w:t>
      </w:r>
      <w:r>
        <w:t>r</w:t>
      </w:r>
      <w:r w:rsidR="005427D0">
        <w:t>econstruc</w:t>
      </w:r>
      <w:r>
        <w:t>tions [</w:t>
      </w:r>
      <w:r>
        <w:rPr>
          <w:i/>
        </w:rPr>
        <w:t>Wilson et al.</w:t>
      </w:r>
      <w:r>
        <w:t xml:space="preserve">, 2005]. </w:t>
      </w:r>
      <w:r w:rsidR="00A033A7">
        <w:t>Continuation of the Monterey plate east</w:t>
      </w:r>
      <w:r w:rsidR="005427D0">
        <w:t xml:space="preserve"> of the San Gregorio-Hosgri fault</w:t>
      </w:r>
      <w:r w:rsidR="00A033A7">
        <w:t xml:space="preserve"> requires that its down dip extension was translated effectively horizontally along, or sub-parallel to the former subduction interface beneath the Coast Ranges. Its hypothetical extension east of the San Andreas fault as a “dangling slab” requires that this subduction interface likewise extended </w:t>
      </w:r>
      <w:r w:rsidR="00C373C0">
        <w:t>eastwards beyond</w:t>
      </w:r>
      <w:r w:rsidR="00A033A7">
        <w:t xml:space="preserve"> the San Andreas fault .</w:t>
      </w:r>
      <w:r>
        <w:t>The analysis presented here argues against models invoking horizontal translation of the Monterey plate</w:t>
      </w:r>
      <w:r w:rsidR="00A033A7">
        <w:t>, both beneath the Coast Ranges, and</w:t>
      </w:r>
      <w:r>
        <w:t xml:space="preserve"> as a “dangling slab” </w:t>
      </w:r>
      <w:r w:rsidR="00A033A7">
        <w:t xml:space="preserve">beneath the Central Valley. </w:t>
      </w:r>
      <w:r>
        <w:t>This can be argued against on the basis of seismological, geodynamic, and surface geological relations.</w:t>
      </w:r>
    </w:p>
    <w:p w14:paraId="20B109BE" w14:textId="77777777" w:rsidR="00555B45" w:rsidRDefault="00824ADA">
      <w:pPr>
        <w:pStyle w:val="BodyText"/>
      </w:pPr>
      <w:r>
        <w:t>As shown in the Figure </w:t>
      </w:r>
      <w:r>
        <w:rPr>
          <w:b/>
        </w:rPr>
        <w:t>¿fig:reconstruction?</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14:paraId="42CF9158" w14:textId="77777777" w:rsidR="00555B45" w:rsidRDefault="00824ADA">
      <w:pPr>
        <w:pStyle w:val="BodyText"/>
      </w:pPr>
      <w:r>
        <w:t>As western Transverse Range crustal panels rotated into their current position during transrotational rifting, the Monterey plate continued its northward displacement along the San Gregorio-Hosgri fault system [Figure </w:t>
      </w:r>
      <w:r>
        <w:rPr>
          <w:b/>
        </w:rPr>
        <w:t>¿fig:context?</w:t>
      </w:r>
      <w:r>
        <w:t>]. Note that in Figure </w:t>
      </w:r>
      <w:r>
        <w:rPr>
          <w:b/>
        </w:rPr>
        <w:t>¿fig:neogene_cross_sections?</w:t>
      </w:r>
      <w:r>
        <w:t xml:space="preserve"> the outer edge of the Farallon-Monterey slab window is on trend with the San Gregorio-Hosgri fault system. Distinct steps and inflections in lower 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14:paraId="32E5F5E8" w14:textId="03579DEF" w:rsidR="00C373C0" w:rsidRDefault="00824ADA">
      <w:pPr>
        <w:pStyle w:val="BodyText"/>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¿fig:neogene_sections?</w:t>
      </w:r>
      <w:r>
        <w:t xml:space="preserve"> c. As of yet, </w:t>
      </w:r>
      <w:r>
        <w:lastRenderedPageBreak/>
        <w:t>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r w:rsidR="00C373C0">
        <w:t xml:space="preserve"> </w:t>
      </w:r>
      <w:r>
        <w:t>Thi</w:t>
      </w:r>
      <w:r w:rsidR="00C373C0">
        <w:t>s</w:t>
      </w:r>
      <w:r>
        <w:t xml:space="preserve">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¿fig:context?</w:t>
      </w:r>
      <w:r>
        <w:t xml:space="preserve">], commonly called the “Isabella anomaly”. </w:t>
      </w:r>
    </w:p>
    <w:p w14:paraId="3B179947" w14:textId="5B629ACC" w:rsidR="00555B45" w:rsidRDefault="00C373C0">
      <w:pPr>
        <w:pStyle w:val="BodyText"/>
      </w:pPr>
      <w:r>
        <w:t>S</w:t>
      </w:r>
      <w:r w:rsidR="00824ADA">
        <w:t>eismological and geodynamic studies show that th</w:t>
      </w:r>
      <w:r>
        <w:t>e Isabella</w:t>
      </w:r>
      <w:r w:rsidR="00824ADA">
        <w:t xml:space="preserve"> anomaly </w:t>
      </w:r>
      <w:r w:rsidR="00642C03">
        <w:t xml:space="preserve">is derived primarily from </w:t>
      </w:r>
      <w:r w:rsidR="00824ADA">
        <w:t>the convectively mobilized mantle wedge, or mantle lithosphere</w:t>
      </w:r>
      <w:r w:rsidR="00642C03">
        <w:t xml:space="preserve"> of the</w:t>
      </w:r>
      <w:r w:rsidR="00824ADA">
        <w:t xml:space="preserve"> southern Sierra Nevada batholith [</w:t>
      </w:r>
      <w:r w:rsidR="00824ADA">
        <w:rPr>
          <w:i/>
        </w:rPr>
        <w:t>Frassetto et al.</w:t>
      </w:r>
      <w:r w:rsidR="00824ADA">
        <w:t xml:space="preserve">, 2011; </w:t>
      </w:r>
      <w:r w:rsidR="00824ADA">
        <w:rPr>
          <w:i/>
        </w:rPr>
        <w:t>Gilbert et al.</w:t>
      </w:r>
      <w:r w:rsidR="00824ADA">
        <w:t xml:space="preserve">, 2012; </w:t>
      </w:r>
      <w:r w:rsidR="00824ADA">
        <w:rPr>
          <w:i/>
        </w:rPr>
        <w:t>Jones et al.</w:t>
      </w:r>
      <w:r w:rsidR="00824ADA">
        <w:t xml:space="preserve">, 2014; </w:t>
      </w:r>
      <w:r w:rsidR="00824ADA">
        <w:rPr>
          <w:i/>
        </w:rPr>
        <w:t>Levandowski and Jones</w:t>
      </w:r>
      <w:r w:rsidR="00824ADA">
        <w:t xml:space="preserve">, 2015; </w:t>
      </w:r>
      <w:r w:rsidR="00824ADA">
        <w:rPr>
          <w:i/>
        </w:rPr>
        <w:t>Saleeby et al.</w:t>
      </w:r>
      <w:r w:rsidR="00824ADA">
        <w:t xml:space="preserve">, 2012; </w:t>
      </w:r>
      <w:r w:rsidR="00824ADA">
        <w:rPr>
          <w:i/>
        </w:rPr>
        <w:t>Zandt et al.</w:t>
      </w:r>
      <w:r w:rsidR="00824ADA">
        <w:t xml:space="preserve">, 2004]. In addition to the structural continuity that these studies show between the seismic anomaly and the residual mantle lithosphere that is still in place beneath the </w:t>
      </w:r>
      <w:r w:rsidR="00A75A22">
        <w:t xml:space="preserve">Central </w:t>
      </w:r>
      <w:r w:rsidR="00824ADA">
        <w:t>Valley and Sierra Nevada [Figure </w:t>
      </w:r>
      <w:r w:rsidR="00824ADA">
        <w:rPr>
          <w:b/>
        </w:rPr>
        <w:t>¿fig:context?</w:t>
      </w:r>
      <w:r w:rsidR="00824ADA">
        <w:t>], these studies show that the volume of the Isabella anomaly far exceeds reasonable volume estimate</w:t>
      </w:r>
      <w:r>
        <w:t>s</w:t>
      </w:r>
      <w:r w:rsidR="00824ADA">
        <w:t xml:space="preserve"> for the attenuated terminus of a hypothetical translated Monterey slab. These studies also provide mechanisms for lower crustal plastic deformation, observable surface faulting, upper mantle--lower crustal partial melting and dynamic topographic effects that are </w:t>
      </w:r>
      <w:r w:rsidR="00A75A22">
        <w:t xml:space="preserve">all </w:t>
      </w:r>
      <w:r w:rsidR="00824ADA">
        <w:t>ignored in the dangling slab hypothesis.</w:t>
      </w:r>
    </w:p>
    <w:p w14:paraId="13600406" w14:textId="2715B641" w:rsidR="00555B45" w:rsidRDefault="00642C03">
      <w:pPr>
        <w:pStyle w:val="BodyText"/>
      </w:pPr>
      <w:r>
        <w:t xml:space="preserve">First order </w:t>
      </w:r>
      <w:r w:rsidR="00824ADA">
        <w:t xml:space="preserve">geological effects of such </w:t>
      </w:r>
      <w:r>
        <w:t>volcanism</w:t>
      </w:r>
      <w:r w:rsidR="00824ADA">
        <w:t xml:space="preserve"> and topographic transients are closely correlated to the convective mobilization of the sub-Sierran mantle lithosphere</w:t>
      </w:r>
      <w:r>
        <w:t>, and its current expression as the Isabella anomaly</w:t>
      </w:r>
      <w:r w:rsidR="00824ADA">
        <w:t xml:space="preserve"> [</w:t>
      </w:r>
      <w:r w:rsidR="00824ADA">
        <w:rPr>
          <w:i/>
        </w:rPr>
        <w:t>Ducea and Saleeby</w:t>
      </w:r>
      <w:r w:rsidR="00824ADA">
        <w:t xml:space="preserve">, 1998b; </w:t>
      </w:r>
      <w:r w:rsidR="00824ADA">
        <w:rPr>
          <w:i/>
        </w:rPr>
        <w:t>Farmer et al.</w:t>
      </w:r>
      <w:r w:rsidR="00824ADA">
        <w:t xml:space="preserve">, 2002; </w:t>
      </w:r>
      <w:r w:rsidR="00824ADA">
        <w:rPr>
          <w:i/>
        </w:rPr>
        <w:t>Levandowski and Jones</w:t>
      </w:r>
      <w:r w:rsidR="00824ADA">
        <w:t xml:space="preserve">, 2015; </w:t>
      </w:r>
      <w:r w:rsidR="00824ADA">
        <w:rPr>
          <w:i/>
        </w:rPr>
        <w:t>Saleeby et al.</w:t>
      </w:r>
      <w:r w:rsidR="00824ADA">
        <w:t>, 2013</w:t>
      </w:r>
      <w:r w:rsidR="00A75A22">
        <w:t xml:space="preserve">; </w:t>
      </w:r>
      <w:r w:rsidR="00A75A22">
        <w:rPr>
          <w:i/>
        </w:rPr>
        <w:t>Cecil et al.</w:t>
      </w:r>
      <w:r w:rsidR="00A75A22">
        <w:t>, 2014</w:t>
      </w:r>
      <w:r w:rsidR="00824ADA">
        <w:t>].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Figure </w:t>
      </w:r>
      <w:r w:rsidR="00824ADA">
        <w:rPr>
          <w:b/>
        </w:rPr>
        <w:t>¿fig:context?</w:t>
      </w:r>
      <w:r w:rsidR="00824ADA">
        <w:t>, [</w:t>
      </w:r>
      <w:r w:rsidR="00824ADA">
        <w:rPr>
          <w:i/>
        </w:rPr>
        <w:t>Bohannon and Parsons</w:t>
      </w:r>
      <w:r w:rsidR="00824ADA">
        <w:t xml:space="preserve">, 1995; </w:t>
      </w:r>
      <w:r w:rsidR="00824ADA">
        <w:rPr>
          <w:i/>
        </w:rPr>
        <w:t>Wilson et al.</w:t>
      </w:r>
      <w:r w:rsidR="00824ADA">
        <w:t>, 2005]. This is in line with the Monterey slab’s limited down-dip extent as bounded by the Monterey-Farallon slab window segment shown in Figure </w:t>
      </w:r>
      <w:r w:rsidR="00824ADA">
        <w:rPr>
          <w:b/>
        </w:rPr>
        <w:t>¿fig:reconstruction?</w:t>
      </w:r>
      <w:r w:rsidR="00824ADA">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r w:rsidR="00824ADA">
        <w:rPr>
          <w:i/>
        </w:rPr>
        <w:t>Saleeby et al.</w:t>
      </w:r>
      <w:r w:rsidR="00824ADA">
        <w:t>, 2013</w:t>
      </w:r>
      <w:r w:rsidR="00A75A22">
        <w:t xml:space="preserve">: </w:t>
      </w:r>
      <w:r w:rsidR="00A75A22">
        <w:rPr>
          <w:i/>
        </w:rPr>
        <w:t>Cecil et al.</w:t>
      </w:r>
      <w:r w:rsidR="00A75A22">
        <w:t>, 2014</w:t>
      </w:r>
      <w:r w:rsidR="00824ADA">
        <w:t>]. Possible remnants of necked off partially subducted Monterey plate are more plausibly correlated to the Transverse Ranges high-wave speed anomaly in terms of position and volume [Figure </w:t>
      </w:r>
      <w:r w:rsidR="00824ADA">
        <w:rPr>
          <w:b/>
        </w:rPr>
        <w:t>¿fig:context?</w:t>
      </w:r>
      <w:r w:rsidR="00824ADA">
        <w:t>], and also have a firm geodynamic basis as such [</w:t>
      </w:r>
      <w:r w:rsidR="00824ADA">
        <w:rPr>
          <w:i/>
        </w:rPr>
        <w:t>Burkett and Billen</w:t>
      </w:r>
      <w:r w:rsidR="00824ADA">
        <w:t>, 2009].</w:t>
      </w:r>
    </w:p>
    <w:p w14:paraId="65871BBD" w14:textId="0C8A1D54" w:rsidR="00555B45" w:rsidRDefault="00824ADA">
      <w:pPr>
        <w:pStyle w:val="BodyText"/>
      </w:pPr>
      <w:r>
        <w:t>Much of the reason for the attractiveness of the stalled slab hypothesis is its utility to explain sparse Neogene volcanism in the Coast Ranges a</w:t>
      </w:r>
      <w:r w:rsidR="00A75A22">
        <w:t>s well as</w:t>
      </w:r>
      <w:r>
        <w:t xml:space="preserve"> modern heat </w:t>
      </w:r>
      <w:r>
        <w:lastRenderedPageBreak/>
        <w:t xml:space="preserve">flow values </w:t>
      </w:r>
      <w:r w:rsidR="00A75A22">
        <w:t xml:space="preserve">that are </w:t>
      </w:r>
      <w:r>
        <w:t>too low to be explained by shallow underplat</w:t>
      </w:r>
      <w:r w:rsidR="00A75A22">
        <w:t>ed asthenosphere emplaced within a slab window</w:t>
      </w:r>
      <w:r>
        <w:t xml:space="preserve">. </w:t>
      </w:r>
      <w:r>
        <w:rPr>
          <w:i/>
        </w:rPr>
        <w:t>Erkan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14:paraId="0B401F65" w14:textId="77777777" w:rsidR="00555B45" w:rsidRDefault="00824ADA">
      <w:pPr>
        <w:pStyle w:val="Heading2"/>
      </w:pPr>
      <w:bookmarkStart w:id="31" w:name="sec:farallon_nappes"/>
      <w:bookmarkEnd w:id="31"/>
      <w:r>
        <w:t>Underplated Farallon Plate mantle nappes</w:t>
      </w:r>
    </w:p>
    <w:p w14:paraId="61FEA600" w14:textId="3783DA77" w:rsidR="00621522" w:rsidRDefault="00824ADA" w:rsidP="000E3270">
      <w:pPr>
        <w:pStyle w:val="FirstParagraph"/>
      </w:pPr>
      <w:r>
        <w:t>The reconstruction of the Crystal Knob eruption site to its pre-San Andreas position [Figure </w:t>
      </w:r>
      <w:r>
        <w:rPr>
          <w:b/>
        </w:rPr>
        <w:t>¿fig:reconstruction?</w:t>
      </w:r>
      <w:r>
        <w:t>] suggests the underplating of Farallon-plate mantle nappes prior to transform offsets as a highly viable alternative for the development of the site’s underlying mantle lithosphere.</w:t>
      </w:r>
      <w:r w:rsidR="006C5E29">
        <w:t>.</w:t>
      </w:r>
      <w:r>
        <w:t xml:space="preserve">This is particularly viable in light of the neck having erupted through the Nacimiento belt of the Franciscan complex, immediately adjacent to the current </w:t>
      </w:r>
      <w:r w:rsidR="0081348A">
        <w:t>western</w:t>
      </w:r>
      <w:r>
        <w:t xml:space="preserve"> limit of Salinia crystalline nappes [Figure </w:t>
      </w:r>
      <w:r>
        <w:rPr>
          <w:b/>
        </w:rPr>
        <w:t>¿fig:context?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¿fig:context?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as well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 present findings on the Dish Hill and Cima mantle xenolith sites [Figure </w:t>
      </w:r>
      <w:r>
        <w:rPr>
          <w:b/>
        </w:rPr>
        <w:t>¿fig:context?</w:t>
      </w:r>
      <w:r>
        <w:t>] that suggest the presence of a mantle lithosphere duplex with multiple Farallon plate upper mantle nappes in structural sequence beneath a</w:t>
      </w:r>
      <w:r w:rsidR="006C5E29">
        <w:t>n eastern</w:t>
      </w:r>
      <w:r>
        <w:t xml:space="preserve">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14:paraId="0133363B" w14:textId="1ED984FC" w:rsidR="00555B45" w:rsidRDefault="00824ADA">
      <w:pPr>
        <w:pStyle w:val="BodyText"/>
      </w:pPr>
      <w:r>
        <w:t>In Figure </w:t>
      </w:r>
      <w:r>
        <w:rPr>
          <w:b/>
        </w:rPr>
        <w:t>¿fig:cross_sections?</w:t>
      </w:r>
      <w:r>
        <w:t xml:space="preserve">, we present a model for the tectonic underplating of the Farallon plate mantle lithosphere beneath the Mojave-Salinia-Nacimiento segment of the </w:t>
      </w:r>
      <w:r w:rsidR="00655ED9">
        <w:t xml:space="preserve">Late Cretaceous </w:t>
      </w:r>
      <w:r>
        <w:t>convergent margin [</w:t>
      </w:r>
      <w:r>
        <w:rPr>
          <w:i/>
        </w:rPr>
        <w:t>Luffi et al.</w:t>
      </w:r>
      <w:r>
        <w:t xml:space="preserve">, 2009; after </w:t>
      </w:r>
      <w:r>
        <w:rPr>
          <w:i/>
        </w:rPr>
        <w:t>Saleeby</w:t>
      </w:r>
      <w:r>
        <w:t>, 2003]. This is shown to have occurred in conjunction with shallow flat subduction of the Shatsky Rise conjugate Large Igneous Province [</w:t>
      </w:r>
      <w:r w:rsidR="00655ED9">
        <w:rPr>
          <w:i/>
        </w:rPr>
        <w:t>Saleeby</w:t>
      </w:r>
      <w:r w:rsidR="00655ED9">
        <w:t xml:space="preserve">, 2003; </w:t>
      </w:r>
      <w:r>
        <w:rPr>
          <w:i/>
        </w:rPr>
        <w:t>Liu et al.</w:t>
      </w:r>
      <w:r>
        <w:t xml:space="preserve">, 2010; </w:t>
      </w:r>
      <w:r>
        <w:rPr>
          <w:i/>
        </w:rPr>
        <w:t>Sun et al.</w:t>
      </w:r>
      <w:r>
        <w:t xml:space="preserve">, 2017]. The approximate age of Farallon plate entering the trench is shown </w:t>
      </w:r>
      <w:r>
        <w:lastRenderedPageBreak/>
        <w:t xml:space="preserve">on each frame [after </w:t>
      </w:r>
      <w:r>
        <w:rPr>
          <w:i/>
        </w:rPr>
        <w:t>Seton et al.</w:t>
      </w:r>
      <w:r>
        <w:t>, 2012]. Crustal deformation, timing and thermal conditions, as applied to our thermal modeling presented in Section </w:t>
      </w:r>
      <w:r>
        <w:rPr>
          <w:b/>
        </w:rPr>
        <w:t>¿sec:modeling?</w:t>
      </w:r>
      <w:r>
        <w:t xml:space="preserve">, are integrated from </w:t>
      </w:r>
      <w:r>
        <w:rPr>
          <w:i/>
        </w:rPr>
        <w:t>Kidder and Ducea</w:t>
      </w:r>
      <w:r>
        <w:t xml:space="preserve"> [2006] and </w:t>
      </w:r>
      <w:r>
        <w:rPr>
          <w:i/>
        </w:rPr>
        <w:t>Chapman et al.</w:t>
      </w:r>
      <w:r>
        <w:t xml:space="preserve"> [2010]; </w:t>
      </w:r>
      <w:r>
        <w:rPr>
          <w:i/>
        </w:rPr>
        <w:t>Chapman et al.</w:t>
      </w:r>
      <w:r>
        <w:t xml:space="preserve"> [2012]; </w:t>
      </w:r>
      <w:r>
        <w:rPr>
          <w:i/>
        </w:rPr>
        <w:t>Chapman et al.</w:t>
      </w:r>
      <w:r>
        <w:t xml:space="preserve"> [2016a]. Figure </w:t>
      </w:r>
      <w:r>
        <w:rPr>
          <w:b/>
        </w:rPr>
        <w:t>¿fig:cross_sections?</w:t>
      </w:r>
      <w:r>
        <w:t xml:space="preserve"> 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14:paraId="24B41BF3" w14:textId="19CF6AE0" w:rsidR="00555B45" w:rsidRDefault="00824ADA">
      <w:pPr>
        <w:pStyle w:val="BodyText"/>
      </w:pPr>
      <w:r>
        <w:t>In Figure </w:t>
      </w:r>
      <w:r>
        <w:rPr>
          <w:b/>
        </w:rPr>
        <w:t>¿fig:cross_sectionsc?</w:t>
      </w:r>
      <w:r>
        <w:t xml:space="preserve"> and d we adopt the focused slab rollback and mantle lithosphere underplating models of </w:t>
      </w:r>
      <w:r>
        <w:rPr>
          <w:i/>
        </w:rPr>
        <w:t>Saleeby</w:t>
      </w:r>
      <w:r>
        <w:t xml:space="preserve"> [2003] and </w:t>
      </w:r>
      <w:r>
        <w:rPr>
          <w:i/>
        </w:rPr>
        <w:t>Luffi et al.</w:t>
      </w:r>
      <w:r>
        <w:t xml:space="preserve"> [2009], for the dynamic response of normal thickness oceanic lithosphere following the thickened oceanic plateau down the subduction zone. Principal crustal responses are shown as large magnitude trench-directed extension coupled to regional extrusion of the underplated subduction channel schists, which was driven by suction forces of the retreating slab. In the Figure c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c 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the retreat of the slab as it subducted imparted a significant tensile stress component within the slab that was oriented at high angle to the subduction megathrust, which further promoted nappe detachment. The nucleation of detachment surfaces was likely controlled by hydration fronts that followed primary normal and transform faults within the upper oceanic lithosphere. The lack of high-pressure mafic schist samples in both the Crystal Knob and Dish Hill xenolith suites suggests that oceanic crust was detached during mantle nappe detachment, presumably at oceanic Moho depths, to be underplated as the seismically imaged thickened mafic lower crust of the region [</w:t>
      </w:r>
      <w:r>
        <w:rPr>
          <w:i/>
        </w:rPr>
        <w:t>Brocher et al.</w:t>
      </w:r>
      <w:r>
        <w:t xml:space="preserve">, 1999; </w:t>
      </w:r>
      <w:r>
        <w:rPr>
          <w:i/>
        </w:rPr>
        <w:t>Tréhu</w:t>
      </w:r>
      <w:r>
        <w:t xml:space="preserve">, 1991]. On the basis of the regional structural evolution of the central to southern California basement, and on the petrogenetic history recorded in the region's mantle xenolith suites, we consider the Figure d section to be that most likely sampled by the Crystal Knob eruption. This section is idealized for Late Cretaceous time, and below we layer on the complexity of late Cenozoic </w:t>
      </w:r>
      <w:r w:rsidR="00655ED9">
        <w:t>tectonics</w:t>
      </w:r>
      <w:r>
        <w:t xml:space="preserve"> in our analysis. We focus now to thermal history in order to more thoroughly pursue the possible origins of the sub-Crystal Knob mantle lithosphere.</w:t>
      </w:r>
    </w:p>
    <w:p w14:paraId="2CA0FAB1" w14:textId="77777777" w:rsidR="00555B45" w:rsidRDefault="00824ADA">
      <w:pPr>
        <w:pStyle w:val="Heading1"/>
      </w:pPr>
      <w:bookmarkStart w:id="32" w:name="thermal-constraints-on-lithospheric-stru"/>
      <w:bookmarkEnd w:id="32"/>
      <w:r>
        <w:lastRenderedPageBreak/>
        <w:t>Thermal constraints on lithospheric structure and history</w:t>
      </w:r>
    </w:p>
    <w:p w14:paraId="36BE2D3C" w14:textId="4543D71C" w:rsidR="00555B45" w:rsidRDefault="00824ADA">
      <w:pPr>
        <w:pStyle w:val="FirstParagraph"/>
      </w:pPr>
      <w:r>
        <w:t>Studies relying on surface heat flow form the basis of attempts to estimate the thermal structure and evolutionary history of the mantle lithosphere beneath the central California coast ranges [</w:t>
      </w:r>
      <w:r>
        <w:rPr>
          <w:i/>
        </w:rPr>
        <w:t>Erkan and Blackwell</w:t>
      </w:r>
      <w:r>
        <w:t xml:space="preserve">, 2009, 2008]. These studies are based on borehole measurements of heat flux in wells &gt; 100 m deep and show high (60-90 mW/m^2) heat flows in the entire Coast Range belt. These workers refer to a "Coast Range Thermal Anomaly" (CRTA) of high surface heat flux measurements in a broad swath of high geothermal gradients across the entire Coast Range belt, both inboard and outboard of the San Andreas fault zone. The heat flow in the Coast Ranges starkly contrast with low heat flows observed in the adjacent </w:t>
      </w:r>
      <w:r w:rsidR="00C430A7">
        <w:t>Central</w:t>
      </w:r>
      <w:r>
        <w:t xml:space="preserve"> Valley, and in the Sierra Nevada, but are similar to those measured in the Mojave province.</w:t>
      </w:r>
    </w:p>
    <w:p w14:paraId="38DA1939" w14:textId="56A02ECD" w:rsidR="00555B45" w:rsidRDefault="00824ADA">
      <w:pPr>
        <w:pStyle w:val="BodyText"/>
      </w:pPr>
      <w:r>
        <w:t>Regionally averaged continental surface heat flows typically range from lows of 20 mW/m^2 in cratonic cores to 120 mW/m^2 in focused areas of active mantle upwelling (e.g. the southern Salton Trough) [</w:t>
      </w:r>
      <w:r>
        <w:rPr>
          <w:i/>
        </w:rPr>
        <w:t>Erkan and Blackwell</w:t>
      </w:r>
      <w:r>
        <w:t xml:space="preserve">, 2009; </w:t>
      </w:r>
      <w:r>
        <w:rPr>
          <w:i/>
        </w:rPr>
        <w:t>Pollack and Chapman</w:t>
      </w:r>
      <w:r>
        <w:t xml:space="preserve">, 1977], so the values reported for the CRTA are high for areas with a relatively </w:t>
      </w:r>
      <w:r w:rsidR="00C430A7">
        <w:t>thick</w:t>
      </w:r>
      <w:r>
        <w:t xml:space="preserve"> lithosphere.</w:t>
      </w:r>
    </w:p>
    <w:p w14:paraId="22066757" w14:textId="77777777" w:rsidR="00555B45" w:rsidRDefault="00824ADA">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14:paraId="6AB740F5" w14:textId="77777777" w:rsidR="00555B45" w:rsidRDefault="00824ADA">
      <w:pPr>
        <w:pStyle w:val="BodyText"/>
      </w:pPr>
      <w:r>
        <w:t>Heat flow measurements in the Coast Ranges are likely to be maximum estimates of the regionally-averaged heat flow and geothermal gradient due to several factors including the possibility of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 from the Miocene to the present.</w:t>
      </w:r>
    </w:p>
    <w:p w14:paraId="2C36DA10" w14:textId="6A26579A" w:rsidR="00555B45" w:rsidRDefault="00824ADA">
      <w:pPr>
        <w:pStyle w:val="BodyText"/>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w:t>
      </w:r>
      <w:r w:rsidR="00C430A7">
        <w:t>ere</w:t>
      </w:r>
      <w:r>
        <w:t xml:space="preserve"> also hesitant to invoke fluid flow to explain a regionally averaged thermal gradient. However, areas underlain by an intact batholithic crustal column (e.g. the Sierra Nevada the Peninsular Ranges) show relatively low heat flows. This suggests that fluid transport or localized upwelling along the San Andreas transform system </w:t>
      </w:r>
      <w:r w:rsidR="00C430A7">
        <w:t xml:space="preserve">may contribute significantly to </w:t>
      </w:r>
      <w:r>
        <w:t xml:space="preserve">the anomalously high surface heat flow in the Coast </w:t>
      </w:r>
      <w:r>
        <w:lastRenderedPageBreak/>
        <w:t>Range</w:t>
      </w:r>
      <w:r w:rsidR="00C430A7">
        <w:t>s</w:t>
      </w:r>
      <w:r>
        <w:t xml:space="preserve">. </w:t>
      </w:r>
      <w:r>
        <w:rPr>
          <w:i/>
        </w:rPr>
        <w:t>Kennedy</w:t>
      </w:r>
      <w:r>
        <w:t xml:space="preserve"> [1997] shows the presence of mantle fluids in the San Andreas fault zone, giving credence to the idea deep fluid transport.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¿fig:context?</w:t>
      </w:r>
      <w:r>
        <w:t>]) since the Pleistocene.</w:t>
      </w:r>
      <w:r w:rsidR="009371D7">
        <w:t xml:space="preserve"> </w:t>
      </w:r>
      <w:r>
        <w:t xml:space="preserve">The combination of these factors suggests that estimates of the geothermal gradient derived from surface heat flow may overestimate the geothermal gradient at depth. Thus, it seems likely that the gradients given in </w:t>
      </w:r>
      <w:r>
        <w:rPr>
          <w:i/>
        </w:rPr>
        <w:t>Erkan and Blackwell</w:t>
      </w:r>
      <w:r>
        <w:t xml:space="preserve"> [2009] are a maximum limit on the geothermal gradient in the mantle lithosphere.</w:t>
      </w:r>
    </w:p>
    <w:p w14:paraId="4F586F54" w14:textId="294634C5" w:rsidR="00555B45" w:rsidRDefault="00824ADA">
      <w:pPr>
        <w:pStyle w:val="BodyText"/>
      </w:pPr>
      <w:r>
        <w:t xml:space="preserve">Next, we </w:t>
      </w:r>
      <w:r w:rsidR="004A494C">
        <w:t>test</w:t>
      </w:r>
      <w:r>
        <w:t xml:space="preserve"> the </w:t>
      </w:r>
      <w:r w:rsidR="004A494C">
        <w:t xml:space="preserve">plausible origins of the </w:t>
      </w:r>
      <w:r>
        <w:t xml:space="preserve">geotherm </w:t>
      </w:r>
      <w:r w:rsidR="004A494C">
        <w:t>recorded in</w:t>
      </w:r>
      <w:r>
        <w:t xml:space="preserve"> </w:t>
      </w:r>
      <w:r w:rsidR="004A494C">
        <w:t xml:space="preserve">the </w:t>
      </w:r>
      <w:r>
        <w:t>Crystal Knob</w:t>
      </w:r>
      <w:r w:rsidR="004A494C">
        <w:t xml:space="preserve"> peridotite xenoliths</w:t>
      </w:r>
      <w:r>
        <w:t xml:space="preserve"> </w:t>
      </w:r>
      <w:r w:rsidR="004A494C">
        <w:t xml:space="preserve">by modeling thermal evolutions predicted by the three </w:t>
      </w:r>
      <w:r>
        <w:t>tectonic scenarios</w:t>
      </w:r>
      <w:r w:rsidR="004A494C">
        <w:t xml:space="preserve"> discussed above</w:t>
      </w:r>
      <w:r>
        <w:t>. To support the evaluation of the possible tectonic scenarios for the rocks, we model the relaxation of the geotherm during subduction underplating</w:t>
      </w:r>
      <w:r w:rsidR="004A494C">
        <w:t xml:space="preserve"> and slab window opening</w:t>
      </w:r>
      <w:r>
        <w:t xml:space="preserve">. </w:t>
      </w:r>
    </w:p>
    <w:p w14:paraId="0EB3C95A" w14:textId="77777777" w:rsidR="00555B45" w:rsidRDefault="00824ADA">
      <w:pPr>
        <w:pStyle w:val="Heading3"/>
      </w:pPr>
      <w:bookmarkStart w:id="33" w:name="the-depth-of-slab-window-underplating"/>
      <w:bookmarkEnd w:id="33"/>
      <w:r>
        <w:t>The depth of slab window underplating</w:t>
      </w:r>
    </w:p>
    <w:p w14:paraId="22404163" w14:textId="77777777" w:rsidR="00555B45" w:rsidRDefault="00824ADA">
      <w:pPr>
        <w:pStyle w:val="FirstParagraph"/>
      </w:pPr>
      <w:r>
        <w:t>Regardless of the generalized lithospheric structure depicted in Figure </w:t>
      </w:r>
      <w:r>
        <w:rPr>
          <w:b/>
        </w:rPr>
        <w:t>¿fig:neogene_sections?</w:t>
      </w:r>
      <w:r>
        <w:t>, 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xml:space="preserve">, 2005].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14:paraId="16193594" w14:textId="77777777" w:rsidR="00555B45" w:rsidRDefault="00824ADA">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¿fig:depth?</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bookmarkStart w:id="34" w:name="_GoBack"/>
      <w:bookmarkEnd w:id="34"/>
    </w:p>
    <w:p w14:paraId="5A93E3A6" w14:textId="77777777" w:rsidR="00486119" w:rsidRPr="006D2321" w:rsidRDefault="00486119" w:rsidP="00486119">
      <w:pPr>
        <w:pStyle w:val="Heading1"/>
        <w:rPr>
          <w:i/>
        </w:rPr>
      </w:pPr>
      <w:bookmarkStart w:id="35" w:name="thermal-modeling-of-tectonic-scenarios"/>
      <w:bookmarkEnd w:id="35"/>
      <w:r>
        <w:lastRenderedPageBreak/>
        <w:t xml:space="preserve">Thermal modeling of tectonic scenarios </w:t>
      </w:r>
      <w:r w:rsidRPr="006D2321">
        <w:rPr>
          <w:color w:val="FF0000"/>
        </w:rPr>
        <w:t>(</w:t>
      </w:r>
      <w:r w:rsidRPr="006D2321">
        <w:rPr>
          <w:i/>
          <w:color w:val="FF0000"/>
        </w:rPr>
        <w:t>impossible to tell what are major headings and what are sub-headings-be sure to fix this!)</w:t>
      </w:r>
    </w:p>
    <w:p w14:paraId="76912E71" w14:textId="77777777" w:rsidR="00486119" w:rsidRDefault="00486119" w:rsidP="00486119">
      <w:pPr>
        <w:pStyle w:val="FirstParagraph"/>
      </w:pPr>
      <w:r>
        <w:t>The Farallon Plate, Monterey Plate, and slab window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 Tectonic models for the emplacement of depleted mantle lithosphere under the central coastal California region can be tested by comparison of their implied geothermal structure with xenolith geothermometry.</w:t>
      </w:r>
    </w:p>
    <w:p w14:paraId="3AAFAEC5" w14:textId="77777777" w:rsidR="00486119" w:rsidRDefault="00486119" w:rsidP="00486119">
      <w:pPr>
        <w:pStyle w:val="Heading2"/>
      </w:pPr>
      <w:r>
        <w:t>Model setup</w:t>
      </w:r>
    </w:p>
    <w:p w14:paraId="00D09004" w14:textId="77777777" w:rsidR="00486119" w:rsidRDefault="00486119" w:rsidP="00486119">
      <w:pPr>
        <w:pStyle w:val="FirstParagraph"/>
      </w:pPr>
      <w:r>
        <w:t>To distinguish between potential emplacement mechanisms for the mantle lithosphere sampled by Crystal Knob, a forward model of the geotherm implied by each of the tectonic scenarios shown in Figure </w:t>
      </w:r>
      <w:r>
        <w:rPr>
          <w:b/>
        </w:rPr>
        <w:t>¿fig:neogene_sections?</w:t>
      </w:r>
      <w:r>
        <w:t xml:space="preserve"> is constructed. A model based on the one-dimensional heat-flow equation </w:t>
      </w:r>
      <m:oMath>
        <m:f>
          <m:fPr>
            <m:ctrlPr>
              <w:rPr>
                <w:rFonts w:ascii="Cambria Math" w:hAnsi="Cambria Math"/>
              </w:rPr>
            </m:ctrlPr>
          </m:fPr>
          <m:num>
            <m:r>
              <w:rPr>
                <w:rFonts w:ascii="STIXGeneral-Regular" w:hAnsi="STIXGeneral-Regular" w:cs="STIXGeneral-Regular"/>
              </w:rPr>
              <m:t>∂T</m:t>
            </m:r>
          </m:num>
          <m:den>
            <m:r>
              <w:rPr>
                <w:rFonts w:ascii="STIXGeneral-Regular" w:hAnsi="STIXGeneral-Regular" w:cs="STIXGeneral-Regular"/>
              </w:rPr>
              <m:t>∂t</m:t>
            </m:r>
          </m:den>
        </m:f>
        <m:r>
          <w:rPr>
            <w:rFonts w:ascii="Cambria Math" w:hAnsi="Cambria Math"/>
          </w:rPr>
          <m:t>=</m:t>
        </m:r>
        <m:f>
          <m:fPr>
            <m:ctrlPr>
              <w:rPr>
                <w:rFonts w:ascii="Cambria Math" w:hAnsi="Cambria Math"/>
              </w:rPr>
            </m:ctrlPr>
          </m:fPr>
          <m:num>
            <m:r>
              <w:rPr>
                <w:rFonts w:ascii="STIXGeneral-Regular" w:hAnsi="STIXGeneral-Regular" w:cs="STIXGeneral-Regular"/>
              </w:rPr>
              <m:t>k</m:t>
            </m:r>
          </m:num>
          <m:den>
            <m:r>
              <w:rPr>
                <w:rFonts w:ascii="STIXGeneral-Regular" w:hAnsi="STIXGeneral-Regular" w:cs="STIXGeneral-Regular"/>
              </w:rPr>
              <m:t>ρ</m:t>
            </m:r>
            <m:sSub>
              <m:sSubPr>
                <m:ctrlPr>
                  <w:rPr>
                    <w:rFonts w:ascii="Cambria Math" w:hAnsi="Cambria Math"/>
                  </w:rPr>
                </m:ctrlPr>
              </m:sSubPr>
              <m:e>
                <m:r>
                  <w:rPr>
                    <w:rFonts w:ascii="STIXGeneral-Regular" w:hAnsi="STIXGeneral-Regular" w:cs="STIXGeneral-Regular"/>
                  </w:rPr>
                  <m:t>C</m:t>
                </m:r>
              </m:e>
              <m:sub>
                <m:r>
                  <w:rPr>
                    <w:rFonts w:ascii="STIXGeneral-Regular" w:hAnsi="STIXGeneral-Regular" w:cs="STIXGeneral-Regular"/>
                  </w:rPr>
                  <m:t>p</m:t>
                </m:r>
              </m:sub>
            </m:sSub>
          </m:den>
        </m:f>
        <m:f>
          <m:fPr>
            <m:ctrlPr>
              <w:rPr>
                <w:rFonts w:ascii="Cambria Math" w:hAnsi="Cambria Math"/>
              </w:rPr>
            </m:ctrlPr>
          </m:fPr>
          <m:num>
            <m:sSup>
              <m:sSupPr>
                <m:ctrlPr>
                  <w:rPr>
                    <w:rFonts w:ascii="Cambria Math" w:hAnsi="Cambria Math"/>
                  </w:rPr>
                </m:ctrlPr>
              </m:sSupPr>
              <m:e>
                <m:r>
                  <w:rPr>
                    <w:rFonts w:ascii="STIXGeneral-Regular" w:hAnsi="STIXGeneral-Regular" w:cs="STIXGeneral-Regular"/>
                  </w:rPr>
                  <m:t>∂</m:t>
                </m:r>
              </m:e>
              <m:sup>
                <m:r>
                  <w:rPr>
                    <w:rFonts w:ascii="Cambria Math" w:hAnsi="Cambria Math"/>
                  </w:rPr>
                  <m:t>2</m:t>
                </m:r>
              </m:sup>
            </m:sSup>
            <m:r>
              <w:rPr>
                <w:rFonts w:ascii="STIXGeneral-Regular" w:hAnsi="STIXGeneral-Regular" w:cs="STIXGeneral-Regular"/>
              </w:rPr>
              <m:t>T</m:t>
            </m:r>
          </m:num>
          <m:den>
            <m:r>
              <w:rPr>
                <w:rFonts w:ascii="STIXGeneral-Regular" w:hAnsi="STIXGeneral-Regular" w:cs="STIXGeneral-Regular"/>
              </w:rPr>
              <m:t>∂</m:t>
            </m:r>
            <m:sSup>
              <m:sSupPr>
                <m:ctrlPr>
                  <w:rPr>
                    <w:rFonts w:ascii="Cambria Math" w:hAnsi="Cambria Math"/>
                  </w:rPr>
                </m:ctrlPr>
              </m:sSupPr>
              <m:e>
                <m:r>
                  <w:rPr>
                    <w:rFonts w:ascii="STIXGeneral-Regular" w:hAnsi="STIXGeneral-Regular" w:cs="STIXGeneral-Regular"/>
                  </w:rPr>
                  <m:t>z</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STIXGeneral-Regular" w:hAnsi="STIXGeneral-Regular" w:cs="STIXGeneral-Regular"/>
              </w:rPr>
              <m:t>α</m:t>
            </m:r>
          </m:num>
          <m:den>
            <m:r>
              <w:rPr>
                <w:rFonts w:ascii="STIXGeneral-Regular" w:hAnsi="STIXGeneral-Regular" w:cs="STIXGeneral-Regular"/>
              </w:rPr>
              <m:t>ρ</m:t>
            </m:r>
            <m:sSub>
              <m:sSubPr>
                <m:ctrlPr>
                  <w:rPr>
                    <w:rFonts w:ascii="Cambria Math" w:hAnsi="Cambria Math"/>
                  </w:rPr>
                </m:ctrlPr>
              </m:sSubPr>
              <m:e>
                <m:r>
                  <w:rPr>
                    <w:rFonts w:ascii="STIXGeneral-Regular" w:hAnsi="STIXGeneral-Regular" w:cs="STIXGeneral-Regular"/>
                  </w:rPr>
                  <m:t>C</m:t>
                </m:r>
              </m:e>
              <m:sub>
                <m:r>
                  <w:rPr>
                    <w:rFonts w:ascii="STIXGeneral-Regular" w:hAnsi="STIXGeneral-Regular" w:cs="STIXGeneral-Regular"/>
                  </w:rPr>
                  <m:t>p</m:t>
                </m:r>
              </m:sub>
            </m:sSub>
          </m:den>
        </m:f>
        <m:r>
          <w:rPr>
            <w:rFonts w:ascii="Times New Roman" w:hAnsi="Times New Roman" w:cs="Times New Roman"/>
          </w:rPr>
          <m:t>  </m:t>
        </m:r>
        <m:r>
          <w:rPr>
            <w:rFonts w:ascii="Cambria Math" w:hAnsi="Cambria Math"/>
          </w:rPr>
          <m:t>(1)</m:t>
        </m:r>
      </m:oMath>
      <w:r>
        <w:t xml:space="preserve"> is used to track the evolution in the geotherm through the lithosphere predicted by the three tectonic scenarios presented above. To simulate both subduction and slab window driven mantle underplating, the forearc geotherm is stacked atop modeled oceanic, or  asthenospheric geotherms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unknown mantle heat flux.</w:t>
      </w:r>
    </w:p>
    <w:p w14:paraId="5C3191C3" w14:textId="77777777" w:rsidR="00486119" w:rsidRPr="005B13E0" w:rsidRDefault="00486119" w:rsidP="00486119">
      <w:pPr>
        <w:pStyle w:val="BodyText"/>
        <w:rPr>
          <w:b/>
        </w:rPr>
      </w:pPr>
      <w:r>
        <w:t>Several auxiliary analytical models are used to constrain portions of our modeled scenarios.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oceanic and continental material properties, and are given in Table </w:t>
      </w:r>
      <w:r>
        <w:rPr>
          <w:b/>
        </w:rPr>
        <w:t>¿tbl:model_parameters?</w:t>
      </w:r>
      <w:r>
        <w:t xml:space="preserve">. More information about model setup and integration is given in Section 9. </w:t>
      </w:r>
      <w:r>
        <w:rPr>
          <w:b/>
        </w:rPr>
        <w:t>Is this the Supplementary  file? This file should be called out here!</w:t>
      </w:r>
    </w:p>
    <w:p w14:paraId="74B1DB67" w14:textId="77777777" w:rsidR="00486119" w:rsidRDefault="00486119" w:rsidP="00486119">
      <w:pPr>
        <w:pStyle w:val="Heading3"/>
      </w:pPr>
    </w:p>
    <w:p w14:paraId="663AE37F" w14:textId="77777777" w:rsidR="00486119" w:rsidRDefault="00486119" w:rsidP="00486119">
      <w:pPr>
        <w:pStyle w:val="BodyText"/>
      </w:pPr>
    </w:p>
    <w:p w14:paraId="7C365A52" w14:textId="77777777" w:rsidR="00486119" w:rsidRDefault="00486119" w:rsidP="00486119">
      <w:pPr>
        <w:pStyle w:val="Heading3"/>
      </w:pPr>
    </w:p>
    <w:p w14:paraId="4C33FE2A" w14:textId="77777777" w:rsidR="00486119" w:rsidRDefault="00486119" w:rsidP="00486119">
      <w:pPr>
        <w:pStyle w:val="FirstParagraph"/>
      </w:pPr>
    </w:p>
    <w:p w14:paraId="01AA6D33" w14:textId="77777777" w:rsidR="00486119" w:rsidRDefault="00486119" w:rsidP="00486119">
      <w:pPr>
        <w:pStyle w:val="BodyText"/>
      </w:pPr>
    </w:p>
    <w:p w14:paraId="022BEC23" w14:textId="77777777" w:rsidR="00486119" w:rsidRDefault="00486119" w:rsidP="00486119">
      <w:pPr>
        <w:pStyle w:val="BodyText"/>
      </w:pPr>
    </w:p>
    <w:p w14:paraId="6A0EAD71" w14:textId="77777777" w:rsidR="00486119" w:rsidRDefault="00486119" w:rsidP="00486119">
      <w:pPr>
        <w:pStyle w:val="FirstParagraph"/>
      </w:pPr>
    </w:p>
    <w:p w14:paraId="5020B7C3" w14:textId="77777777" w:rsidR="00486119" w:rsidRDefault="00486119" w:rsidP="00486119">
      <w:pPr>
        <w:pStyle w:val="Heading3"/>
      </w:pPr>
      <w:r>
        <w:t>Model results</w:t>
      </w:r>
    </w:p>
    <w:p w14:paraId="1236A5BC" w14:textId="77777777" w:rsidR="00486119" w:rsidRDefault="00486119" w:rsidP="00486119">
      <w:pPr>
        <w:pStyle w:val="FirstParagraph"/>
      </w:pPr>
      <w:r>
        <w:t>Model results are presented as geotherms corresponding to specific model steps in Figure </w:t>
      </w:r>
      <w:r>
        <w:rPr>
          <w:b/>
        </w:rPr>
        <w:t>¿fig:model_results?</w:t>
      </w:r>
      <w:r>
        <w:t xml:space="preserve"> and as temperature--time tracers in Figure </w:t>
      </w:r>
      <w:r>
        <w:rPr>
          <w:b/>
        </w:rPr>
        <w:t>¿fig:model_tracers?</w:t>
      </w:r>
      <w:r>
        <w:t>.</w:t>
      </w:r>
    </w:p>
    <w:p w14:paraId="5580D45E" w14:textId="77777777" w:rsidR="00486119" w:rsidRDefault="00486119" w:rsidP="00486119">
      <w:pPr>
        <w:pStyle w:val="Heading4"/>
      </w:pPr>
      <w:bookmarkStart w:id="36" w:name="shallow-slab-window"/>
      <w:bookmarkEnd w:id="36"/>
      <w:r>
        <w:t>Shallow slab window</w:t>
      </w:r>
    </w:p>
    <w:p w14:paraId="4A600765" w14:textId="77777777" w:rsidR="00486119" w:rsidRPr="00D55B02" w:rsidRDefault="00486119" w:rsidP="00486119">
      <w:pPr>
        <w:pStyle w:val="FirstParagraph"/>
        <w:rPr>
          <w:b/>
          <w:i/>
          <w:color w:val="FF0000"/>
        </w:rPr>
      </w:pPr>
      <w:r>
        <w:t xml:space="preserve">The geologic context of the shallow slab window scenario is shown in Figure 21A, and our thermal modeling for this scenario (Model group </w:t>
      </w:r>
      <w:r>
        <w:rPr>
          <w:b/>
        </w:rPr>
        <w:t>A)</w:t>
      </w:r>
      <w:r>
        <w:t xml:space="preserve"> is displayed in Figure </w:t>
      </w:r>
      <w:r>
        <w:rPr>
          <w:b/>
        </w:rPr>
        <w:t>¿fig:model_results?</w:t>
      </w:r>
      <w:r>
        <w:rPr>
          <w:rFonts w:ascii="Times New Roman" w:hAnsi="Times New Roman" w:cs="Times New Roman"/>
        </w:rPr>
        <w:t>‌</w:t>
      </w:r>
      <w:r>
        <w:t>a and Figure </w:t>
      </w:r>
      <w:r>
        <w:rPr>
          <w:b/>
        </w:rPr>
        <w:t>¿fig:model_tracers?</w:t>
      </w:r>
      <w:r>
        <w:rPr>
          <w:rFonts w:ascii="Times New Roman" w:hAnsi="Times New Roman" w:cs="Times New Roman"/>
        </w:rPr>
        <w:t>‌</w:t>
      </w:r>
      <w:r>
        <w:t>a,. The model begins at 24 Ma, corresponding to the time of opening of the Mendocino slab window under southern California [</w:t>
      </w:r>
      <w:r>
        <w:rPr>
          <w:i/>
        </w:rPr>
        <w:t>Wilson et al.</w:t>
      </w:r>
      <w:r>
        <w:t xml:space="preserve">, 2005]. A steady-state profile through the crust is truncated by a mantle adiabat to simulate direct contact with the ascended asthenosphere (for 0-6 Myr), after which the domain relaxes conductively to the conclusion of the model. Previous modeling by </w:t>
      </w:r>
      <w:r>
        <w:rPr>
          <w:i/>
        </w:rPr>
        <w:t>Erkan and Blackwell</w:t>
      </w:r>
      <w:r>
        <w:t xml:space="preserve"> [2008] suggests that this scenario yields geotherms too hot to correspond to the modern regional geotherm. We confirm this assessment, finding that this scenario produces  extremely "hot" geotherms that are above the stability of spinel lherzolite for much of the temperature domain of interest [Figure </w:t>
      </w:r>
      <w:r>
        <w:rPr>
          <w:b/>
        </w:rPr>
        <w:t>¿fig:model_comparison?</w:t>
      </w:r>
      <w:r>
        <w:t xml:space="preserve">]. </w:t>
      </w:r>
      <w:r>
        <w:rPr>
          <w:b/>
          <w:i/>
          <w:color w:val="FF0000"/>
        </w:rPr>
        <w:t xml:space="preserve">(is the final modeled geotherm really not within the spinel stability field, or simply way off the thermobarometrically determined xenolith geotherm, or both? Not clear about spinel field, if you compare model plot to figure 18 plot. I did not think that there was such a strong T control of the spinel field. Seems like Model A does not recover or xeno P-T geotherm, nor does it produce the seismically determined depth the lithos-astheno boundary-previous refs. Not sure about spinel field-double check) </w:t>
      </w:r>
    </w:p>
    <w:p w14:paraId="61088116" w14:textId="77777777" w:rsidR="00486119" w:rsidRDefault="00486119" w:rsidP="00486119">
      <w:pPr>
        <w:pStyle w:val="Heading4"/>
      </w:pPr>
      <w:bookmarkStart w:id="37" w:name="stalled-slab"/>
      <w:bookmarkEnd w:id="37"/>
      <w:r>
        <w:t>Stalled slab</w:t>
      </w:r>
    </w:p>
    <w:p w14:paraId="1E4D0934" w14:textId="77777777" w:rsidR="00486119" w:rsidRDefault="00486119" w:rsidP="00486119">
      <w:pPr>
        <w:pStyle w:val="FirstParagraph"/>
      </w:pPr>
      <w:r>
        <w:t xml:space="preserve">The geologic context of the stalled slab scenario is shown in Figure 21B, and our thermal modeling of this scenario (Model group </w:t>
      </w:r>
      <w:r>
        <w:rPr>
          <w:b/>
        </w:rPr>
        <w:t>B)</w:t>
      </w:r>
      <w:r>
        <w:t xml:space="preserve"> is displayed in Figure </w:t>
      </w:r>
      <w:r>
        <w:rPr>
          <w:b/>
        </w:rPr>
        <w:t>¿fig:model_results?</w:t>
      </w:r>
      <w:r>
        <w:rPr>
          <w:rFonts w:ascii="Times New Roman" w:hAnsi="Times New Roman" w:cs="Times New Roman"/>
        </w:rPr>
        <w:t>‌</w:t>
      </w:r>
      <w:r>
        <w:t>b and Figure </w:t>
      </w:r>
      <w:r>
        <w:rPr>
          <w:b/>
        </w:rPr>
        <w:t>¿fig:model_tracers?</w:t>
      </w:r>
      <w:r>
        <w:rPr>
          <w:rFonts w:ascii="Times New Roman" w:hAnsi="Times New Roman" w:cs="Times New Roman"/>
        </w:rPr>
        <w:t>‌</w:t>
      </w:r>
      <w:r>
        <w:t>b,</w:t>
      </w:r>
      <w:r>
        <w:rPr>
          <w:b/>
          <w:i/>
        </w:rPr>
        <w:t>NEW TEXT HERE:</w:t>
      </w:r>
      <w:r>
        <w:t xml:space="preserve"> tracks the potential thermal structure of oceanic plates stalled under the forearc at successive times. Each run begins at a specified time with the subduction of oceanic lithosphere assigned an initial thermal structure corresponding to the Global Depth and Heat model [</w:t>
      </w:r>
      <w:r>
        <w:rPr>
          <w:i/>
        </w:rPr>
        <w:t>Stein and Stein</w:t>
      </w:r>
      <w:r>
        <w:t>, 1992] for oceanic lithosphere of qa given age of oceanic crust.</w:t>
      </w:r>
    </w:p>
    <w:p w14:paraId="0C66CC10" w14:textId="77777777" w:rsidR="00486119" w:rsidRPr="00ED13CA" w:rsidRDefault="00486119" w:rsidP="00486119">
      <w:pPr>
        <w:pStyle w:val="BodyText"/>
        <w:rPr>
          <w:b/>
          <w:i/>
          <w:color w:val="FF0000"/>
        </w:rPr>
      </w:pPr>
      <w:r>
        <w:lastRenderedPageBreak/>
        <w:t xml:space="preserve">The "Monterey plate" scenario is a subset of these models entailing hypothetical northward lateral translation on a low-dipping subduction megathrust. Neglecting shear heating (which appears to be minor, e.g. </w:t>
      </w:r>
      <w:r>
        <w:rPr>
          <w:i/>
        </w:rPr>
        <w:t>Kidder et al.</w:t>
      </w:r>
      <w:r>
        <w:t xml:space="preserve"> [2013]), this scenario can be modeled as a young endmember stalled-slab scenario, and is shown as the youngest model of </w:t>
      </w:r>
      <w:r>
        <w:rPr>
          <w:b/>
        </w:rPr>
        <w:t>B</w:t>
      </w:r>
      <w:r>
        <w:t>. Potential Monterey Plate mantle lithosphere beneath Crystal Knob would have begun its generation as an oceanic plate (emplaced under the ridge-</w:t>
      </w:r>
      <w:r>
        <w:rPr>
          <w:b/>
          <w:i/>
          <w:color w:val="FF0000"/>
        </w:rPr>
        <w:t>get ALL references to oceanic lithosphere being “emplaced under spreading ridge” OUT of this manuscript-it is conceptually wrong!</w:t>
      </w:r>
      <w:r>
        <w:t>) at 27 Ma (corresponding to the chron 7 magnetic anomaly) and subducted shortly thereafter [</w:t>
      </w:r>
      <w:r>
        <w:rPr>
          <w:i/>
        </w:rPr>
        <w:t>Atwater and Stock</w:t>
      </w:r>
      <w:r>
        <w:t xml:space="preserve">, 1998; </w:t>
      </w:r>
      <w:r>
        <w:rPr>
          <w:i/>
        </w:rPr>
        <w:t>Wilson et al.</w:t>
      </w:r>
      <w:r>
        <w:t>, 2005].</w:t>
      </w:r>
      <w:r>
        <w:rPr>
          <w:b/>
          <w:i/>
          <w:color w:val="FF0000"/>
        </w:rPr>
        <w:t xml:space="preserve">(I do not see 27 Ma, nor anything that adds up to 27 Ma on Figs. 22. I see that 22 + 5 = 27 on Fig. 23, but Figure 22 and its caption must stand on their own. The caption of fig. 22 has very little useful information that can be correlated to the plots. In Figure 22-B you cannot decipher which is the age of subduction or age of lithosphere being subducted. On B, what is the difference between Tend and FINAL 1.65 Ma </w:t>
      </w:r>
    </w:p>
    <w:p w14:paraId="5EAF2FD1" w14:textId="77777777" w:rsidR="00486119" w:rsidRDefault="00486119" w:rsidP="00486119">
      <w:pPr>
        <w:pStyle w:val="BodyText"/>
      </w:pPr>
      <w:r>
        <w:t xml:space="preserve">In addition to the Monterey plate scenario, a series of older cooling scenarios are modeled, representing a wide range of potential timings for backstepping of the subduction megathrust and underplating of a slice of mantle lithosphere. Covarying subduction time and age of oceanic crust are constrained by </w:t>
      </w:r>
      <w:r>
        <w:rPr>
          <w:i/>
        </w:rPr>
        <w:t>Seton et al.</w:t>
      </w:r>
      <w:r>
        <w:t xml:space="preserve"> [2012] and represent different phases of Farallon plate subduction beneath the coast of Southern California. Though these scenarios represent plausible thermal histories, only the "Monterey plate" construction can be tied to geodynamic and geological evidence of a specific episode of subduction instability.</w:t>
      </w:r>
    </w:p>
    <w:p w14:paraId="01CA5300" w14:textId="77777777" w:rsidR="00486119" w:rsidRDefault="00486119" w:rsidP="00486119">
      <w:pPr>
        <w:pStyle w:val="BodyText"/>
      </w:pPr>
      <w:r>
        <w:t>These scenarios result in cooler geotherms than the shallow slab window underplating, (falling within the spinel stability field</w:t>
      </w:r>
      <w:r>
        <w:rPr>
          <w:b/>
          <w:i/>
          <w:color w:val="FF0000"/>
        </w:rPr>
        <w:t>-Don’t all of your modeled geotherms in a-c fall in the spinel stability field? Isn’t it the thermobarometricallt determined geotherm that we are testing for here, and not the spinel stability field?)</w:t>
      </w:r>
      <w:r>
        <w:t xml:space="preserve"> at the temperature of xenolith entrainment [Figure </w:t>
      </w:r>
      <w:r>
        <w:rPr>
          <w:b/>
        </w:rPr>
        <w:t>¿fig:model_comparison?</w:t>
      </w:r>
      <w:r>
        <w:t>]. The Monterey plate subduction scenario predicts a modern geotherm that coincides with the entrainment constraints on the Crystal Knob xenoliths.</w:t>
      </w:r>
    </w:p>
    <w:p w14:paraId="49DED3F5" w14:textId="77777777" w:rsidR="00486119" w:rsidRDefault="00486119" w:rsidP="00486119">
      <w:pPr>
        <w:pStyle w:val="Heading4"/>
      </w:pPr>
      <w:bookmarkStart w:id="38" w:name="late-cretaceous-stalled-slab"/>
      <w:bookmarkEnd w:id="38"/>
      <w:r>
        <w:t>Late-Cretaceous mantle nappe underplating</w:t>
      </w:r>
    </w:p>
    <w:p w14:paraId="04763740" w14:textId="77777777" w:rsidR="00486119" w:rsidRDefault="00486119" w:rsidP="00486119">
      <w:pPr>
        <w:pStyle w:val="BodyText"/>
      </w:pPr>
      <w:r>
        <w:t>The geologic context of the mantle nappe underplating scenario is shown in Figure 21C, and our thermal modeling of this scenario (Model group C) is displayed in Figure </w:t>
      </w:r>
      <w:r>
        <w:rPr>
          <w:b/>
        </w:rPr>
        <w:t>¿fig:model_tracers?</w:t>
      </w:r>
      <w:r>
        <w:rPr>
          <w:rFonts w:ascii="Times New Roman" w:hAnsi="Times New Roman" w:cs="Times New Roman"/>
        </w:rPr>
        <w:t>‌</w:t>
      </w:r>
      <w:r>
        <w:t>c and Figure </w:t>
      </w:r>
      <w:r>
        <w:rPr>
          <w:b/>
        </w:rPr>
        <w:t>¿fig:model_results?</w:t>
      </w:r>
      <w:r>
        <w:rPr>
          <w:rFonts w:ascii="Times New Roman" w:hAnsi="Times New Roman" w:cs="Times New Roman"/>
        </w:rPr>
        <w:t>‌</w:t>
      </w:r>
      <w:r>
        <w:t xml:space="preserve">. This scenario initiates in a similar fashion as the older-age lithosphere runs for the stalled slab scenario (Fig. 22B) with the oceanic mantle forming under the Pacific-Farallon spreading ridge in the Late Cretaceous, thermally maturing to form a mantle lithosphere lid during oceanic plate transport, and then subducting beneath the SW Cordilleran margin later in the Cretaceous. Thus the initial conditions and thermal evolution of this (C) scenario are qualitatively similar to the older models of </w:t>
      </w:r>
      <w:r>
        <w:rPr>
          <w:b/>
        </w:rPr>
        <w:t>B</w:t>
      </w:r>
      <w:r>
        <w:t xml:space="preserve">, except that this scenario has more crustal geological constraints that pertain to its subduction history. In model C the </w:t>
      </w:r>
      <w:r>
        <w:rPr>
          <w:i/>
        </w:rPr>
        <w:t>Royden</w:t>
      </w:r>
      <w:r>
        <w:t xml:space="preserve"> [1993] subduction </w:t>
      </w:r>
      <w:r>
        <w:rPr>
          <w:b/>
          <w:i/>
          <w:color w:val="FF0000"/>
        </w:rPr>
        <w:t>(or forearc??)</w:t>
      </w:r>
      <w:r>
        <w:t xml:space="preserve"> geotherm is tied to </w:t>
      </w:r>
      <w:r>
        <w:lastRenderedPageBreak/>
        <w:t xml:space="preserve">a temperature constraint of 715ºC at 25 km depth based on garnet-biotite thermometry of Salinia granites that lie tectonically above the subduction complex, and 600ºC at 30 km depth based on </w:t>
      </w:r>
      <w:r w:rsidRPr="004F4A9D">
        <w:rPr>
          <w:b/>
          <w:i/>
          <w:color w:val="FF0000"/>
        </w:rPr>
        <w:t>?fill in and check values?</w:t>
      </w:r>
      <w:r>
        <w:t xml:space="preserve"> thermobarometry determined on proximally underplated schist of Sierra de Salinas [</w:t>
      </w:r>
      <w:r>
        <w:rPr>
          <w:i/>
        </w:rPr>
        <w:t>Ducea et al.</w:t>
      </w:r>
      <w:r>
        <w:t xml:space="preserve">, 2003b; </w:t>
      </w:r>
      <w:r>
        <w:rPr>
          <w:i/>
        </w:rPr>
        <w:t>Kidder and Ducea</w:t>
      </w:r>
      <w:r>
        <w:t>, 2006].</w:t>
      </w:r>
    </w:p>
    <w:p w14:paraId="4632432E" w14:textId="77777777" w:rsidR="00486119" w:rsidRPr="00F712CF" w:rsidRDefault="00486119" w:rsidP="00486119">
      <w:pPr>
        <w:pStyle w:val="FirstParagraph"/>
      </w:pPr>
      <w:r>
        <w:t>In Model C the maximum age of subduction and underplating is taken as ca. 70 Ma, based on the youngest ages of the Sierra de Salinas/Nacimiento Franciscan subduction complex [</w:t>
      </w:r>
      <w:r>
        <w:rPr>
          <w:i/>
        </w:rPr>
        <w:t>Barth et al.</w:t>
      </w:r>
      <w:r>
        <w:t xml:space="preserve">, 2003; Ducea et al., 2009; </w:t>
      </w:r>
      <w:r>
        <w:rPr>
          <w:i/>
        </w:rPr>
        <w:t>Chapman</w:t>
      </w:r>
      <w:r>
        <w:t>, 2016]. Seafloor being subducted at that time was 40 Myr old [</w:t>
      </w:r>
      <w:r>
        <w:rPr>
          <w:i/>
        </w:rPr>
        <w:t>Liu et al.</w:t>
      </w:r>
      <w:r>
        <w:t xml:space="preserve">, 2010; </w:t>
      </w:r>
      <w:r>
        <w:rPr>
          <w:i/>
        </w:rPr>
        <w:t>Seton et al.</w:t>
      </w:r>
      <w:r>
        <w:t xml:space="preserve">, 2012]. In this tectonic scenario (Figs. 20 and 21c) Farallon oceanic lithosphere continued to subduct after mantle nappe detachment until the Pacific-Farallon spreading ridge encountered the trench after ~50 Myr. In the thermal model (Fig. 22) the underplated mantle nappe(s) is cooled beneath the forearc for 50 Myr and then its geotherm is perturbed by the underplating of asthenosphere for a period of 0 to 6 Myr within an ~80 km deep slab window. </w:t>
      </w:r>
      <w:r>
        <w:rPr>
          <w:color w:val="FF0000"/>
        </w:rPr>
        <w:t xml:space="preserve">( </w:t>
      </w:r>
      <w:r>
        <w:rPr>
          <w:b/>
          <w:i/>
          <w:color w:val="FF0000"/>
        </w:rPr>
        <w:t>I assume that the four branches in the geotherm at the bottom of B-18 Ma are the perturbed geotherm for different cumulative time steps of ~ 2 Myr each; but they do not directly correlate to the 2 Myr steps that you show in Figure 22c. Also, there is no mention of the purple geotherm that has a sharp kink in it. This is a problem. Like in the Stalled Slab text, you need to explicitly state what each step of the model does, as it relates in detail to Figures 22 and 23. Do not leave anything for the reader to guess at! If you do, this entire section will be thrown out by reviewers and editor, if it were to even get past Mihai and Peter!)</w:t>
      </w:r>
    </w:p>
    <w:p w14:paraId="114806A4" w14:textId="77777777" w:rsidR="00486119" w:rsidRPr="000D5348" w:rsidRDefault="00486119" w:rsidP="00486119">
      <w:pPr>
        <w:pStyle w:val="BodyText"/>
        <w:rPr>
          <w:b/>
          <w:i/>
        </w:rPr>
      </w:pPr>
      <w:r>
        <w:t>Figure Figure </w:t>
      </w:r>
      <w:r>
        <w:rPr>
          <w:b/>
        </w:rPr>
        <w:t>¿fig:model_results?</w:t>
      </w:r>
      <w:r>
        <w:rPr>
          <w:rFonts w:ascii="Times New Roman" w:hAnsi="Times New Roman" w:cs="Times New Roman"/>
        </w:rPr>
        <w:t>‌</w:t>
      </w:r>
      <w:r>
        <w:t>c, panel 2 correctly captures the thermobarometric constraints and inverted metamorphic gradient recorded by subduction-channel schists for this episode of subduction [</w:t>
      </w:r>
      <w:r>
        <w:rPr>
          <w:i/>
        </w:rPr>
        <w:t>Kidder et al.</w:t>
      </w:r>
      <w:r>
        <w:t xml:space="preserve">, 2013; </w:t>
      </w:r>
      <w:r>
        <w:rPr>
          <w:i/>
        </w:rPr>
        <w:t>Kidder and Ducea</w:t>
      </w:r>
      <w:r>
        <w:t xml:space="preserve">, 2006], validating our approach to calculating the forearc geotherm. </w:t>
      </w:r>
      <w:r>
        <w:rPr>
          <w:b/>
          <w:i/>
        </w:rPr>
        <w:t>(Does our modeling “correctly capture” the PT constraints and inverted gradient, or did we force Rodyden’s geotherm through these points as stated above? Please clarity)</w:t>
      </w:r>
      <w:r>
        <w:t>These lithologically-constrained high subduction temperatures make little difference to the final thermal structure of the mantle lithosphere (Figure </w:t>
      </w:r>
      <w:r>
        <w:rPr>
          <w:b/>
        </w:rPr>
        <w:t>¿fig:model_tracers?</w:t>
      </w:r>
      <w:r>
        <w:rPr>
          <w:rFonts w:ascii="Times New Roman" w:hAnsi="Times New Roman" w:cs="Times New Roman"/>
        </w:rPr>
        <w:t>‌</w:t>
      </w:r>
      <w:r>
        <w:t xml:space="preserve">c. When not reheated by a deep slab window, the Cretaceous underplating scenario has a similar final thermal structure to the longest-running stalled slab scenarios in </w:t>
      </w:r>
      <w:r>
        <w:rPr>
          <w:b/>
        </w:rPr>
        <w:t>B</w:t>
      </w:r>
      <w:r>
        <w:t>. This reflects the model's basic correspondence with a generalized Farallon plate mantle lithosphere underplating event of similar age. High subduction-channel temperatures experienced during Late Cretaceous flat slab subduction and schist metamorphism did not have a long-lasting impact on the thermal structure of the margin. Thus, underplating by a deep slab window during the Miocene is required for these scenarios to produce warm mantle lithosphere.</w:t>
      </w:r>
    </w:p>
    <w:p w14:paraId="13338DA2" w14:textId="77777777" w:rsidR="00486119" w:rsidRDefault="00486119" w:rsidP="00486119">
      <w:pPr>
        <w:pStyle w:val="Heading2"/>
      </w:pPr>
      <w:bookmarkStart w:id="39" w:name="model-sensitivity-and-bias"/>
      <w:bookmarkEnd w:id="39"/>
      <w:r>
        <w:lastRenderedPageBreak/>
        <w:t>Model sensitivity and bias</w:t>
      </w:r>
    </w:p>
    <w:p w14:paraId="3BCD4157" w14:textId="77777777" w:rsidR="00486119" w:rsidRDefault="00486119" w:rsidP="00486119">
      <w:pPr>
        <w:pStyle w:val="FirstParagraph"/>
      </w:pPr>
      <w:r>
        <w:t xml:space="preserve">Generally, changes in model parameters such as </w:t>
      </w:r>
      <w:r>
        <w:rPr>
          <w:b/>
          <w:i/>
        </w:rPr>
        <w:t>(list a couple of prime examples)</w:t>
      </w:r>
      <w:r>
        <w:t xml:space="preserve"> do not impact the relative results for modeled scenarios, due to the consistent lithologic structure of the model domains.</w:t>
      </w:r>
    </w:p>
    <w:p w14:paraId="4C507701" w14:textId="77777777" w:rsidR="00486119" w:rsidRPr="0092332E" w:rsidRDefault="00486119" w:rsidP="00486119">
      <w:pPr>
        <w:pStyle w:val="BodyText"/>
        <w:rPr>
          <w:b/>
          <w:i/>
        </w:rPr>
      </w:pPr>
      <w:r>
        <w:t xml:space="preserve">Due to widely varying timescale of equilibration for modeled scenarios in groups </w:t>
      </w:r>
      <w:r>
        <w:rPr>
          <w:b/>
        </w:rPr>
        <w:t>B</w:t>
      </w:r>
      <w:r>
        <w:t xml:space="preserve"> and </w:t>
      </w:r>
      <w:r>
        <w:rPr>
          <w:b/>
        </w:rPr>
        <w:t>C</w:t>
      </w:r>
      <w:r>
        <w:t>, the model is sensitive to assumptions about steady-state cooling of the oceanic mantle lithosphere. The choice of the "GDH" model to track the evolution of the suboceanic thermal structure is an important control on the scale of temperature variation in Figure </w:t>
      </w:r>
      <w:r>
        <w:rPr>
          <w:b/>
        </w:rPr>
        <w:t>¿fig:model_tracers?</w:t>
      </w:r>
      <w:r>
        <w:rPr>
          <w:rFonts w:ascii="Times New Roman" w:hAnsi="Times New Roman" w:cs="Times New Roman"/>
        </w:rPr>
        <w:t>‌</w:t>
      </w:r>
      <w:r>
        <w:t>b. Though GDH is well-calibrated, oceanic cooling models tend to overestimate the heat flow from young oceanic plates [</w:t>
      </w:r>
      <w:r>
        <w:rPr>
          <w:i/>
        </w:rPr>
        <w:t>Stein</w:t>
      </w:r>
      <w:r>
        <w:t xml:space="preserve">, 1995], potentially yielding higher temperatures for the younger scenarios of </w:t>
      </w:r>
      <w:r>
        <w:rPr>
          <w:b/>
        </w:rPr>
        <w:t>B</w:t>
      </w:r>
      <w:r>
        <w:t>, including the Monterey plate scenario.</w:t>
      </w:r>
      <w:r>
        <w:rPr>
          <w:b/>
          <w:i/>
        </w:rPr>
        <w:t>(Does this mean that the younger (39-21 Ma) geotherms in B-Final could be too high, and if so we should state so here)</w:t>
      </w:r>
    </w:p>
    <w:p w14:paraId="45F23762" w14:textId="77777777" w:rsidR="00486119" w:rsidRDefault="00486119" w:rsidP="00486119">
      <w:pPr>
        <w:pStyle w:val="BodyText"/>
      </w:pPr>
      <w:r>
        <w:t xml:space="preserve">Another potentially confounding factor not modeled in </w:t>
      </w:r>
      <w:r w:rsidRPr="0092332E">
        <w:t>scenario</w:t>
      </w:r>
      <w:r>
        <w:t xml:space="preserve">  </w:t>
      </w:r>
      <w:r>
        <w:rPr>
          <w:b/>
          <w:i/>
        </w:rPr>
        <w:t>(</w:t>
      </w:r>
      <w:r w:rsidRPr="0092332E">
        <w:t>s</w:t>
      </w:r>
      <w:r>
        <w:t xml:space="preserve"> </w:t>
      </w:r>
      <w:r>
        <w:rPr>
          <w:b/>
        </w:rPr>
        <w:t>B</w:t>
      </w:r>
      <w:r>
        <w:t xml:space="preserve"> and </w:t>
      </w:r>
      <w:r>
        <w:rPr>
          <w:b/>
          <w:i/>
        </w:rPr>
        <w:t>by definition this is not the case for B, the slab has stalled, ending subduction)</w:t>
      </w:r>
      <w:r>
        <w:t xml:space="preserve"> </w:t>
      </w:r>
      <w:r>
        <w:rPr>
          <w:b/>
        </w:rPr>
        <w:t>C</w:t>
      </w:r>
      <w:r>
        <w:t xml:space="preserve"> is the thermal effects of continued subduction beneath the underplated mantle nappe(s). After rollback and underplating of the modeled section of oceanic mantle lithosphere, a downgoing slab at depth could, depending on its age differential cool the forearc lithosphere from below However, this effect is considered minimal and diminishing over model time due to the progressive subduction of younger, hotter oceanic lithosphere. Reconstructions of the Pacific-Farallon spreading ridge history show progressively younger oceanic lithosphere entering the SW Cordilleran subduction zone between ca. 70-30 Ma at a rate of ~-1Myr/Ma (Atwater and Stock, 1998; Liu et al., 2009; Seton et al., 2010). This factor coupled with slab window emplacement starting at ca. 24 Ma leads to the interpretation that cooling of the underplated mantle nappe(s) from below by continued subduction was of second order significance.</w:t>
      </w:r>
    </w:p>
    <w:p w14:paraId="78437228" w14:textId="77777777" w:rsidR="00486119" w:rsidRDefault="00486119" w:rsidP="00486119">
      <w:pPr>
        <w:pStyle w:val="BodyText"/>
      </w:pPr>
      <w:r>
        <w:t>Surface erosion is not modeled, but may bias the results. Any erosion will result in higher apparent heat flow values and increased geotherm convexity, as heat is advected from the top of the model domain by material removal [</w:t>
      </w:r>
      <w:r>
        <w:rPr>
          <w:i/>
        </w:rPr>
        <w:t>England and Molnar</w:t>
      </w:r>
      <w:r>
        <w:t xml:space="preserve">, 1990; </w:t>
      </w:r>
      <w:r>
        <w:rPr>
          <w:i/>
        </w:rPr>
        <w:t>Mancktelow and Grasemann</w:t>
      </w:r>
      <w:r>
        <w:t>, 1997]. Geologic constraints suggest that 15-20 km of exhumation/erosion is likely to have occurred in a major pulse of unroofing coincident with flat-slab underplating and rollback in the Cretaceous [</w:t>
      </w:r>
      <w:r>
        <w:rPr>
          <w:i/>
        </w:rPr>
        <w:t>Chapman et al.</w:t>
      </w:r>
      <w:r>
        <w:t xml:space="preserve">, 2012; </w:t>
      </w:r>
      <w:r>
        <w:rPr>
          <w:i/>
        </w:rPr>
        <w:t>Saleeby</w:t>
      </w:r>
      <w:r>
        <w:t>, 2003], and is thus likely to disproportionately affect the older models. The lack of erosion in the model framework biases towards predicting lower geothermal gradient overall. In terms of the slab window and underplated Monterey plate scenarios (A and B models), this effect would push the final geotherm beyond, or at the limit of the xenolith thermobarometry (Fig. 22a and b). In terms of the underplated mantle nappe(s) scenario (model C), this effect would push the final modeled geotherm more into the centroid of the xenolith thermobarometric array (Fig. 22c).</w:t>
      </w:r>
    </w:p>
    <w:p w14:paraId="4E7F5447" w14:textId="77777777" w:rsidR="00486119" w:rsidRDefault="00486119" w:rsidP="00486119">
      <w:pPr>
        <w:pStyle w:val="BodyText"/>
      </w:pPr>
      <w:r>
        <w:lastRenderedPageBreak/>
        <w:t xml:space="preserve">The uncertainties inherent in this model bias the results towards predicting lower-temperature, less-convex geotherms over the model domain. These potential biases are significant when making comparisons with measured values of heat flux and xenolith thermobarometry e.g. </w:t>
      </w:r>
      <w:r>
        <w:rPr>
          <w:b/>
        </w:rPr>
        <w:t>¿fig:model_comparison?</w:t>
      </w:r>
      <w:r>
        <w:t>, which are not subject to these biases. Thus, geotherms predicted by this model might be underestimates for potential mantle temperature at a given depth, especially for the older tectonic scenarios modeled. Additional discussion of these factors can be found in Section 9</w:t>
      </w:r>
      <w:r>
        <w:rPr>
          <w:b/>
          <w:i/>
        </w:rPr>
        <w:t>(Supplementary Data file?)</w:t>
      </w:r>
      <w:r>
        <w:t>.</w:t>
      </w:r>
    </w:p>
    <w:p w14:paraId="05D1096E" w14:textId="77777777" w:rsidR="00486119" w:rsidRDefault="00486119" w:rsidP="00486119">
      <w:pPr>
        <w:pStyle w:val="Heading3"/>
      </w:pPr>
      <w:bookmarkStart w:id="40" w:name="summary-of-model-results"/>
      <w:bookmarkEnd w:id="40"/>
      <w:r>
        <w:t>Summary of model results</w:t>
      </w:r>
    </w:p>
    <w:p w14:paraId="3F636813" w14:textId="77777777" w:rsidR="00486119" w:rsidRDefault="00486119" w:rsidP="00486119">
      <w:pPr>
        <w:pStyle w:val="FirstParagraph"/>
      </w:pPr>
      <w:r>
        <w:t xml:space="preserve">Our thermal modeling predicts much higher temperatures within the mantle lithosphere, and much higher geothermal gradients, for the shallow slab window than for the  stalled-slab or underplated mantle nappe models. The geothermal gradients implied for the shallow slab window scenario are much higher than those suggested by heat flow data in the Coast Ranges, leading </w:t>
      </w:r>
      <w:r>
        <w:rPr>
          <w:i/>
        </w:rPr>
        <w:t>Erkan and Blackwell</w:t>
      </w:r>
      <w:r>
        <w:t xml:space="preserve"> [2008] to favor a stalled slab tectonic scenario. Our modeling further predicts that both the stalled slab and (deep slab window reheated) mantle nappe scenarios recover the xenolith thermobarometrically determined geotherm, while not violating constraints posed by surface heat flow data. The effect of not accounting for exhumation/erosion in our models further pushes the modeled geotherm for the shallow slab window scenario out of the thermobarometrically determined geotherm field, while pushing the Monterey plate endmember of the stalled slab scenario at, or beyond the limit of there thermobarometrically determined field, and the reheated underplated mantle nappe modeled geotherm more precisely within the centroid of the thermobarometricically determined field. Unfortunately the effects of exhumation/erosion are not accounted for in our modeling, nor are the geologic constraints on the temporal relations in exhumation/erosion well enough defined to properly pose within the context of such modeling.</w:t>
      </w:r>
    </w:p>
    <w:p w14:paraId="639C73B2" w14:textId="77777777" w:rsidR="00486119" w:rsidRDefault="00486119" w:rsidP="00486119">
      <w:pPr>
        <w:pStyle w:val="Heading1"/>
      </w:pPr>
      <w:r>
        <w:t>Contemporary lithospheric structure and thermal state</w:t>
      </w:r>
    </w:p>
    <w:p w14:paraId="040F68DB" w14:textId="77777777" w:rsidR="00486119" w:rsidRDefault="00486119" w:rsidP="00486119">
      <w:pPr>
        <w:pStyle w:val="FirstParagraph"/>
      </w:pPr>
      <w:r>
        <w:t>In this section we integrate the results of our thermal modeling with our petrogenetic findings on the Crystal Knob xenoliths, regional crustal structure and evolution, and the timing and map position of xenolith entrainment. Of the three plausible scenarios depicted for the evolution of the sub-Crystal Knob mantle lithosphere in Figure </w:t>
      </w:r>
      <w:r>
        <w:rPr>
          <w:b/>
        </w:rPr>
        <w:t>¿fig:neogene_sections?</w:t>
      </w:r>
      <w:r>
        <w:t xml:space="preserve">, we reject the shallow slab window emplaced asthenosphere case based on our thermal modeling presented above. The Monterey plate stalled slab and underplated Farallon plate mantle nappe cases are equally plausible based on our thermal modeling. Based on a wide spectrum of geologic and geodynamic factors, that were discussed above, we dismiss the notion suggested by </w:t>
      </w:r>
      <w:r>
        <w:rPr>
          <w:i/>
        </w:rPr>
        <w:t>Pikser et al.</w:t>
      </w:r>
      <w:r>
        <w:t xml:space="preserve"> [2012] of a regionally extensive Monterey Plate "dangling slab" extending far to the east of the San Andreas fault.</w:t>
      </w:r>
    </w:p>
    <w:p w14:paraId="5E365054" w14:textId="77777777" w:rsidR="00486119" w:rsidRDefault="00486119" w:rsidP="00486119">
      <w:pPr>
        <w:pStyle w:val="BodyText"/>
      </w:pPr>
      <w:r>
        <w:t>Depending on the original scale of Monterey Plate underthrusting beneath the southern California borderland region [Figure </w:t>
      </w:r>
      <w:r>
        <w:rPr>
          <w:b/>
        </w:rPr>
        <w:t>¿fig:neogene_sections?</w:t>
      </w:r>
      <w:r>
        <w:t xml:space="preserve">], its </w:t>
      </w:r>
      <w:r>
        <w:lastRenderedPageBreak/>
        <w:t>structural integrity following its coupling to borderland transrotational rifting, and on what proportion of the partially subducted plate is now represented by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w:t>
      </w:r>
      <w:r>
        <w:rPr>
          <w:b/>
        </w:rPr>
        <w:t>¿fig:neogene_sections?</w:t>
      </w:r>
      <w:r>
        <w:rPr>
          <w:rFonts w:ascii="Times New Roman" w:hAnsi="Times New Roman" w:cs="Times New Roman"/>
        </w:rPr>
        <w:t>‌</w:t>
      </w:r>
      <w:r>
        <w:t>b.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brittle crustal deformational responses to horizontal shear stresses in the lower crust. Such surface deformation patterns are not expressed for late Cenozoic time north of the Transverse Ranges though. Furthermore, such horizontal translation of a previously underthrust slab offers little in terms of melting mechanisms neither for Neogene nor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14:paraId="64B49E40" w14:textId="77777777" w:rsidR="00486119" w:rsidRDefault="00486119" w:rsidP="00486119">
      <w:pPr>
        <w:pStyle w:val="BodyText"/>
      </w:pPr>
      <w:r>
        <w:t>In Figure </w:t>
      </w:r>
      <w:r>
        <w:rPr>
          <w:b/>
        </w:rPr>
        <w:t>¿fig:neogene_sections?</w:t>
      </w:r>
      <w:r>
        <w:rPr>
          <w:rFonts w:ascii="Times New Roman" w:hAnsi="Times New Roman" w:cs="Times New Roman"/>
        </w:rPr>
        <w:t>‌</w:t>
      </w:r>
      <w:r>
        <w:t>c we show the partially subducted terminus of the Monterey plate bounded to the east by the San Gregorio-Hosgri fault, based on our above discussion of the Figure </w:t>
      </w:r>
      <w:r>
        <w:rPr>
          <w:b/>
        </w:rPr>
        <w:t>¿fig:reconstructions?</w:t>
      </w:r>
      <w:r>
        <w:t xml:space="preserve"> reconstruction. East of the fault lies the Nacimiento Franciscan complex and its tectonic veneer of Salinia nappes (not differentiated on the figure), and its lower crustal oceanic crustal duplex lying tectonically above an underplated Farallon plate mantle nappe. The structural profile shown on Figure </w:t>
      </w:r>
      <w:r>
        <w:rPr>
          <w:b/>
        </w:rPr>
        <w:t>¿fig:neogene_sections?</w:t>
      </w:r>
      <w:r>
        <w:rPr>
          <w:rFonts w:ascii="Times New Roman" w:hAnsi="Times New Roman" w:cs="Times New Roman"/>
        </w:rPr>
        <w:t>‌</w:t>
      </w:r>
      <w:r>
        <w:t>c between the San Andreas and San Gregorio-Hosgri faults was constructed at southern California latitudes in continuity with that of the southernmost Sierra Nevada and adjacent Mojave plateau region [Figure </w:t>
      </w:r>
      <w:r>
        <w:rPr>
          <w:b/>
        </w:rPr>
        <w:t>¿fig:cross_sections?</w:t>
      </w:r>
      <w:r>
        <w:t>; Figure </w:t>
      </w:r>
      <w:r>
        <w:rPr>
          <w:b/>
        </w:rPr>
        <w:t>¿fig:reconstruction?</w:t>
      </w:r>
      <w:r>
        <w:t>]. Partial subduction, or stalling, of the Monterey plate occurred along the outer edge of Franciscan complex, further south than rocks of the Nacimiento belt [Figure </w:t>
      </w:r>
      <w:r>
        <w:rPr>
          <w:b/>
        </w:rPr>
        <w:t>¿fig:reconstruction?</w:t>
      </w:r>
      <w:r>
        <w:t>].</w:t>
      </w:r>
    </w:p>
    <w:p w14:paraId="0027E122" w14:textId="77777777" w:rsidR="00486119" w:rsidRDefault="00486119" w:rsidP="00486119">
      <w:pPr>
        <w:pStyle w:val="BodyText"/>
      </w:pPr>
      <w:r>
        <w:t>Slab window opening beneath the Crystal Knob eruption site is reconstructed to have occurred between ca. 28-23 Ma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with an underlying deep slab window [Figure c].</w:t>
      </w:r>
    </w:p>
    <w:p w14:paraId="14F48DB3" w14:textId="77777777" w:rsidR="00486119" w:rsidRDefault="00486119" w:rsidP="00486119">
      <w:pPr>
        <w:pStyle w:val="Heading2"/>
      </w:pPr>
      <w:r>
        <w:t>Implications of petrologic complexities to thermal state</w:t>
      </w:r>
    </w:p>
    <w:p w14:paraId="04ECD649" w14:textId="77777777" w:rsidR="00486119" w:rsidRDefault="00486119" w:rsidP="00486119">
      <w:pPr>
        <w:pStyle w:val="FirstParagraph"/>
      </w:pPr>
      <w:r>
        <w:t xml:space="preserve">The Crystal Knob xenolith suite shows petrologic variation consistent with reheating from below. As discussed in Section 2.8.2, the LREE disequilibrium seen in several samples (especially CK-4) could be the signature of a fossil heating event not </w:t>
      </w:r>
      <w:r>
        <w:lastRenderedPageBreak/>
        <w:t>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t>
      </w:r>
    </w:p>
    <w:p w14:paraId="0CE57097" w14:textId="77777777" w:rsidR="00486119" w:rsidRDefault="00486119" w:rsidP="00486119">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14:paraId="591D141F" w14:textId="77777777" w:rsidR="00486119" w:rsidRDefault="00486119" w:rsidP="00486119">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14:paraId="4B99CF4C" w14:textId="77777777" w:rsidR="00486119" w:rsidRDefault="00486119" w:rsidP="00486119">
      <w:pPr>
        <w:pStyle w:val="Heading2"/>
      </w:pPr>
      <w:r>
        <w:t>Origin of the Crystal Knob basalt</w:t>
      </w:r>
    </w:p>
    <w:p w14:paraId="66B26116" w14:textId="77777777" w:rsidR="00486119" w:rsidRDefault="00486119" w:rsidP="00486119">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2012] indicate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¿fig:neogene_sections?</w:t>
      </w:r>
      <w:r>
        <w:t>]. Eruption of small-volume basaltic flows of Plio-Pleistocene age occurred elsewhere in the Coast Range belt. This includes the Coyote Lake pipe [Figure </w:t>
      </w:r>
      <w:r>
        <w:rPr>
          <w:b/>
        </w:rPr>
        <w:t>¿fig:context?</w:t>
      </w:r>
      <w:r>
        <w:t xml:space="preserve">], which occurred ~150 km north of Crystal </w:t>
      </w:r>
      <w:r>
        <w:lastRenderedPageBreak/>
        <w:t>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14:paraId="644377F6" w14:textId="77777777" w:rsidR="00486119" w:rsidRDefault="00486119" w:rsidP="00486119">
      <w:pPr>
        <w:pStyle w:val="BodyText"/>
      </w:pPr>
      <w:r>
        <w:t>Distributed shearing and strike-slip juxtaposition of the shallow sub-Monterey plate asthenosphere against underplated Farallon plate lithosphere and its deep slab window asthenosphere along the Hosgri fault Figure </w:t>
      </w:r>
      <w:r>
        <w:rPr>
          <w:b/>
        </w:rPr>
        <w:t>¿fig:neogene_sections?</w:t>
      </w:r>
      <w:r>
        <w:rPr>
          <w:rFonts w:ascii="Times New Roman" w:hAnsi="Times New Roman" w:cs="Times New Roman"/>
        </w:rPr>
        <w:t>‌</w:t>
      </w:r>
      <w:r>
        <w:t>c 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14:paraId="0B5DF296" w14:textId="77777777" w:rsidR="00486119" w:rsidRDefault="00486119" w:rsidP="00486119">
      <w:pPr>
        <w:pStyle w:val="Heading1"/>
      </w:pPr>
      <w:r>
        <w:t>Conclusion</w:t>
      </w:r>
    </w:p>
    <w:p w14:paraId="2E300C48" w14:textId="77777777" w:rsidR="00486119" w:rsidRDefault="00486119" w:rsidP="00486119">
      <w:pPr>
        <w:pStyle w:val="FirstParagraph"/>
      </w:pPr>
      <w:r>
        <w:t>The lithosphere of southern California that was to first order created by Cretaceous convergent margin tectonics was severely structurally overprinted by two subsequent tectonic regimes with the impact and subduction of the Shatsky Rise large igneous province conjugate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profoundly affected by both of these episodes of deformation. The Crystal Knob suite is sourced along a depth gradient from ~45-70 km depth, and isotopic constraints show that it originates from the convecting mantle, which is typical of mid-ocean ridges or shallowly ascended asthenosphere. Samples are variably depleted, and trace-element re-enrichment (and a single example of likely major-element assimilation) suggests interaction with low-volume melts after the formation and initial thermal equilibration of this mantle lithosphere.</w:t>
      </w:r>
    </w:p>
    <w:p w14:paraId="0453EAF2" w14:textId="77777777" w:rsidR="00486119" w:rsidRPr="00CC50B9" w:rsidRDefault="00486119" w:rsidP="00486119">
      <w:pPr>
        <w:pStyle w:val="BodyText"/>
        <w:rPr>
          <w:b/>
          <w:i/>
        </w:rPr>
      </w:pPr>
      <w:r>
        <w:t xml:space="preserve">Major and trace element, and radiogenic isotopic data for the Crystal Knob xenolith suite equally satisfy the first order geochemical requisites of the shallow slab window, stalled slab and Farallon plate mantle nappe tectonic scenarios; while xenolith thermobarometric data tested against thermal modeling, and geochemical subtleties of depletions and re-enrichments add some discriminating factors </w:t>
      </w:r>
      <w:r>
        <w:lastRenderedPageBreak/>
        <w:t xml:space="preserve">between these scenarios. The shallow slab window underplating scenario predicts extremely hot geotherms that are untenable for the xenolith constraints of this study. The stalled slab and mantle nappe scenarios appear equally plausible in terms of the thermal modeling satisfying xenolith thermobarometric constraints, although by factoring in the poorly constrained effects of exhumation/erosion the Monterey plate stalled slab endmember only marginally fits the thermobarometric constraints. This, in conjunction with a number of crustal geologic constraints leads us to favor the underplated Farallon plate mantle nappe scenario. </w:t>
      </w:r>
      <w:r>
        <w:rPr>
          <w:b/>
          <w:i/>
        </w:rPr>
        <w:t>(Daven, in regard to the phrase that I just replaced above, I do not see any better fit of the Monterey plate modeled geotherm than the mantle nappe modeled geotherm. On Fig. 22B and C I see a similar overlap with the xeno P-T field, just a different vertical position. If we were to factor in a small shift for the two final modeled geotherms due to the effects of exhumation/erosion it seems like the mantle nappe modle would be even a better fit, while the Monterey model would miss most of the P-T field)</w:t>
      </w:r>
    </w:p>
    <w:p w14:paraId="2268EFA7" w14:textId="77777777" w:rsidR="00486119" w:rsidRDefault="00486119" w:rsidP="00486119">
      <w:pPr>
        <w:pStyle w:val="BodyText"/>
      </w:pPr>
    </w:p>
    <w:p w14:paraId="2EBE93D0" w14:textId="77777777" w:rsidR="00486119" w:rsidRDefault="00486119" w:rsidP="00486119">
      <w:pPr>
        <w:pStyle w:val="BodyText"/>
      </w:pPr>
      <w:r>
        <w:t>This preferred scenario for the origin of the mantle lithosphere sampled by Crystal Knob xenoliths matches a host of geologic constraints demonstrating slab rollback and regional crustal extension during the Late Cretaceous as the Shatsky Rise conjugate subducted deeper into the mantle following its initial collision and shallow subduction beneath the southern California convergent margin. This episode constructed the mantle lithosphere beneath the Mojave province by mantle duplx formation as the Farallon Plae retreated[</w:t>
      </w:r>
      <w:r>
        <w:rPr>
          <w:i/>
        </w:rPr>
        <w:t>Luffi et al.</w:t>
      </w:r>
      <w:r>
        <w:t>, 2009], and in sequence appears to have built the outboard mantle lithosphere beneath the Crystal Knob eruption site. The outer toe of this lithosphere scale accretionary belt was subsequently displaced along the San Andeas transform system to its current residence site in the central California coastal region. This displaced package of mantle lithosphere shows a record of lower level reheating convected from the Mendocino slab window that opened in conjunction with the evolution of the San Andreas plate juncture, and further conducted and advected into the base of the previously underplated lithosphere.  Geochemical re-enrichments and abundant dunite cumulate xenoliths and xenocrysts within the Crystal Knob basalt record the percolation of fluids and melts through the lithosphere. These percolating fluids and melts, the highly fractionated Crystal Knob basaltic pipe, and the thermal pulse that reheated the lithospehre can all be attributerd to a deep slab window segment that opened as the Pacific–Farallon ridge encountered the California convergent margin. This adds to a growing body of evidence that much of the structural complexity in the California Coast Ranges is inherited from the Late Cretaceous regime of subduction accretion.</w:t>
      </w:r>
    </w:p>
    <w:p w14:paraId="60396A9A" w14:textId="77777777" w:rsidR="00486119" w:rsidRDefault="00486119" w:rsidP="00486119">
      <w:pPr>
        <w:pStyle w:val="BodyText"/>
      </w:pPr>
      <w:r>
        <w:t xml:space="preserve"> </w:t>
      </w:r>
    </w:p>
    <w:p w14:paraId="15BB8032" w14:textId="77777777" w:rsidR="00486119" w:rsidRDefault="00486119" w:rsidP="00486119">
      <w:pPr>
        <w:pStyle w:val="Heading1"/>
      </w:pPr>
      <w:bookmarkStart w:id="41" w:name="sec:model_supplement"/>
      <w:bookmarkEnd w:id="41"/>
      <w:r>
        <w:lastRenderedPageBreak/>
        <w:t>Supplementary information for modeling setup</w:t>
      </w:r>
    </w:p>
    <w:p w14:paraId="5531C75E" w14:textId="77777777" w:rsidR="00486119" w:rsidRDefault="00486119" w:rsidP="00486119">
      <w:pPr>
        <w:pStyle w:val="Heading2"/>
      </w:pPr>
      <w:bookmarkStart w:id="42" w:name="model-setups"/>
      <w:bookmarkEnd w:id="42"/>
      <w:r>
        <w:t>Model setups</w:t>
      </w:r>
    </w:p>
    <w:p w14:paraId="71BA4CBE" w14:textId="77777777" w:rsidR="00486119" w:rsidRDefault="00486119" w:rsidP="00486119">
      <w:pPr>
        <w:pStyle w:val="FirstParagraph"/>
      </w:pPr>
      <w:r>
        <w:t xml:space="preserve">Standardized model parameters used in the models are justified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 but does not affect the relative temperatures predicted by the geotherms. Radiogenic heat flow for the continental marginal crust is estimated conservatively, and variations result in only minor changes to modeled geotherms across the board.</w:t>
      </w:r>
    </w:p>
    <w:p w14:paraId="131F0EEF" w14:textId="77777777" w:rsidR="00486119" w:rsidRDefault="00486119" w:rsidP="00486119">
      <w:pPr>
        <w:pStyle w:val="Heading3"/>
      </w:pPr>
      <w:bookmarkStart w:id="43" w:name="slab-window-crustal-replacement"/>
      <w:bookmarkEnd w:id="43"/>
      <w:r>
        <w:t>Slab window crustal replacement</w:t>
      </w:r>
    </w:p>
    <w:p w14:paraId="298CAEAF" w14:textId="77777777" w:rsidR="00486119" w:rsidRDefault="00486119" w:rsidP="00486119">
      <w:pPr>
        <w:pStyle w:val="FirstParagraph"/>
      </w:pPr>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The model begins at 24 Ma, corresponding to the time of opening of the Mendocino slab window under southern California [</w:t>
      </w:r>
      <w:r>
        <w:rPr>
          <w:i/>
        </w:rPr>
        <w:t>Wilson et al.</w:t>
      </w:r>
      <w:r>
        <w:t>,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w:t>
      </w:r>
    </w:p>
    <w:p w14:paraId="15162A79" w14:textId="77777777" w:rsidR="00486119" w:rsidRDefault="00486119" w:rsidP="00486119">
      <w:pPr>
        <w:pStyle w:val="Heading3"/>
      </w:pPr>
      <w:bookmarkStart w:id="44" w:name="subduction-and-underplating"/>
      <w:bookmarkEnd w:id="44"/>
      <w:r>
        <w:t>Subduction and underplating</w:t>
      </w:r>
    </w:p>
    <w:p w14:paraId="0E680E98" w14:textId="77777777" w:rsidR="00486119" w:rsidRDefault="00486119" w:rsidP="00486119">
      <w:pPr>
        <w:pStyle w:val="FirstParagraph"/>
      </w:pPr>
      <w:r>
        <w:t xml:space="preserve">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t>
      </w:r>
    </w:p>
    <w:p w14:paraId="49049E42" w14:textId="77777777" w:rsidR="00486119" w:rsidRDefault="00486119" w:rsidP="00486119">
      <w:pPr>
        <w:pStyle w:val="BodyText"/>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t>
      </w:r>
    </w:p>
    <w:p w14:paraId="513816ED" w14:textId="77777777" w:rsidR="00486119" w:rsidRDefault="00486119" w:rsidP="00486119">
      <w:pPr>
        <w:pStyle w:val="Heading3"/>
      </w:pPr>
      <w:r>
        <w:t>Oceanic geotherm</w:t>
      </w:r>
    </w:p>
    <w:p w14:paraId="6FD470D7" w14:textId="77777777" w:rsidR="00486119" w:rsidRDefault="00486119" w:rsidP="00486119">
      <w:pPr>
        <w:pStyle w:val="FirstParagraph"/>
      </w:pPr>
      <w:r>
        <w:t>For the Neogene stalled Monterey plate and Late Cretaceous Farallon mantle nappe scenarios, the Global Depth and Heat (GDH) model [</w:t>
      </w:r>
      <w:r>
        <w:rPr>
          <w:i/>
        </w:rPr>
        <w:t>Stein and Stein</w:t>
      </w:r>
      <w:r>
        <w:t xml:space="preserve">, 1992] is used to </w:t>
      </w:r>
      <w:r>
        <w:lastRenderedPageBreak/>
        <w:t xml:space="preserve">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w:t>
      </w:r>
    </w:p>
    <w:p w14:paraId="43F9D3C7" w14:textId="77777777" w:rsidR="00486119" w:rsidRDefault="00486119" w:rsidP="00486119">
      <w:pPr>
        <w:pStyle w:val="BodyText"/>
      </w:pPr>
      <w:r>
        <w:t xml:space="preserve">With the GDH model in conjunction with the </w:t>
      </w:r>
      <w:r>
        <w:rPr>
          <w:i/>
        </w:rPr>
        <w:t>Royden</w:t>
      </w:r>
      <w:r>
        <w:t xml:space="preserve"> [1993] subduction model, we predict low temperatures (~235-245 ºC) at the subduction interface for the oldest stalled slabs modeled. For the Monterey Plate scenario (with young oceanic crust) the temperature at the subduction interface is predicted to be 980 ºC.</w:t>
      </w:r>
    </w:p>
    <w:p w14:paraId="623E53E1" w14:textId="77777777" w:rsidR="00486119" w:rsidRDefault="00486119" w:rsidP="00486119">
      <w:pPr>
        <w:pStyle w:val="BodyText"/>
      </w:pPr>
      <w:r>
        <w:t>All oceanic-cooling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¿fig:model_tracers?</w:t>
      </w:r>
      <w:r>
        <w:t>.</w:t>
      </w:r>
    </w:p>
    <w:p w14:paraId="0C24CFBC" w14:textId="77777777" w:rsidR="00486119" w:rsidRDefault="00486119" w:rsidP="00486119">
      <w:pPr>
        <w:pStyle w:val="Heading3"/>
      </w:pPr>
      <w:r>
        <w:t>Supra-subduction geotherm</w:t>
      </w:r>
    </w:p>
    <w:p w14:paraId="7B420F79" w14:textId="77777777" w:rsidR="00486119" w:rsidRDefault="00486119" w:rsidP="00486119">
      <w:pPr>
        <w:pStyle w:val="FirstParagraph"/>
      </w:pPr>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suggest that it is not an important factor [</w:t>
      </w:r>
      <w:r>
        <w:rPr>
          <w:i/>
        </w:rPr>
        <w:t>Kidder et al.</w:t>
      </w:r>
      <w:r>
        <w:t xml:space="preserve">, 2013]. Forearc rock uplift and erosion, as well as accretion and erosion on the subduction megathrust are ignored. In reality, megathrust accretion rates of 0.2-3.6 km/Myr are favored by </w:t>
      </w:r>
      <w:r>
        <w:rPr>
          <w:i/>
        </w:rPr>
        <w:t>Kidder et al.</w:t>
      </w:r>
      <w:r>
        <w:t xml:space="preserve"> [2013] based on the Pelona schist, and some rock uplift is evident for the Coast Ranges.</w:t>
      </w:r>
    </w:p>
    <w:p w14:paraId="30588D4B" w14:textId="77777777" w:rsidR="00486119" w:rsidRDefault="00486119" w:rsidP="00486119">
      <w:pPr>
        <w:pStyle w:val="BodyText"/>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14:paraId="5031454B" w14:textId="77777777" w:rsidR="00486119" w:rsidRDefault="00486119" w:rsidP="00486119">
      <w:pPr>
        <w:pStyle w:val="Heading2"/>
      </w:pPr>
      <w:bookmarkStart w:id="45" w:name="factors-not-incorporated-into-the-model"/>
      <w:bookmarkEnd w:id="45"/>
      <w:r>
        <w:t>Factors not incorporated into the model</w:t>
      </w:r>
    </w:p>
    <w:p w14:paraId="0D3C404A" w14:textId="77777777" w:rsidR="00486119" w:rsidRDefault="00486119" w:rsidP="00486119">
      <w:pPr>
        <w:pStyle w:val="FirstParagraph"/>
      </w:pPr>
      <w:r>
        <w:t xml:space="preserve">Several simplifications are made to create an internally consistent model framework. Subducted oceanic crust is not considered to have distinct thermal properties from the oceanic mantle. Additionally, though there are no reliable </w:t>
      </w:r>
      <w:r>
        <w:lastRenderedPageBreak/>
        <w:t>estimates of the mantle heat flux that cover the model domain, the model is run to great depth to avoid any influence of this uncertainty on the surface geotherm.</w:t>
      </w:r>
    </w:p>
    <w:p w14:paraId="5B7B1BE4" w14:textId="77777777" w:rsidR="00486119" w:rsidRDefault="00486119" w:rsidP="00486119">
      <w:pPr>
        <w:pStyle w:val="Heading3"/>
      </w:pPr>
      <w:bookmarkStart w:id="46" w:name="subduction-zone-rollback"/>
      <w:bookmarkEnd w:id="46"/>
      <w:r>
        <w:t>Subduction zone rollback</w:t>
      </w:r>
    </w:p>
    <w:p w14:paraId="1CE9DED5" w14:textId="77777777" w:rsidR="00486119" w:rsidRDefault="00486119" w:rsidP="00486119">
      <w:pPr>
        <w:pStyle w:val="FirstParagraph"/>
      </w:pPr>
      <w:r>
        <w: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w:t>
      </w:r>
      <w:r>
        <w:rPr>
          <w:b/>
        </w:rPr>
        <w:t>¿fig:neogene_sections?</w:t>
      </w:r>
      <w:r>
        <w:rPr>
          <w:rFonts w:ascii="Times New Roman" w:hAnsi="Times New Roman" w:cs="Times New Roman"/>
        </w:rPr>
        <w:t>‌</w:t>
      </w:r>
      <w:r>
        <w:t>c. Further, although an active subduction interface at depth will cool the mantle lithosphere from below, the subduction of progressively younger crust until cessation at ~27 Ma will yield gradually increasing heat on the subduction interface [</w:t>
      </w:r>
      <w:r>
        <w:rPr>
          <w:i/>
        </w:rPr>
        <w:t>Royden</w:t>
      </w:r>
      <w:r>
        <w:t>, 1993</w:t>
      </w:r>
      <w:r>
        <w:rPr>
          <w:b/>
          <w:i/>
        </w:rPr>
        <w:t>maybe cite Atwater and Stock, 1998 and Seaton et al. 2012 here, particularly if we end up citing Atwater and Stock for the &lt;$0 Ma plausibly stalled lithosphere</w:t>
      </w:r>
      <w:r>
        <w:t xml:space="preserve">]. The models for scenarios </w:t>
      </w:r>
      <w:r>
        <w:rPr>
          <w:b/>
        </w:rPr>
        <w:t>B</w:t>
      </w:r>
      <w:r>
        <w:t xml:space="preserve"> and </w:t>
      </w:r>
      <w:r>
        <w:rPr>
          <w:b/>
        </w:rPr>
        <w:t>C</w:t>
      </w:r>
      <w:r>
        <w:t xml:space="preserve"> Figure </w:t>
      </w:r>
      <w:r>
        <w:rPr>
          <w:b/>
        </w:rPr>
        <w:t>¿fig:model_comparisons?</w:t>
      </w:r>
      <w:r>
        <w:rPr>
          <w:rFonts w:ascii="Times New Roman" w:hAnsi="Times New Roman" w:cs="Times New Roman"/>
        </w:rPr>
        <w:t>‌</w:t>
      </w:r>
      <w:r>
        <w:t>b and c are already near the coolest permitted by our xenolith constraints. As these geotherms are already quite cold, introducing this added complexity will not significantly change the model results. However, Late Creteaceous underplating and other stalled-slab scenarios can be treated as maximum temperatures because of the influence of the subducting slab.</w:t>
      </w:r>
    </w:p>
    <w:p w14:paraId="53166586" w14:textId="77777777" w:rsidR="00486119" w:rsidRDefault="00486119" w:rsidP="00486119">
      <w:pPr>
        <w:pStyle w:val="Heading3"/>
      </w:pPr>
      <w:bookmarkStart w:id="47" w:name="change-in-convergence-rate-of-rotating-m"/>
      <w:bookmarkEnd w:id="47"/>
      <w:r>
        <w:t>Change in convergence rate of rotating microplates</w:t>
      </w:r>
    </w:p>
    <w:p w14:paraId="1D419ED9" w14:textId="77777777" w:rsidR="00486119" w:rsidRDefault="00486119" w:rsidP="00486119">
      <w:pPr>
        <w:pStyle w:val="FirstParagraph"/>
      </w:pPr>
      <w:r>
        <w:t>Potential Monterey Plate mantle lithosphere beneath Crystal Knob would have begun generation under the 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2005], the parcel would take ~3 Myr to reach its final stalled position (~100 km behind the trench) as shown in Figure Figure </w:t>
      </w:r>
      <w:r>
        <w:rPr>
          <w:b/>
        </w:rPr>
        <w:t>¿fig:neogene_sections?</w:t>
      </w:r>
      <w:r>
        <w:rPr>
          <w:rFonts w:ascii="Times New Roman" w:hAnsi="Times New Roman" w:cs="Times New Roman"/>
        </w:rPr>
        <w:t>‌</w:t>
      </w:r>
      <w:r>
        <w:t>b. This is responsible for the kink in the "Age of initial oceanic lithosphere" curve in Figure </w:t>
      </w:r>
      <w:r>
        <w:rPr>
          <w:b/>
        </w:rPr>
        <w:t>¿fig:model_tracers?</w:t>
      </w:r>
      <w:r>
        <w:rPr>
          <w:rFonts w:ascii="Times New Roman" w:hAnsi="Times New Roman" w:cs="Times New Roman"/>
        </w:rPr>
        <w:t>‌</w:t>
      </w:r>
      <w:r>
        <w:t xml:space="preserve">b. </w:t>
      </w:r>
      <w:r w:rsidRPr="00CC50B9">
        <w:rPr>
          <w:b/>
          <w:i/>
          <w:color w:val="FF0000"/>
        </w:rPr>
        <w:t xml:space="preserve">(I do not see any </w:t>
      </w:r>
      <w:r>
        <w:rPr>
          <w:b/>
          <w:i/>
          <w:color w:val="FF0000"/>
        </w:rPr>
        <w:t xml:space="preserve">such </w:t>
      </w:r>
      <w:r w:rsidRPr="00CC50B9">
        <w:rPr>
          <w:b/>
          <w:i/>
          <w:color w:val="FF0000"/>
        </w:rPr>
        <w:t>kink</w:t>
      </w:r>
      <w:r>
        <w:rPr>
          <w:b/>
          <w:i/>
          <w:color w:val="FF0000"/>
        </w:rPr>
        <w:t xml:space="preserve"> in Figurer 23B)</w:t>
      </w:r>
      <w:r>
        <w:t xml:space="preserve">For model simplicity, we do not incorporate this disequilibrium shift into the starting parameters of the </w:t>
      </w:r>
      <w:r>
        <w:rPr>
          <w:i/>
        </w:rPr>
        <w:t>Royden</w:t>
      </w:r>
      <w:r>
        <w:t xml:space="preserve"> [1993] subduction model.</w:t>
      </w:r>
    </w:p>
    <w:p w14:paraId="7977A426" w14:textId="77777777" w:rsidR="00486119" w:rsidRDefault="00486119" w:rsidP="00486119">
      <w:pPr>
        <w:pStyle w:val="Heading3"/>
      </w:pPr>
      <w:bookmarkStart w:id="48" w:name="erosion-of-the-forearc"/>
      <w:bookmarkEnd w:id="48"/>
      <w:r>
        <w:t>Erosion of the forearc</w:t>
      </w:r>
    </w:p>
    <w:p w14:paraId="7DE14448" w14:textId="77777777" w:rsidR="00486119" w:rsidRPr="00CC50B9" w:rsidRDefault="00486119" w:rsidP="00486119">
      <w:pPr>
        <w:pStyle w:val="FirstParagraph"/>
        <w:rPr>
          <w:b/>
          <w:i/>
        </w:rPr>
      </w:pPr>
      <w:r>
        <w:t>Surface erosion after underplating is taken to be zero. Any erosion will result in higher apparent heat flow values and increased geotherm convexity, as heat is advected from the top of the model domain by material removal. Geologic constraints suggest that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xml:space="preserve">, 2003], and is </w:t>
      </w:r>
      <w:r>
        <w:lastRenderedPageBreak/>
        <w:t>thus likely to disproportionately affect the older models. 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xml:space="preserve">, 1990; </w:t>
      </w:r>
      <w:r>
        <w:rPr>
          <w:i/>
        </w:rPr>
        <w:t>Mancktelow and Grasemann</w:t>
      </w:r>
      <w:r>
        <w:t>, 1997]. Thus, these values need to be biased to higher temperatures to accurately capture the relationship between xenolith constraints on the actual temperature and temperatures derived from this modeling. This effect will push the Monterey plate endmember of the stalled slab results near the upper limits of the xenolith thermobrometrically determined geotherm, and the mantle nappe results more through the centroid xenolith geotherm. (</w:t>
      </w:r>
      <w:r>
        <w:rPr>
          <w:b/>
          <w:i/>
        </w:rPr>
        <w:t>Daven, I make this important point in my edits above, and I think we need to state it again here. Is there any back of the envelope calculation that you can derive out of the thermal modeling math that would give a broad quantitative constraint on how large this effect would be if we had 20 km of crust removed rapidly in the latest Cretaceous? If so, we could perhaps add this, and I can get references as to the amount and timing of this early exhumation)</w:t>
      </w:r>
    </w:p>
    <w:p w14:paraId="46056F5F" w14:textId="77777777" w:rsidR="00486119" w:rsidRDefault="00486119" w:rsidP="00486119">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7">
        <w:r>
          <w:rPr>
            <w:rStyle w:val="Hyperlink"/>
          </w:rPr>
          <w:t>10.1029/94jb01555</w:t>
        </w:r>
      </w:hyperlink>
      <w:r>
        <w:t>.</w:t>
      </w:r>
    </w:p>
    <w:p w14:paraId="598E7B08" w14:textId="77777777" w:rsidR="00486119" w:rsidRDefault="00486119" w:rsidP="00486119">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r:id="rId8">
        <w:r>
          <w:rPr>
            <w:rStyle w:val="Hyperlink"/>
          </w:rPr>
          <w:t>10.1130/0091-7613(1991)019&lt;1085:csnnam&gt;2.3.co;2</w:t>
        </w:r>
      </w:hyperlink>
      <w:r>
        <w:t>.</w:t>
      </w:r>
    </w:p>
    <w:p w14:paraId="4A12D4D9" w14:textId="77777777" w:rsidR="00486119" w:rsidRDefault="00486119" w:rsidP="00486119">
      <w:pPr>
        <w:pStyle w:val="Bibliography"/>
      </w:pPr>
      <w:r>
        <w:t>Armstrong, J. T. (1988), Quantitative analysis of silicate and oxide materials: Comparison of monte carlo, zaf, and phi-rho-z procedures, 239–246.</w:t>
      </w:r>
    </w:p>
    <w:p w14:paraId="4F7C54BC" w14:textId="77777777" w:rsidR="00486119" w:rsidRDefault="00486119" w:rsidP="00486119">
      <w:pPr>
        <w:pStyle w:val="Bibliography"/>
      </w:pPr>
      <w:r>
        <w:t>Atwater, T. (1970), Implications of plate tectonics for the cenozoic tectonic evolution of western north america, doi:</w:t>
      </w:r>
      <w:hyperlink r:id="rId9">
        <w:r>
          <w:rPr>
            <w:rStyle w:val="Hyperlink"/>
          </w:rPr>
          <w:t>10.1130/0016-7606(1970)81</w:t>
        </w:r>
      </w:hyperlink>
      <w:r>
        <w:t>.</w:t>
      </w:r>
    </w:p>
    <w:p w14:paraId="6FCB8A35" w14:textId="77777777" w:rsidR="00486119" w:rsidRDefault="00486119" w:rsidP="00486119">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14:paraId="6E821241" w14:textId="77777777" w:rsidR="00486119" w:rsidRDefault="00486119" w:rsidP="00486119">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10">
        <w:r>
          <w:rPr>
            <w:rStyle w:val="Hyperlink"/>
          </w:rPr>
          <w:t>10.1080/00206819809465216</w:t>
        </w:r>
      </w:hyperlink>
      <w:r>
        <w:t>.</w:t>
      </w:r>
    </w:p>
    <w:p w14:paraId="0F034353" w14:textId="77777777" w:rsidR="00486119" w:rsidRDefault="00486119" w:rsidP="00486119">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11">
        <w:r>
          <w:rPr>
            <w:rStyle w:val="Hyperlink"/>
          </w:rPr>
          <w:t>10.1130/b25496.1</w:t>
        </w:r>
      </w:hyperlink>
      <w:r>
        <w:t>.</w:t>
      </w:r>
    </w:p>
    <w:p w14:paraId="0B3A7670" w14:textId="77777777" w:rsidR="00486119" w:rsidRDefault="00486119" w:rsidP="00486119">
      <w:pPr>
        <w:pStyle w:val="Bibliography"/>
      </w:pPr>
      <w:r>
        <w:lastRenderedPageBreak/>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14:paraId="5CDE4B67" w14:textId="77777777" w:rsidR="00486119" w:rsidRDefault="00486119" w:rsidP="00486119">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12">
        <w:r>
          <w:rPr>
            <w:rStyle w:val="Hyperlink"/>
          </w:rPr>
          <w:t>10.1029/94jb02883</w:t>
        </w:r>
      </w:hyperlink>
      <w:r>
        <w:t>.</w:t>
      </w:r>
    </w:p>
    <w:p w14:paraId="56FF8868" w14:textId="77777777" w:rsidR="00486119" w:rsidRDefault="00486119" w:rsidP="00486119">
      <w:pPr>
        <w:pStyle w:val="Bibliography"/>
      </w:pPr>
      <w:r>
        <w:t>Blackwell, D., and M. Richards (2004), Geothermal map of north america, Scale 1:6, 500, 000.</w:t>
      </w:r>
    </w:p>
    <w:p w14:paraId="2420DD64" w14:textId="77777777" w:rsidR="00486119" w:rsidRDefault="00486119" w:rsidP="00486119">
      <w:pPr>
        <w:pStyle w:val="Bibliography"/>
      </w:pPr>
      <w:r>
        <w:t xml:space="preserve">Blake Jr, M. C.,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14:paraId="1BDA167A" w14:textId="77777777" w:rsidR="00486119" w:rsidRDefault="00486119" w:rsidP="00486119">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13">
        <w:r>
          <w:rPr>
            <w:rStyle w:val="Hyperlink"/>
          </w:rPr>
          <w:t>10.1016/S0012-821X(03)00129-8</w:t>
        </w:r>
      </w:hyperlink>
      <w:r>
        <w:t>.</w:t>
      </w:r>
    </w:p>
    <w:p w14:paraId="189D154C" w14:textId="77777777" w:rsidR="00486119" w:rsidRDefault="00486119" w:rsidP="00486119">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r:id="rId14">
        <w:r>
          <w:rPr>
            <w:rStyle w:val="Hyperlink"/>
          </w:rPr>
          <w:t>10.1130/0016-7606(1995)107&lt;0937:TIOPMP&gt;2.3.CO;2</w:t>
        </w:r>
      </w:hyperlink>
      <w:r>
        <w:t>.</w:t>
      </w:r>
    </w:p>
    <w:p w14:paraId="5D46C951" w14:textId="77777777" w:rsidR="00486119" w:rsidRDefault="00486119" w:rsidP="00486119">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15">
        <w:r>
          <w:rPr>
            <w:rStyle w:val="Hyperlink"/>
          </w:rPr>
          <w:t>10.1093/petrology/egp079</w:t>
        </w:r>
      </w:hyperlink>
      <w:r>
        <w:t>.</w:t>
      </w:r>
    </w:p>
    <w:p w14:paraId="7FA617EA" w14:textId="77777777" w:rsidR="00486119" w:rsidRDefault="00486119" w:rsidP="00486119">
      <w:pPr>
        <w:pStyle w:val="Bibliography"/>
      </w:pPr>
      <w:r>
        <w:t xml:space="preserve">Brady, R., M. Ducea, S. Kidder, and J. Saleeby (2006), The distribution of radiogenic heat production as a function of depth in the sierra nevada batholith, california, </w:t>
      </w:r>
      <w:r>
        <w:rPr>
          <w:i/>
        </w:rPr>
        <w:t>Lithos</w:t>
      </w:r>
      <w:r>
        <w:t xml:space="preserve">, </w:t>
      </w:r>
      <w:r>
        <w:rPr>
          <w:i/>
        </w:rPr>
        <w:t>86</w:t>
      </w:r>
      <w:r>
        <w:t>(3-4), 229–244, doi:</w:t>
      </w:r>
      <w:hyperlink r:id="rId16">
        <w:r>
          <w:rPr>
            <w:rStyle w:val="Hyperlink"/>
          </w:rPr>
          <w:t>10.1016/j.lithos.2005.06.003</w:t>
        </w:r>
      </w:hyperlink>
      <w:r>
        <w:t>.</w:t>
      </w:r>
    </w:p>
    <w:p w14:paraId="21F07701" w14:textId="77777777" w:rsidR="00486119" w:rsidRDefault="00486119" w:rsidP="00486119">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14:paraId="211212BE" w14:textId="77777777" w:rsidR="00486119" w:rsidRDefault="00486119" w:rsidP="00486119">
      <w:pPr>
        <w:pStyle w:val="Bibliography"/>
      </w:pPr>
      <w:r>
        <w:t xml:space="preserve">Brink, U. ten, N. Shimizu, and P. Molzer (1999), Plate deformation at depth under northern california: Slab gap or stretched slab?, </w:t>
      </w:r>
      <w:r>
        <w:rPr>
          <w:i/>
        </w:rPr>
        <w:t>Tectonics</w:t>
      </w:r>
      <w:r>
        <w:t xml:space="preserve">, </w:t>
      </w:r>
      <w:r>
        <w:rPr>
          <w:i/>
        </w:rPr>
        <w:t>18</w:t>
      </w:r>
      <w:r>
        <w:t>(6), 1084–1098.</w:t>
      </w:r>
    </w:p>
    <w:p w14:paraId="4D65D166" w14:textId="77777777" w:rsidR="00486119" w:rsidRDefault="00486119" w:rsidP="00486119">
      <w:pPr>
        <w:pStyle w:val="Bibliography"/>
      </w:pPr>
      <w:r>
        <w:t xml:space="preserve">Brocher, T. M., U. S. ..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17">
        <w:r>
          <w:rPr>
            <w:rStyle w:val="Hyperlink"/>
          </w:rPr>
          <w:t>10.1080/00206819909465142</w:t>
        </w:r>
      </w:hyperlink>
      <w:r>
        <w:t>.</w:t>
      </w:r>
    </w:p>
    <w:p w14:paraId="561F0FBE" w14:textId="77777777" w:rsidR="00486119" w:rsidRDefault="00486119" w:rsidP="00486119">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18">
        <w:r>
          <w:rPr>
            <w:rStyle w:val="Hyperlink"/>
          </w:rPr>
          <w:t>10.1029/2009JB006402</w:t>
        </w:r>
      </w:hyperlink>
      <w:r>
        <w:t>.</w:t>
      </w:r>
    </w:p>
    <w:p w14:paraId="00ABD620" w14:textId="77777777" w:rsidR="00486119" w:rsidRDefault="00486119" w:rsidP="00486119">
      <w:pPr>
        <w:pStyle w:val="Bibliography"/>
      </w:pPr>
      <w:r>
        <w:lastRenderedPageBreak/>
        <w:t xml:space="preserve">Bürgmann, R., and G. Dresen (2008), Rheology of the lower crust and upper mantle: Evidence from rock mechanics, geodesy, and field observations, </w:t>
      </w:r>
      <w:r>
        <w:rPr>
          <w:i/>
        </w:rPr>
        <w:t>Annu. Rev. Earth Planet. Sci.</w:t>
      </w:r>
      <w:r>
        <w:t xml:space="preserve">, </w:t>
      </w:r>
      <w:r>
        <w:rPr>
          <w:i/>
        </w:rPr>
        <w:t>36</w:t>
      </w:r>
      <w:r>
        <w:t>(1), 531–567, doi:</w:t>
      </w:r>
      <w:hyperlink r:id="rId19">
        <w:r>
          <w:rPr>
            <w:rStyle w:val="Hyperlink"/>
          </w:rPr>
          <w:t>10.1146/annurev.earth.36.031207.124326</w:t>
        </w:r>
      </w:hyperlink>
      <w:r>
        <w:t>.</w:t>
      </w:r>
    </w:p>
    <w:p w14:paraId="5B4244E4" w14:textId="77777777" w:rsidR="00486119" w:rsidRDefault="00486119" w:rsidP="00486119">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20">
        <w:r>
          <w:rPr>
            <w:rStyle w:val="Hyperlink"/>
          </w:rPr>
          <w:t>10.1130/GES00882.1</w:t>
        </w:r>
      </w:hyperlink>
      <w:r>
        <w:t>.</w:t>
      </w:r>
    </w:p>
    <w:p w14:paraId="1859D2AC" w14:textId="77777777" w:rsidR="00486119" w:rsidRDefault="00486119" w:rsidP="00486119">
      <w:pPr>
        <w:pStyle w:val="Bibliography"/>
      </w:pPr>
      <w:r>
        <w:t xml:space="preserve">Chapman, A. D. (2016), The pelona – orocopia – rand and related schists of southern california : A review of the best-known archive of shallow subduction on the planet, </w:t>
      </w:r>
      <w:r>
        <w:rPr>
          <w:i/>
        </w:rPr>
        <w:t>International Geology Review</w:t>
      </w:r>
      <w:r>
        <w:t>.</w:t>
      </w:r>
    </w:p>
    <w:p w14:paraId="48F3C861" w14:textId="77777777" w:rsidR="00486119" w:rsidRDefault="00486119" w:rsidP="00486119">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21">
        <w:r>
          <w:rPr>
            <w:rStyle w:val="Hyperlink"/>
          </w:rPr>
          <w:t>10.1130/GES01257.1</w:t>
        </w:r>
      </w:hyperlink>
      <w:r>
        <w:t>.</w:t>
      </w:r>
    </w:p>
    <w:p w14:paraId="4B5B1E69" w14:textId="77777777" w:rsidR="00486119" w:rsidRDefault="00486119" w:rsidP="00486119">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22">
        <w:r>
          <w:rPr>
            <w:rStyle w:val="Hyperlink"/>
          </w:rPr>
          <w:t>10.1029/2009TC002597</w:t>
        </w:r>
      </w:hyperlink>
      <w:r>
        <w:t>.</w:t>
      </w:r>
    </w:p>
    <w:p w14:paraId="01AA6E93" w14:textId="77777777" w:rsidR="00486119" w:rsidRDefault="00486119" w:rsidP="00486119">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23">
        <w:r>
          <w:rPr>
            <w:rStyle w:val="Hyperlink"/>
          </w:rPr>
          <w:t>10.1130/g34445.1</w:t>
        </w:r>
      </w:hyperlink>
      <w:r>
        <w:t>.</w:t>
      </w:r>
    </w:p>
    <w:p w14:paraId="0260BB5F" w14:textId="77777777" w:rsidR="00486119" w:rsidRDefault="00486119" w:rsidP="00486119">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14:paraId="5400E74E" w14:textId="77777777" w:rsidR="00486119" w:rsidRDefault="00486119" w:rsidP="00486119">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24">
        <w:r>
          <w:rPr>
            <w:rStyle w:val="Hyperlink"/>
          </w:rPr>
          <w:t>10.1130/GES00740.1</w:t>
        </w:r>
      </w:hyperlink>
      <w:r>
        <w:t>.</w:t>
      </w:r>
    </w:p>
    <w:p w14:paraId="41B68A3A" w14:textId="77777777" w:rsidR="00486119" w:rsidRDefault="00486119" w:rsidP="00486119">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r:id="rId25">
        <w:r>
          <w:rPr>
            <w:rStyle w:val="Hyperlink"/>
          </w:rPr>
          <w:t>10.1130/0016-7606(1995)107&lt;0167:NSIGAT&gt;2.3.CO;2</w:t>
        </w:r>
      </w:hyperlink>
      <w:r>
        <w:t>.</w:t>
      </w:r>
    </w:p>
    <w:p w14:paraId="12E19EAD" w14:textId="77777777" w:rsidR="00486119" w:rsidRDefault="00486119" w:rsidP="00486119">
      <w:pPr>
        <w:pStyle w:val="Bibliography"/>
      </w:pPr>
      <w:r>
        <w:t>Cosca, M., H. Stunitz, A.-L. Bourgeix, and J. P. Lee (2011), 40Ar</w:t>
      </w:r>
      <w:r>
        <w:rPr>
          <w:rFonts w:ascii="Monaco" w:hAnsi="Monaco" w:cs="Monaco"/>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26">
        <w:r>
          <w:rPr>
            <w:rStyle w:val="Hyperlink"/>
          </w:rPr>
          <w:t>10.1016/j.gca.2011.10.012</w:t>
        </w:r>
      </w:hyperlink>
      <w:r>
        <w:t>.</w:t>
      </w:r>
    </w:p>
    <w:p w14:paraId="749110E3" w14:textId="77777777" w:rsidR="00486119" w:rsidRDefault="00486119" w:rsidP="00486119">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r:id="rId27">
        <w:r>
          <w:rPr>
            <w:rStyle w:val="Hyperlink"/>
          </w:rPr>
          <w:t>10.1130/0016-7606(1978)89&lt;1415:oobcri&gt;2.0.co;2</w:t>
        </w:r>
      </w:hyperlink>
      <w:r>
        <w:t>.</w:t>
      </w:r>
    </w:p>
    <w:p w14:paraId="7C41BD96" w14:textId="77777777" w:rsidR="00486119" w:rsidRDefault="00486119" w:rsidP="00486119">
      <w:pPr>
        <w:pStyle w:val="Bibliography"/>
      </w:pPr>
      <w:r>
        <w:lastRenderedPageBreak/>
        <w:t xml:space="preserve">Crank, J., and P. Nicolson (1947), A practical method for numerical evaluation of solutions of partial differential equations of the heat-conduction type, </w:t>
      </w:r>
      <w:r>
        <w:rPr>
          <w:i/>
        </w:rPr>
        <w:t>Mathematical Proceedings of the …</w:t>
      </w:r>
      <w:r>
        <w:t xml:space="preserve">, </w:t>
      </w:r>
      <w:r>
        <w:rPr>
          <w:i/>
        </w:rPr>
        <w:t>6</w:t>
      </w:r>
      <w:r>
        <w:t>(2), 207–226.</w:t>
      </w:r>
    </w:p>
    <w:p w14:paraId="01131DB4" w14:textId="77777777" w:rsidR="00486119" w:rsidRDefault="00486119" w:rsidP="00486119">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14:paraId="55673FC2" w14:textId="77777777" w:rsidR="00486119" w:rsidRDefault="00486119" w:rsidP="00486119">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14:paraId="7505C63F" w14:textId="77777777" w:rsidR="00486119" w:rsidRDefault="00486119" w:rsidP="00486119">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28">
        <w:r>
          <w:rPr>
            <w:rStyle w:val="Hyperlink"/>
          </w:rPr>
          <w:t>10.1130/2005.2391.</w:t>
        </w:r>
      </w:hyperlink>
    </w:p>
    <w:p w14:paraId="79936335" w14:textId="77777777" w:rsidR="00486119" w:rsidRDefault="00486119" w:rsidP="00486119">
      <w:pPr>
        <w:pStyle w:val="Bibliography"/>
      </w:pPr>
      <w:r>
        <w:t xml:space="preserve">Dietz, L. D., and W. L. Ellsworth (1990), The october 17, 1989, loma prieta, california, earthquake and its aftershocks: Geometry of the sequence from high-resolution locations, </w:t>
      </w:r>
      <w:r>
        <w:rPr>
          <w:i/>
        </w:rPr>
        <w:t>Geophys. Res. Lett.</w:t>
      </w:r>
      <w:r>
        <w:t xml:space="preserve">, </w:t>
      </w:r>
      <w:r>
        <w:rPr>
          <w:i/>
        </w:rPr>
        <w:t>17</w:t>
      </w:r>
      <w:r>
        <w:t>(9), 1417–1420, doi:</w:t>
      </w:r>
      <w:hyperlink r:id="rId29">
        <w:r>
          <w:rPr>
            <w:rStyle w:val="Hyperlink"/>
          </w:rPr>
          <w:t>10.1029/gl017i009p01417</w:t>
        </w:r>
      </w:hyperlink>
      <w:r>
        <w:t>.</w:t>
      </w:r>
    </w:p>
    <w:p w14:paraId="2651E011" w14:textId="77777777" w:rsidR="00486119" w:rsidRDefault="00486119" w:rsidP="00486119">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30">
        <w:r>
          <w:rPr>
            <w:rStyle w:val="Hyperlink"/>
          </w:rPr>
          <w:t>10.1016/0012-821x(96)00082-9</w:t>
        </w:r>
      </w:hyperlink>
      <w:r>
        <w:t>.</w:t>
      </w:r>
    </w:p>
    <w:p w14:paraId="2E0DB0BD" w14:textId="77777777" w:rsidR="00486119" w:rsidRDefault="00486119" w:rsidP="00486119">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14:paraId="5E41FDDA" w14:textId="77777777" w:rsidR="00486119" w:rsidRDefault="00486119" w:rsidP="00486119"/>
    <w:p w14:paraId="24B48111" w14:textId="77777777" w:rsidR="00486119" w:rsidRPr="00A25BB4" w:rsidRDefault="00486119" w:rsidP="00486119">
      <w:pPr>
        <w:pStyle w:val="Bibliography"/>
        <w:rPr>
          <w:rFonts w:ascii="Times" w:eastAsia="Cambria" w:hAnsi="Times" w:cs="Times New Roman"/>
          <w:sz w:val="28"/>
        </w:rPr>
      </w:pPr>
      <w:r w:rsidRPr="00A25BB4">
        <w:rPr>
          <w:rFonts w:ascii="Times" w:eastAsia="Cambria" w:hAnsi="Times" w:cs="Times New Roman"/>
          <w:sz w:val="28"/>
        </w:rPr>
        <w:t>Ducea, M.N., and Saleeby, J.B., 1998</w:t>
      </w:r>
      <w:r>
        <w:rPr>
          <w:rFonts w:ascii="Times" w:hAnsi="Times"/>
          <w:sz w:val="28"/>
        </w:rPr>
        <w:t>b</w:t>
      </w:r>
      <w:r w:rsidRPr="00A25BB4">
        <w:rPr>
          <w:rFonts w:ascii="Times" w:eastAsia="Cambria" w:hAnsi="Times" w:cs="Times New Roman"/>
          <w:sz w:val="28"/>
        </w:rPr>
        <w:t>, The age and origin of a thick mafic-ultramafic keel from beneath the Sierra Nevada batholith:  Contrib. Mineral. Petrol., v. 133, p. 169-185.</w:t>
      </w:r>
    </w:p>
    <w:p w14:paraId="3BC84018" w14:textId="77777777" w:rsidR="00486119" w:rsidRDefault="00486119" w:rsidP="00486119">
      <w:pPr>
        <w:pStyle w:val="Bibliography"/>
      </w:pPr>
    </w:p>
    <w:p w14:paraId="0C4FA72C" w14:textId="77777777" w:rsidR="00486119" w:rsidRDefault="00486119" w:rsidP="00486119">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31">
        <w:r>
          <w:rPr>
            <w:rStyle w:val="Hyperlink"/>
          </w:rPr>
          <w:t>10.1080/00206810802602767</w:t>
        </w:r>
      </w:hyperlink>
      <w:r>
        <w:t>.</w:t>
      </w:r>
    </w:p>
    <w:p w14:paraId="66CCFD47" w14:textId="77777777" w:rsidR="00486119" w:rsidRDefault="00486119" w:rsidP="00486119">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32">
        <w:r>
          <w:rPr>
            <w:rStyle w:val="Hyperlink"/>
          </w:rPr>
          <w:t>10.1146/annurev-earth-060614-105049</w:t>
        </w:r>
      </w:hyperlink>
      <w:r>
        <w:t>.</w:t>
      </w:r>
    </w:p>
    <w:p w14:paraId="611D72C5" w14:textId="77777777" w:rsidR="00486119" w:rsidRDefault="00486119" w:rsidP="00486119">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14:paraId="41C8D193" w14:textId="77777777" w:rsidR="00486119" w:rsidRDefault="00486119" w:rsidP="00486119">
      <w:pPr>
        <w:pStyle w:val="Bibliography"/>
      </w:pPr>
      <w:r>
        <w:lastRenderedPageBreak/>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33">
        <w:r>
          <w:rPr>
            <w:rStyle w:val="Hyperlink"/>
          </w:rPr>
          <w:t>10.1080/00206819809465199</w:t>
        </w:r>
      </w:hyperlink>
      <w:r>
        <w:t>.</w:t>
      </w:r>
    </w:p>
    <w:p w14:paraId="501CBE5B" w14:textId="77777777" w:rsidR="00486119" w:rsidRDefault="00486119" w:rsidP="00486119">
      <w:pPr>
        <w:pStyle w:val="Bibliography"/>
      </w:pPr>
      <w:r>
        <w:t xml:space="preserve">Ducea, M., M. A. House, and S. Kidder (2003a), Late cenozoic denudation and uplift rates in the santa lucia mountains, california, </w:t>
      </w:r>
      <w:r>
        <w:rPr>
          <w:i/>
        </w:rPr>
        <w:t>Geology</w:t>
      </w:r>
      <w:r>
        <w:t xml:space="preserve">, </w:t>
      </w:r>
      <w:r>
        <w:rPr>
          <w:i/>
        </w:rPr>
        <w:t>31</w:t>
      </w:r>
      <w:r>
        <w:t>(2), 139–142, doi:</w:t>
      </w:r>
      <w:hyperlink r:id="rId34">
        <w:r>
          <w:rPr>
            <w:rStyle w:val="Hyperlink"/>
          </w:rPr>
          <w:t>10.1130/0091-7613(2003)031&lt;0139:LCDAUR&gt;2.0.CO;2</w:t>
        </w:r>
      </w:hyperlink>
      <w:r>
        <w:t>.</w:t>
      </w:r>
    </w:p>
    <w:p w14:paraId="79BF8D9C" w14:textId="77777777" w:rsidR="00486119" w:rsidRDefault="00486119" w:rsidP="00486119">
      <w:pPr>
        <w:pStyle w:val="Bibliography"/>
      </w:pPr>
      <w:r>
        <w:t xml:space="preserve">Ducea, M., M. A. House, and S. Kidder (2003b), Late cenozoic denudation and uplift rates in the santa lucia mountains, california, </w:t>
      </w:r>
      <w:r>
        <w:rPr>
          <w:i/>
        </w:rPr>
        <w:t>Geology</w:t>
      </w:r>
      <w:r>
        <w:t xml:space="preserve">, </w:t>
      </w:r>
      <w:r>
        <w:rPr>
          <w:i/>
        </w:rPr>
        <w:t>31</w:t>
      </w:r>
      <w:r>
        <w:t>(2), 139, doi:</w:t>
      </w:r>
      <w:hyperlink r:id="rId35">
        <w:r>
          <w:rPr>
            <w:rStyle w:val="Hyperlink"/>
          </w:rPr>
          <w:t>10.1130/0091-7613(2003)031&lt;0139:lcdaur&gt;2.0.co;2</w:t>
        </w:r>
      </w:hyperlink>
      <w:r>
        <w:t>.</w:t>
      </w:r>
    </w:p>
    <w:p w14:paraId="44A890BC" w14:textId="77777777" w:rsidR="00486119" w:rsidRDefault="00486119" w:rsidP="00486119">
      <w:pPr>
        <w:pStyle w:val="Bibliography"/>
      </w:pPr>
      <w:r>
        <w:t xml:space="preserve">England, P., and P. Molnar (1990), Surface uplift, uplift of rocks, and exhumation of rocks, </w:t>
      </w:r>
      <w:r>
        <w:rPr>
          <w:i/>
        </w:rPr>
        <w:t>18</w:t>
      </w:r>
      <w:r>
        <w:t>, 1173–1177, doi:</w:t>
      </w:r>
      <w:hyperlink r:id="rId36">
        <w:r>
          <w:rPr>
            <w:rStyle w:val="Hyperlink"/>
          </w:rPr>
          <w:t>10.1130/0091-7613(1990)018&lt;1173:SUUORA&gt;2.3.CO</w:t>
        </w:r>
      </w:hyperlink>
      <w:r>
        <w:t>.</w:t>
      </w:r>
    </w:p>
    <w:p w14:paraId="11C547E7" w14:textId="77777777" w:rsidR="00486119" w:rsidRDefault="00486119" w:rsidP="00486119">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37">
        <w:r>
          <w:rPr>
            <w:rStyle w:val="Hyperlink"/>
          </w:rPr>
          <w:t>10.1029/2007JB005498</w:t>
        </w:r>
      </w:hyperlink>
      <w:r>
        <w:t>.</w:t>
      </w:r>
    </w:p>
    <w:p w14:paraId="586426F5" w14:textId="77777777" w:rsidR="00486119" w:rsidRDefault="00486119" w:rsidP="00486119">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38">
        <w:r>
          <w:rPr>
            <w:rStyle w:val="Hyperlink"/>
          </w:rPr>
          <w:t>10.1029/2008GL033479</w:t>
        </w:r>
      </w:hyperlink>
      <w:r>
        <w:t>.</w:t>
      </w:r>
    </w:p>
    <w:p w14:paraId="15376E22" w14:textId="77777777" w:rsidR="00486119" w:rsidRDefault="00486119" w:rsidP="00486119">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r:id="rId39">
        <w:r>
          <w:rPr>
            <w:rStyle w:val="Hyperlink"/>
          </w:rPr>
          <w:t>10.1130/0016-7606(1974)85&lt;523:GAPOTC&gt;2.0.CO;2</w:t>
        </w:r>
      </w:hyperlink>
      <w:r>
        <w:t>.</w:t>
      </w:r>
    </w:p>
    <w:p w14:paraId="0A88BBC3" w14:textId="77777777" w:rsidR="00486119" w:rsidRDefault="00486119" w:rsidP="00486119">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r:id="rId40">
        <w:r>
          <w:rPr>
            <w:rStyle w:val="Hyperlink"/>
          </w:rPr>
          <w:t>10.1130/0016-7606(2002)114&lt;0754:dldtlc&gt;2.0.co;2</w:t>
        </w:r>
      </w:hyperlink>
      <w:r>
        <w:t>.</w:t>
      </w:r>
    </w:p>
    <w:p w14:paraId="3A97DE2A" w14:textId="77777777" w:rsidR="00486119" w:rsidRDefault="00486119" w:rsidP="00486119">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41">
        <w:r>
          <w:rPr>
            <w:rStyle w:val="Hyperlink"/>
          </w:rPr>
          <w:t>10.1029/95JB00070</w:t>
        </w:r>
      </w:hyperlink>
      <w:r>
        <w:t>.</w:t>
      </w:r>
    </w:p>
    <w:p w14:paraId="6F32BF2E" w14:textId="77777777" w:rsidR="00486119" w:rsidRDefault="00486119" w:rsidP="00486119">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42">
        <w:r>
          <w:rPr>
            <w:rStyle w:val="Hyperlink"/>
          </w:rPr>
          <w:t>10.1146/annurev-earth-040809-152438</w:t>
        </w:r>
      </w:hyperlink>
      <w:r>
        <w:t>.</w:t>
      </w:r>
    </w:p>
    <w:p w14:paraId="08DD4452" w14:textId="77777777" w:rsidR="00486119" w:rsidRDefault="00486119" w:rsidP="00486119">
      <w:pPr>
        <w:pStyle w:val="Bibliography"/>
      </w:pPr>
      <w:r>
        <w:t xml:space="preserve">Fowler, C. (2005), </w:t>
      </w:r>
      <w:r>
        <w:rPr>
          <w:i/>
        </w:rPr>
        <w:t>The solid earth: An introduction to global geophysics</w:t>
      </w:r>
      <w:r>
        <w:t>, 1st ed., Cambridge University Press, Cambridge.</w:t>
      </w:r>
    </w:p>
    <w:p w14:paraId="2B92B3F7" w14:textId="77777777" w:rsidR="00486119" w:rsidRDefault="00486119" w:rsidP="00486119">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43">
        <w:r>
          <w:rPr>
            <w:rStyle w:val="Hyperlink"/>
          </w:rPr>
          <w:t>10.1130/ges00570.1</w:t>
        </w:r>
      </w:hyperlink>
      <w:r>
        <w:t>.</w:t>
      </w:r>
    </w:p>
    <w:p w14:paraId="360ECAB8" w14:textId="77777777" w:rsidR="00486119" w:rsidRDefault="00486119" w:rsidP="00486119">
      <w:pPr>
        <w:pStyle w:val="Bibliography"/>
      </w:pPr>
      <w:r>
        <w:lastRenderedPageBreak/>
        <w:t xml:space="preserve">Frey, F. A., and M. Prinz (1978), Ultramafic inclusions from san carlos, arizona - petrologic and geochemical data bearing on their petrogenesis, </w:t>
      </w:r>
      <w:r>
        <w:rPr>
          <w:i/>
        </w:rPr>
        <w:t>38</w:t>
      </w:r>
      <w:r>
        <w:t>, 129–176, doi:</w:t>
      </w:r>
      <w:hyperlink r:id="rId44">
        <w:r>
          <w:rPr>
            <w:rStyle w:val="Hyperlink"/>
          </w:rPr>
          <w:t>10.1016/0012-821X(78)90130-9</w:t>
        </w:r>
      </w:hyperlink>
      <w:r>
        <w:t>.</w:t>
      </w:r>
    </w:p>
    <w:p w14:paraId="7083D353" w14:textId="77777777" w:rsidR="00486119" w:rsidRDefault="00486119" w:rsidP="00486119">
      <w:pPr>
        <w:pStyle w:val="Bibliography"/>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45">
        <w:r>
          <w:rPr>
            <w:rStyle w:val="Hyperlink"/>
          </w:rPr>
          <w:t>10.1029/jb094ib03p03100</w:t>
        </w:r>
      </w:hyperlink>
      <w:r>
        <w:t>.</w:t>
      </w:r>
    </w:p>
    <w:p w14:paraId="0C4F193B" w14:textId="77777777" w:rsidR="00486119" w:rsidRDefault="00486119" w:rsidP="00486119">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46">
        <w:r>
          <w:rPr>
            <w:rStyle w:val="Hyperlink"/>
          </w:rPr>
          <w:t>10.1093/petrology/30.4.1033</w:t>
        </w:r>
      </w:hyperlink>
      <w:r>
        <w:t>.</w:t>
      </w:r>
    </w:p>
    <w:p w14:paraId="5187AC7F" w14:textId="77777777" w:rsidR="00486119" w:rsidRDefault="00486119" w:rsidP="00486119">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47">
        <w:r>
          <w:rPr>
            <w:rStyle w:val="Hyperlink"/>
          </w:rPr>
          <w:t>10.1111/j.1751-908X.2002.tb00886.x</w:t>
        </w:r>
      </w:hyperlink>
      <w:r>
        <w:t>.</w:t>
      </w:r>
    </w:p>
    <w:p w14:paraId="5CF16997" w14:textId="77777777" w:rsidR="00486119" w:rsidRDefault="00486119" w:rsidP="00486119">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14:paraId="346C9D73" w14:textId="77777777" w:rsidR="00486119" w:rsidRDefault="00486119" w:rsidP="00486119">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48">
        <w:r>
          <w:rPr>
            <w:rStyle w:val="Hyperlink"/>
          </w:rPr>
          <w:t>10.1130/GES00790.1</w:t>
        </w:r>
      </w:hyperlink>
      <w:r>
        <w:t>.</w:t>
      </w:r>
    </w:p>
    <w:p w14:paraId="45E10537" w14:textId="77777777" w:rsidR="00486119" w:rsidRDefault="00486119" w:rsidP="00486119">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14:paraId="6491F0E9" w14:textId="77777777" w:rsidR="00486119" w:rsidRDefault="00486119" w:rsidP="00486119">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49">
        <w:r>
          <w:rPr>
            <w:rStyle w:val="Hyperlink"/>
          </w:rPr>
          <w:t>10.1016/0031-9201(70)90076-2</w:t>
        </w:r>
      </w:hyperlink>
      <w:r>
        <w:t>.</w:t>
      </w:r>
    </w:p>
    <w:p w14:paraId="4DD403FE" w14:textId="77777777" w:rsidR="00486119" w:rsidRDefault="00486119" w:rsidP="00486119">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14:paraId="59AA0FF2" w14:textId="77777777" w:rsidR="00486119" w:rsidRDefault="00486119" w:rsidP="00486119">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50">
        <w:r>
          <w:rPr>
            <w:rStyle w:val="Hyperlink"/>
          </w:rPr>
          <w:t>10.1109/MCSE.2009.52</w:t>
        </w:r>
      </w:hyperlink>
      <w:r>
        <w:t>.</w:t>
      </w:r>
    </w:p>
    <w:p w14:paraId="6C32AD99" w14:textId="77777777" w:rsidR="00486119" w:rsidRDefault="00486119" w:rsidP="00486119">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51">
        <w:r>
          <w:rPr>
            <w:rStyle w:val="Hyperlink"/>
          </w:rPr>
          <w:t>10.1080/00206814.2013.825141</w:t>
        </w:r>
      </w:hyperlink>
      <w:r>
        <w:t>.</w:t>
      </w:r>
    </w:p>
    <w:p w14:paraId="6F3ABBFE" w14:textId="77777777" w:rsidR="00486119" w:rsidRDefault="00486119" w:rsidP="00486119">
      <w:pPr>
        <w:pStyle w:val="Bibliography"/>
      </w:pPr>
      <w:r>
        <w:t xml:space="preserve">Hardebeck, J. (2012), </w:t>
      </w:r>
      <w:r>
        <w:rPr>
          <w:i/>
        </w:rPr>
        <w:t>Seismicity of the shoreline and hosgri faults, estero bay, and irish hills</w:t>
      </w:r>
      <w:r>
        <w:t>, United States Geological Survey, Diablo Canyon SSHAC.</w:t>
      </w:r>
    </w:p>
    <w:p w14:paraId="3B4AF164" w14:textId="77777777" w:rsidR="00486119" w:rsidRDefault="00486119" w:rsidP="00486119">
      <w:pPr>
        <w:pStyle w:val="Bibliography"/>
      </w:pPr>
      <w:r>
        <w:lastRenderedPageBreak/>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14:paraId="451B5561" w14:textId="77777777" w:rsidR="00486119" w:rsidRDefault="00486119" w:rsidP="00486119">
      <w:pPr>
        <w:pStyle w:val="Bibliography"/>
      </w:pPr>
      <w:r>
        <w:t xml:space="preserve">Hofmann, A. W. (1997), Mantle geochemistry: The message from oceanic volcanism, </w:t>
      </w:r>
      <w:r>
        <w:rPr>
          <w:i/>
        </w:rPr>
        <w:t>385</w:t>
      </w:r>
      <w:r>
        <w:t>, 219–229, doi:</w:t>
      </w:r>
      <w:hyperlink r:id="rId52">
        <w:r>
          <w:rPr>
            <w:rStyle w:val="Hyperlink"/>
          </w:rPr>
          <w:t>10.1038/385219a0</w:t>
        </w:r>
      </w:hyperlink>
      <w:r>
        <w:t>.</w:t>
      </w:r>
    </w:p>
    <w:p w14:paraId="44A75217" w14:textId="77777777" w:rsidR="00486119" w:rsidRDefault="00486119" w:rsidP="00486119">
      <w:pPr>
        <w:pStyle w:val="Bibliography"/>
      </w:pPr>
      <w:r>
        <w:t xml:space="preserve">Humphreys, E. D. (1995), Post-laramide removal of the farallon slab,western united states, </w:t>
      </w:r>
      <w:r>
        <w:rPr>
          <w:i/>
        </w:rPr>
        <w:t>Geology</w:t>
      </w:r>
      <w:r>
        <w:t xml:space="preserve">, </w:t>
      </w:r>
      <w:r>
        <w:rPr>
          <w:i/>
        </w:rPr>
        <w:t>23</w:t>
      </w:r>
      <w:r>
        <w:t>, 987–990, doi:</w:t>
      </w:r>
      <w:hyperlink r:id="rId53">
        <w:r>
          <w:rPr>
            <w:rStyle w:val="Hyperlink"/>
          </w:rPr>
          <w:t>10.1130/0091-7613(1995)023&lt;0987</w:t>
        </w:r>
      </w:hyperlink>
      <w:r>
        <w:t>.</w:t>
      </w:r>
    </w:p>
    <w:p w14:paraId="62050CC0" w14:textId="77777777" w:rsidR="00486119" w:rsidRDefault="00486119" w:rsidP="00486119">
      <w:pPr>
        <w:pStyle w:val="Bibliography"/>
      </w:pPr>
      <w:r>
        <w:t>Hurst, R. W. (1982), Petrogenesis of the conejo volcanic suite, southern california: Evidence for mid-ocean ridge{</w:t>
      </w:r>
      <m:oMath>
        <m:r>
          <w:rPr>
            <w:rFonts w:ascii="Monaco" w:hAnsi="Monaco" w:cs="Monaco"/>
          </w:rPr>
          <m:t>∖</m:t>
        </m:r>
      </m:oMath>
      <w:r>
        <w:t xml:space="preserve">textendash}continental margin interactions, </w:t>
      </w:r>
      <w:r>
        <w:rPr>
          <w:i/>
        </w:rPr>
        <w:t>Geology</w:t>
      </w:r>
      <w:r>
        <w:t xml:space="preserve">, </w:t>
      </w:r>
      <w:r>
        <w:rPr>
          <w:i/>
        </w:rPr>
        <w:t>10</w:t>
      </w:r>
      <w:r>
        <w:t>(5), 267, doi:</w:t>
      </w:r>
      <w:hyperlink r:id="rId54">
        <w:r>
          <w:rPr>
            <w:rStyle w:val="Hyperlink"/>
          </w:rPr>
          <w:t>10.1130/0091-7613(1982)10&lt;267:potcvs&gt;2.0.co;2</w:t>
        </w:r>
      </w:hyperlink>
      <w:r>
        <w:t>.</w:t>
      </w:r>
    </w:p>
    <w:p w14:paraId="76C71E21" w14:textId="77777777" w:rsidR="00486119" w:rsidRDefault="00486119" w:rsidP="00486119">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14:paraId="4FDBC5E8" w14:textId="77777777" w:rsidR="00486119" w:rsidRDefault="00486119" w:rsidP="00486119">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55">
        <w:r>
          <w:rPr>
            <w:rStyle w:val="Hyperlink"/>
          </w:rPr>
          <w:t>10.1029/97jb03540</w:t>
        </w:r>
      </w:hyperlink>
      <w:r>
        <w:t>.</w:t>
      </w:r>
    </w:p>
    <w:p w14:paraId="3D44411B" w14:textId="77777777" w:rsidR="00486119" w:rsidRDefault="00486119" w:rsidP="00486119">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56">
        <w:r>
          <w:rPr>
            <w:rStyle w:val="Hyperlink"/>
          </w:rPr>
          <w:t>10.1130/ges00961.1</w:t>
        </w:r>
      </w:hyperlink>
      <w:r>
        <w:t>.</w:t>
      </w:r>
    </w:p>
    <w:p w14:paraId="7E826AE4" w14:textId="77777777" w:rsidR="00486119" w:rsidRDefault="00486119" w:rsidP="00486119">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57">
        <w:r>
          <w:rPr>
            <w:rStyle w:val="Hyperlink"/>
          </w:rPr>
          <w:t>10.1029/1998tc900012</w:t>
        </w:r>
      </w:hyperlink>
      <w:r>
        <w:t>.</w:t>
      </w:r>
    </w:p>
    <w:p w14:paraId="6C4BB4F8" w14:textId="77777777" w:rsidR="00486119" w:rsidRDefault="00486119" w:rsidP="00486119">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58">
        <w:r>
          <w:rPr>
            <w:rStyle w:val="Hyperlink"/>
          </w:rPr>
          <w:t>10.1029/1999GC000012</w:t>
        </w:r>
      </w:hyperlink>
      <w:r>
        <w:t>.</w:t>
      </w:r>
    </w:p>
    <w:p w14:paraId="2F6A8FF2" w14:textId="77777777" w:rsidR="00486119" w:rsidRDefault="00486119" w:rsidP="00486119">
      <w:pPr>
        <w:pStyle w:val="Bibliography"/>
      </w:pPr>
      <w:r>
        <w:t xml:space="preserve">Kennedy, B. M. (1997), Mantle fluids in the san andreas fault system, california, </w:t>
      </w:r>
      <w:r>
        <w:rPr>
          <w:i/>
        </w:rPr>
        <w:t>Science</w:t>
      </w:r>
      <w:r>
        <w:t xml:space="preserve">, </w:t>
      </w:r>
      <w:r>
        <w:rPr>
          <w:i/>
        </w:rPr>
        <w:t>278</w:t>
      </w:r>
      <w:r>
        <w:t>(June), 1278–1281, doi:</w:t>
      </w:r>
      <w:hyperlink r:id="rId59">
        <w:r>
          <w:rPr>
            <w:rStyle w:val="Hyperlink"/>
          </w:rPr>
          <w:t>10.1126/science.278.5341.1278</w:t>
        </w:r>
      </w:hyperlink>
      <w:r>
        <w:t>.</w:t>
      </w:r>
    </w:p>
    <w:p w14:paraId="26210883" w14:textId="77777777" w:rsidR="00486119" w:rsidRDefault="00486119" w:rsidP="00486119">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60">
        <w:r>
          <w:rPr>
            <w:rStyle w:val="Hyperlink"/>
          </w:rPr>
          <w:t>10.1130/G34289.1</w:t>
        </w:r>
      </w:hyperlink>
      <w:r>
        <w:t>.</w:t>
      </w:r>
    </w:p>
    <w:p w14:paraId="5C505C02" w14:textId="77777777" w:rsidR="00486119" w:rsidRDefault="00486119" w:rsidP="00486119">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14:paraId="11E6B170" w14:textId="77777777" w:rsidR="00486119" w:rsidRDefault="00486119" w:rsidP="00486119">
      <w:pPr>
        <w:pStyle w:val="Bibliography"/>
      </w:pPr>
      <w:r>
        <w:lastRenderedPageBreak/>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61">
        <w:r>
          <w:rPr>
            <w:rStyle w:val="Hyperlink"/>
          </w:rPr>
          <w:t>10.1029/96JB00988</w:t>
        </w:r>
      </w:hyperlink>
      <w:r>
        <w:t>.</w:t>
      </w:r>
    </w:p>
    <w:p w14:paraId="5A31E110" w14:textId="77777777" w:rsidR="00486119" w:rsidRPr="00CC50B9" w:rsidRDefault="00486119" w:rsidP="00486119">
      <w:pPr>
        <w:pStyle w:val="Bibliography"/>
        <w:rPr>
          <w:rFonts w:ascii="Times New Roman" w:hAnsi="Times New Roman" w:cs="Times New Roman"/>
          <w:color w:val="231F20"/>
          <w:sz w:val="28"/>
          <w:szCs w:val="18"/>
          <w:u w:val="single"/>
        </w:rPr>
      </w:pPr>
      <w:r w:rsidRPr="00CC50B9">
        <w:rPr>
          <w:rFonts w:ascii="Times New Roman" w:hAnsi="Times New Roman" w:cs="Times New Roman"/>
          <w:color w:val="231F20"/>
          <w:sz w:val="28"/>
          <w:szCs w:val="18"/>
          <w:u w:val="single"/>
        </w:rPr>
        <w:t>Kistler, R.W., and Champion, D.E., 2001, Rb</w:t>
      </w:r>
      <w:r w:rsidRPr="00CC50B9">
        <w:rPr>
          <w:rFonts w:ascii="Times New Roman" w:hAnsi="Times New Roman" w:cs="Times New Roman"/>
          <w:b/>
          <w:bCs/>
          <w:color w:val="231F20"/>
          <w:sz w:val="28"/>
          <w:szCs w:val="18"/>
          <w:u w:val="single"/>
        </w:rPr>
        <w:t>/</w:t>
      </w:r>
      <w:r w:rsidRPr="00CC50B9">
        <w:rPr>
          <w:rFonts w:ascii="Times New Roman" w:hAnsi="Times New Roman" w:cs="Times New Roman"/>
          <w:color w:val="231F20"/>
          <w:sz w:val="28"/>
          <w:szCs w:val="18"/>
          <w:u w:val="single"/>
        </w:rPr>
        <w:t>Sr whole-rock</w:t>
      </w:r>
      <w:r>
        <w:rPr>
          <w:rFonts w:ascii="Times New Roman" w:hAnsi="Times New Roman" w:cs="Times New Roman"/>
          <w:color w:val="231F20"/>
          <w:sz w:val="28"/>
          <w:szCs w:val="18"/>
          <w:u w:val="single"/>
        </w:rPr>
        <w:t xml:space="preserve"> </w:t>
      </w:r>
      <w:r w:rsidRPr="00CC50B9">
        <w:rPr>
          <w:rFonts w:ascii="Times New Roman" w:hAnsi="Times New Roman" w:cs="Times New Roman"/>
          <w:color w:val="231F20"/>
          <w:sz w:val="28"/>
          <w:szCs w:val="18"/>
          <w:u w:val="single"/>
        </w:rPr>
        <w:t>and mineral ages, K</w:t>
      </w:r>
      <w:r w:rsidRPr="00CC50B9">
        <w:rPr>
          <w:rFonts w:ascii="Times New Roman" w:hAnsi="Times New Roman" w:cs="Times New Roman"/>
          <w:b/>
          <w:bCs/>
          <w:color w:val="231F20"/>
          <w:sz w:val="28"/>
          <w:szCs w:val="18"/>
          <w:u w:val="single"/>
        </w:rPr>
        <w:t>/</w:t>
      </w:r>
      <w:r w:rsidRPr="00CC50B9">
        <w:rPr>
          <w:rFonts w:ascii="Times New Roman" w:hAnsi="Times New Roman" w:cs="Times New Roman"/>
          <w:color w:val="231F20"/>
          <w:sz w:val="28"/>
          <w:szCs w:val="18"/>
          <w:u w:val="single"/>
        </w:rPr>
        <w:t xml:space="preserve">Ar, </w:t>
      </w:r>
      <w:r w:rsidRPr="00CC50B9">
        <w:rPr>
          <w:rFonts w:ascii="Times New Roman" w:hAnsi="Times New Roman" w:cs="Times New Roman"/>
          <w:color w:val="231F20"/>
          <w:sz w:val="28"/>
          <w:szCs w:val="12"/>
          <w:u w:val="single"/>
        </w:rPr>
        <w:t>40</w:t>
      </w:r>
      <w:r w:rsidRPr="00CC50B9">
        <w:rPr>
          <w:rFonts w:ascii="Times New Roman" w:hAnsi="Times New Roman" w:cs="Times New Roman"/>
          <w:color w:val="231F20"/>
          <w:sz w:val="28"/>
          <w:szCs w:val="18"/>
          <w:u w:val="single"/>
        </w:rPr>
        <w:t>Ar</w:t>
      </w:r>
      <w:r w:rsidRPr="00CC50B9">
        <w:rPr>
          <w:rFonts w:ascii="Times New Roman" w:hAnsi="Times New Roman" w:cs="Times New Roman"/>
          <w:b/>
          <w:bCs/>
          <w:color w:val="231F20"/>
          <w:sz w:val="28"/>
          <w:szCs w:val="18"/>
          <w:u w:val="single"/>
        </w:rPr>
        <w:t>/</w:t>
      </w:r>
      <w:r w:rsidRPr="00CC50B9">
        <w:rPr>
          <w:rFonts w:ascii="Times New Roman" w:hAnsi="Times New Roman" w:cs="Times New Roman"/>
          <w:color w:val="231F20"/>
          <w:sz w:val="28"/>
          <w:szCs w:val="12"/>
          <w:u w:val="single"/>
        </w:rPr>
        <w:t>39</w:t>
      </w:r>
      <w:r w:rsidRPr="00CC50B9">
        <w:rPr>
          <w:rFonts w:ascii="Times New Roman" w:hAnsi="Times New Roman" w:cs="Times New Roman"/>
          <w:color w:val="231F20"/>
          <w:sz w:val="28"/>
          <w:szCs w:val="18"/>
          <w:u w:val="single"/>
        </w:rPr>
        <w:t>Ar, U</w:t>
      </w:r>
      <w:r w:rsidRPr="00CC50B9">
        <w:rPr>
          <w:rFonts w:ascii="Times New Roman" w:hAnsi="Times New Roman" w:cs="Times New Roman"/>
          <w:b/>
          <w:bCs/>
          <w:color w:val="231F20"/>
          <w:sz w:val="28"/>
          <w:szCs w:val="18"/>
          <w:u w:val="single"/>
        </w:rPr>
        <w:t>/</w:t>
      </w:r>
      <w:r w:rsidRPr="00CC50B9">
        <w:rPr>
          <w:rFonts w:ascii="Times New Roman" w:hAnsi="Times New Roman" w:cs="Times New Roman"/>
          <w:color w:val="231F20"/>
          <w:sz w:val="28"/>
          <w:szCs w:val="18"/>
          <w:u w:val="single"/>
        </w:rPr>
        <w:t>Pb mineral ages, and</w:t>
      </w:r>
      <w:r>
        <w:rPr>
          <w:rFonts w:ascii="Times New Roman" w:hAnsi="Times New Roman" w:cs="Times New Roman"/>
          <w:color w:val="231F20"/>
          <w:sz w:val="28"/>
          <w:szCs w:val="18"/>
          <w:u w:val="single"/>
        </w:rPr>
        <w:t xml:space="preserve"> </w:t>
      </w:r>
      <w:r w:rsidRPr="00CC50B9">
        <w:rPr>
          <w:rFonts w:ascii="Times New Roman" w:hAnsi="Times New Roman" w:cs="Times New Roman"/>
          <w:color w:val="231F20"/>
          <w:sz w:val="28"/>
          <w:szCs w:val="18"/>
          <w:u w:val="single"/>
        </w:rPr>
        <w:t>strontium, lead, neodymium, and oxygen isotopic compositions</w:t>
      </w:r>
      <w:r>
        <w:rPr>
          <w:rFonts w:ascii="Times New Roman" w:hAnsi="Times New Roman" w:cs="Times New Roman"/>
          <w:color w:val="231F20"/>
          <w:sz w:val="28"/>
          <w:szCs w:val="18"/>
          <w:u w:val="single"/>
        </w:rPr>
        <w:t xml:space="preserve"> </w:t>
      </w:r>
      <w:r w:rsidRPr="00CC50B9">
        <w:rPr>
          <w:rFonts w:ascii="Times New Roman" w:hAnsi="Times New Roman" w:cs="Times New Roman"/>
          <w:color w:val="231F20"/>
          <w:sz w:val="28"/>
          <w:szCs w:val="18"/>
          <w:u w:val="single"/>
        </w:rPr>
        <w:t>for granitic rocks from the Salinian composite terrane,</w:t>
      </w:r>
      <w:r>
        <w:rPr>
          <w:rFonts w:ascii="Times New Roman" w:hAnsi="Times New Roman" w:cs="Times New Roman"/>
          <w:color w:val="231F20"/>
          <w:sz w:val="28"/>
          <w:szCs w:val="18"/>
          <w:u w:val="single"/>
        </w:rPr>
        <w:t xml:space="preserve"> </w:t>
      </w:r>
      <w:r w:rsidRPr="00CC50B9">
        <w:rPr>
          <w:rFonts w:ascii="Times New Roman" w:hAnsi="Times New Roman" w:cs="Times New Roman"/>
          <w:color w:val="231F20"/>
          <w:sz w:val="28"/>
          <w:szCs w:val="18"/>
          <w:u w:val="single"/>
        </w:rPr>
        <w:t>California: US Geological Survey Open-File Report 01–453,</w:t>
      </w:r>
      <w:r>
        <w:rPr>
          <w:rFonts w:ascii="Times New Roman" w:hAnsi="Times New Roman" w:cs="Times New Roman"/>
          <w:color w:val="231F20"/>
          <w:sz w:val="28"/>
          <w:szCs w:val="18"/>
          <w:u w:val="single"/>
        </w:rPr>
        <w:t xml:space="preserve"> </w:t>
      </w:r>
      <w:r w:rsidRPr="00CC50B9">
        <w:rPr>
          <w:rFonts w:ascii="Times New Roman" w:hAnsi="Times New Roman" w:cs="Times New Roman"/>
          <w:color w:val="231F20"/>
          <w:sz w:val="28"/>
          <w:szCs w:val="18"/>
          <w:u w:val="single"/>
        </w:rPr>
        <w:t>83 p</w:t>
      </w:r>
    </w:p>
    <w:p w14:paraId="469418AD" w14:textId="77777777" w:rsidR="00486119" w:rsidRDefault="00486119" w:rsidP="00486119">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62">
        <w:r>
          <w:rPr>
            <w:rStyle w:val="Hyperlink"/>
          </w:rPr>
          <w:t>10.1016/j.lithos.2004.03.017</w:t>
        </w:r>
      </w:hyperlink>
      <w:r>
        <w:t>.</w:t>
      </w:r>
    </w:p>
    <w:p w14:paraId="3A8373F9" w14:textId="77777777" w:rsidR="00486119" w:rsidRDefault="00486119" w:rsidP="00486119">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63">
        <w:r>
          <w:rPr>
            <w:rStyle w:val="Hyperlink"/>
          </w:rPr>
          <w:t>10.1007/s004100050560</w:t>
        </w:r>
      </w:hyperlink>
      <w:r>
        <w:t>.</w:t>
      </w:r>
    </w:p>
    <w:p w14:paraId="6004EA1A" w14:textId="77777777" w:rsidR="00486119" w:rsidRDefault="00486119" w:rsidP="00486119">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 2375–2388.</w:t>
      </w:r>
    </w:p>
    <w:p w14:paraId="3795CEB3" w14:textId="77777777" w:rsidR="00486119" w:rsidRDefault="00486119" w:rsidP="00486119">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14:paraId="0927680C" w14:textId="77777777" w:rsidR="00486119" w:rsidRDefault="00486119" w:rsidP="00486119">
      <w:pPr>
        <w:pStyle w:val="Bibliography"/>
      </w:pPr>
      <w:r>
        <w:t xml:space="preserve">Lee, C.-T. A., X. Cheng, and U. Horodyskyj (2006), The development and refinement of continental arcs by primary basaltic magmatism, garnet pyroxenite accumulation, basaltic recharge and delamination: Insights from the sierra nevada, california, </w:t>
      </w:r>
      <w:r>
        <w:rPr>
          <w:i/>
        </w:rPr>
        <w:t>Contributions to Mineralogy and Petrology</w:t>
      </w:r>
      <w:r>
        <w:t xml:space="preserve">, </w:t>
      </w:r>
      <w:r>
        <w:rPr>
          <w:i/>
        </w:rPr>
        <w:t>151</w:t>
      </w:r>
      <w:r>
        <w:t>(2), 222–242, doi:</w:t>
      </w:r>
      <w:hyperlink r:id="rId64">
        <w:r>
          <w:rPr>
            <w:rStyle w:val="Hyperlink"/>
          </w:rPr>
          <w:t>10.1007/s00410-005-0056-1</w:t>
        </w:r>
      </w:hyperlink>
      <w:r>
        <w:t>.</w:t>
      </w:r>
    </w:p>
    <w:p w14:paraId="47CF3E9E" w14:textId="77777777" w:rsidR="00486119" w:rsidRDefault="00486119" w:rsidP="00486119">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65">
        <w:r>
          <w:rPr>
            <w:rStyle w:val="Hyperlink"/>
          </w:rPr>
          <w:t>10.1029/2001gc000152</w:t>
        </w:r>
      </w:hyperlink>
      <w:r>
        <w:t>.</w:t>
      </w:r>
    </w:p>
    <w:p w14:paraId="74A21E51" w14:textId="77777777" w:rsidR="00486119" w:rsidRDefault="00486119" w:rsidP="00486119">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66">
        <w:r>
          <w:rPr>
            <w:rStyle w:val="Hyperlink"/>
          </w:rPr>
          <w:t>10.1002/2015tc003824</w:t>
        </w:r>
      </w:hyperlink>
      <w:r>
        <w:t>.</w:t>
      </w:r>
    </w:p>
    <w:p w14:paraId="0A721159" w14:textId="77777777" w:rsidR="00486119" w:rsidRDefault="00486119" w:rsidP="00486119">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67">
        <w:r>
          <w:rPr>
            <w:rStyle w:val="Hyperlink"/>
          </w:rPr>
          <w:t>10.1111/j.1365-246x.2007.03428.x</w:t>
        </w:r>
      </w:hyperlink>
      <w:r>
        <w:t>.</w:t>
      </w:r>
    </w:p>
    <w:p w14:paraId="551049FD" w14:textId="77777777" w:rsidR="00486119" w:rsidRDefault="00486119" w:rsidP="00486119">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68">
        <w:r>
          <w:rPr>
            <w:rStyle w:val="Hyperlink"/>
          </w:rPr>
          <w:t>10.1016/j.gca.2012.10.035</w:t>
        </w:r>
      </w:hyperlink>
      <w:r>
        <w:t>.</w:t>
      </w:r>
    </w:p>
    <w:p w14:paraId="6CF353C3" w14:textId="77777777" w:rsidR="00486119" w:rsidRDefault="00486119" w:rsidP="00486119">
      <w:pPr>
        <w:pStyle w:val="Bibliography"/>
      </w:pPr>
      <w:r>
        <w:lastRenderedPageBreak/>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69">
        <w:r>
          <w:rPr>
            <w:rStyle w:val="Hyperlink"/>
          </w:rPr>
          <w:t>10.1038/ngeo829</w:t>
        </w:r>
      </w:hyperlink>
      <w:r>
        <w:t>.</w:t>
      </w:r>
    </w:p>
    <w:p w14:paraId="4DE14C69" w14:textId="77777777" w:rsidR="00486119" w:rsidRDefault="00486119" w:rsidP="00486119">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r:id="rId70">
        <w:r>
          <w:rPr>
            <w:rStyle w:val="Hyperlink"/>
          </w:rPr>
          <w:t>10.1130/0091-7613(1993)021&lt;0719:iefpoc&gt;2.3.co;2</w:t>
        </w:r>
      </w:hyperlink>
      <w:r>
        <w:t>.</w:t>
      </w:r>
    </w:p>
    <w:p w14:paraId="573D39A0" w14:textId="77777777" w:rsidR="00486119" w:rsidRDefault="00486119" w:rsidP="00486119">
      <w:pPr>
        <w:pStyle w:val="Bibliography"/>
      </w:pPr>
      <w:r>
        <w:t xml:space="preserve">Livaccari, R. F., K. Burke, and A. M. C. </w:t>
      </w:r>
      <m:oMath>
        <m:r>
          <w:rPr>
            <w:rFonts w:ascii="Monaco" w:hAnsi="Monaco" w:cs="Monaco"/>
          </w:rPr>
          <m:t>∖</m:t>
        </m:r>
      </m:oMath>
      <w:r>
        <w:t xml:space="preserve">cSengör (1981), Was the laramide orogeny related to subduction of an oceanic plateau?, </w:t>
      </w:r>
      <w:r>
        <w:rPr>
          <w:i/>
        </w:rPr>
        <w:t>Nature</w:t>
      </w:r>
      <w:r>
        <w:t xml:space="preserve">, </w:t>
      </w:r>
      <w:r>
        <w:rPr>
          <w:i/>
        </w:rPr>
        <w:t>289</w:t>
      </w:r>
      <w:r>
        <w:t>(5795), 276–278, doi:</w:t>
      </w:r>
      <w:hyperlink r:id="rId71">
        <w:r>
          <w:rPr>
            <w:rStyle w:val="Hyperlink"/>
          </w:rPr>
          <w:t>10.1038/289276a0</w:t>
        </w:r>
      </w:hyperlink>
      <w:r>
        <w:t>.</w:t>
      </w:r>
    </w:p>
    <w:p w14:paraId="62D89507" w14:textId="77777777" w:rsidR="00486119" w:rsidRDefault="00486119" w:rsidP="00486119">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72">
        <w:r>
          <w:rPr>
            <w:rStyle w:val="Hyperlink"/>
          </w:rPr>
          <w:t>10.1029/2008JB005906</w:t>
        </w:r>
      </w:hyperlink>
      <w:r>
        <w:t>.</w:t>
      </w:r>
    </w:p>
    <w:p w14:paraId="29DA0895" w14:textId="77777777" w:rsidR="00486119" w:rsidRDefault="00486119" w:rsidP="00486119">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73">
        <w:r>
          <w:rPr>
            <w:rStyle w:val="Hyperlink"/>
          </w:rPr>
          <w:t>10.1029/94jb02127</w:t>
        </w:r>
      </w:hyperlink>
      <w:r>
        <w:t>.</w:t>
      </w:r>
    </w:p>
    <w:p w14:paraId="2C880A35" w14:textId="77777777" w:rsidR="00486119" w:rsidRDefault="00486119" w:rsidP="00486119">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74">
        <w:r>
          <w:rPr>
            <w:rStyle w:val="Hyperlink"/>
          </w:rPr>
          <w:t>10.1016/S0040-1951(96)00279-X</w:t>
        </w:r>
      </w:hyperlink>
      <w:r>
        <w:t>.</w:t>
      </w:r>
    </w:p>
    <w:p w14:paraId="79FC5111" w14:textId="77777777" w:rsidR="00486119" w:rsidRDefault="00486119" w:rsidP="00486119">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75">
        <w:r>
          <w:rPr>
            <w:rStyle w:val="Hyperlink"/>
          </w:rPr>
          <w:t>10.1306/c1ea3a82-16c9-11d7-8645000102c1865d</w:t>
        </w:r>
      </w:hyperlink>
      <w:r>
        <w:t>.</w:t>
      </w:r>
    </w:p>
    <w:p w14:paraId="5FBEF3C2" w14:textId="77777777" w:rsidR="00486119" w:rsidRDefault="00486119" w:rsidP="00486119">
      <w:pPr>
        <w:pStyle w:val="Bibliography"/>
      </w:pPr>
      <w:r>
        <w:t xml:space="preserve">McCulloch, M., and G. Wasserburg (1978), Sm-nd and rb-sr chronology of continental crust formation, </w:t>
      </w:r>
      <w:r>
        <w:rPr>
          <w:i/>
        </w:rPr>
        <w:t>Science</w:t>
      </w:r>
      <w:r>
        <w:t xml:space="preserve">, </w:t>
      </w:r>
      <w:r>
        <w:rPr>
          <w:i/>
        </w:rPr>
        <w:t>200</w:t>
      </w:r>
      <w:r>
        <w:t>(4345), 1003–1011.</w:t>
      </w:r>
    </w:p>
    <w:p w14:paraId="3B9A399C" w14:textId="77777777" w:rsidR="00486119" w:rsidRDefault="00486119" w:rsidP="00486119">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14:paraId="26A0F13C" w14:textId="77777777" w:rsidR="00486119" w:rsidRDefault="00486119" w:rsidP="00486119">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76">
        <w:r>
          <w:rPr>
            <w:rStyle w:val="Hyperlink"/>
          </w:rPr>
          <w:t>10.1029/2009jb006873</w:t>
        </w:r>
      </w:hyperlink>
      <w:r>
        <w:t>.</w:t>
      </w:r>
    </w:p>
    <w:p w14:paraId="0753634A" w14:textId="77777777" w:rsidR="00486119" w:rsidRDefault="00486119" w:rsidP="00486119">
      <w:pPr>
        <w:pStyle w:val="Bibliography"/>
      </w:pPr>
      <w:r>
        <w:t xml:space="preserve">Murchey, B. L., and D. L. Jones (1984), Age and significance of chert in the franciscan complex in the san francisco bay region, </w:t>
      </w:r>
      <w:r>
        <w:rPr>
          <w:i/>
        </w:rPr>
        <w:t>Franciscan Geology of Northern California</w:t>
      </w:r>
      <w:r>
        <w:t>.</w:t>
      </w:r>
    </w:p>
    <w:p w14:paraId="2514D537" w14:textId="77777777" w:rsidR="00486119" w:rsidRDefault="00486119" w:rsidP="00486119">
      <w:pPr>
        <w:pStyle w:val="Bibliography"/>
      </w:pPr>
      <w:r>
        <w:t xml:space="preserve">Nadin, E. S., and J. B. Saleeby (2008), </w:t>
      </w:r>
      <w:r>
        <w:rPr>
          <w:i/>
        </w:rPr>
        <w:t>Disruption of regional primary structure of the sierra nevada batholith by the kern canyon fault system, california elisabeth</w:t>
      </w:r>
      <w:r>
        <w:t>, 15.</w:t>
      </w:r>
    </w:p>
    <w:p w14:paraId="2B4475D3" w14:textId="77777777" w:rsidR="00486119" w:rsidRDefault="00486119" w:rsidP="00486119">
      <w:pPr>
        <w:pStyle w:val="Bibliography"/>
      </w:pPr>
      <w:r>
        <w:t xml:space="preserve">Nesse, W. D. (2000), </w:t>
      </w:r>
      <w:r>
        <w:rPr>
          <w:i/>
        </w:rPr>
        <w:t>Introduction to mineralogy</w:t>
      </w:r>
      <w:r>
        <w:t>, Oxford University Press, Oxford.</w:t>
      </w:r>
    </w:p>
    <w:p w14:paraId="7C68E721" w14:textId="77777777" w:rsidR="00486119" w:rsidRDefault="00486119" w:rsidP="00486119">
      <w:pPr>
        <w:pStyle w:val="Bibliography"/>
      </w:pPr>
      <w:r>
        <w:lastRenderedPageBreak/>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r:id="rId77">
        <w:r>
          <w:rPr>
            <w:rStyle w:val="Hyperlink"/>
          </w:rPr>
          <w:t>10.1130/0091-7613(1992)020&lt;0239</w:t>
        </w:r>
      </w:hyperlink>
      <w:r>
        <w:t>.</w:t>
      </w:r>
    </w:p>
    <w:p w14:paraId="5F77E821" w14:textId="77777777" w:rsidR="00486119" w:rsidRDefault="00486119" w:rsidP="00486119">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78">
        <w:r>
          <w:rPr>
            <w:rStyle w:val="Hyperlink"/>
          </w:rPr>
          <w:t>10.1016/0012-821X(85)90043-3</w:t>
        </w:r>
      </w:hyperlink>
      <w:r>
        <w:t>.</w:t>
      </w:r>
    </w:p>
    <w:p w14:paraId="16111FAB" w14:textId="77777777" w:rsidR="00486119" w:rsidRDefault="00486119" w:rsidP="00486119">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79">
        <w:r>
          <w:rPr>
            <w:rStyle w:val="Hyperlink"/>
          </w:rPr>
          <w:t>10.1007/s00410-009-0455-9</w:t>
        </w:r>
      </w:hyperlink>
      <w:r>
        <w:t>.</w:t>
      </w:r>
    </w:p>
    <w:p w14:paraId="29F8A941" w14:textId="77777777" w:rsidR="00486119" w:rsidRDefault="00486119" w:rsidP="00486119">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80">
        <w:r>
          <w:rPr>
            <w:rStyle w:val="Hyperlink"/>
          </w:rPr>
          <w:t>10.1007/s004100000156</w:t>
        </w:r>
      </w:hyperlink>
      <w:r>
        <w:t>.</w:t>
      </w:r>
    </w:p>
    <w:p w14:paraId="4381FD0D" w14:textId="77777777" w:rsidR="00486119" w:rsidRDefault="00486119" w:rsidP="00486119">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81">
        <w:r>
          <w:rPr>
            <w:rStyle w:val="Hyperlink"/>
          </w:rPr>
          <w:t>10.1111/j.1365-246x.2009.04198.x</w:t>
        </w:r>
      </w:hyperlink>
      <w:r>
        <w:t>.</w:t>
      </w:r>
    </w:p>
    <w:p w14:paraId="6CD5BEC7" w14:textId="77777777" w:rsidR="00486119" w:rsidRDefault="00486119" w:rsidP="00486119">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14:paraId="5F04B713" w14:textId="77777777" w:rsidR="00486119" w:rsidRDefault="00486119" w:rsidP="00486119">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82">
        <w:r>
          <w:rPr>
            <w:rStyle w:val="Hyperlink"/>
          </w:rPr>
          <w:t>10.1180/minmag.1997.061.405.09</w:t>
        </w:r>
      </w:hyperlink>
      <w:r>
        <w:t>.</w:t>
      </w:r>
    </w:p>
    <w:p w14:paraId="52F04B90" w14:textId="77777777" w:rsidR="00486119" w:rsidRDefault="00486119" w:rsidP="00486119">
      <w:pPr>
        <w:pStyle w:val="Bibliography"/>
      </w:pPr>
      <w:r>
        <w:t xml:space="preserve">O’Reilly, S. Y., and W. L. Griffin (2010), The continental lithosphere-asthenosphere boundary: Can we sample it?, </w:t>
      </w:r>
      <w:r>
        <w:rPr>
          <w:i/>
        </w:rPr>
        <w:t>Lithos</w:t>
      </w:r>
      <w:r>
        <w:t xml:space="preserve">, </w:t>
      </w:r>
      <w:r>
        <w:rPr>
          <w:i/>
        </w:rPr>
        <w:t>120</w:t>
      </w:r>
      <w:r>
        <w:t>(1-2), 1–13, doi:</w:t>
      </w:r>
      <w:hyperlink r:id="rId83">
        <w:r>
          <w:rPr>
            <w:rStyle w:val="Hyperlink"/>
          </w:rPr>
          <w:t>10.1016/j.lithos.2010.03.016</w:t>
        </w:r>
      </w:hyperlink>
      <w:r>
        <w:t>.</w:t>
      </w:r>
    </w:p>
    <w:p w14:paraId="678FB039" w14:textId="77777777" w:rsidR="00486119" w:rsidRDefault="00486119" w:rsidP="00486119">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14:paraId="0E685D8A" w14:textId="77777777" w:rsidR="00486119" w:rsidRDefault="00486119" w:rsidP="00486119">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84">
        <w:r>
          <w:rPr>
            <w:rStyle w:val="Hyperlink"/>
          </w:rPr>
          <w:t>10.2307/30068676</w:t>
        </w:r>
      </w:hyperlink>
      <w:r>
        <w:t>.</w:t>
      </w:r>
    </w:p>
    <w:p w14:paraId="54D94103" w14:textId="77777777" w:rsidR="00486119" w:rsidRDefault="00486119" w:rsidP="00486119">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85">
        <w:r>
          <w:rPr>
            <w:rStyle w:val="Hyperlink"/>
          </w:rPr>
          <w:t>10.1016/j.epsl.2012.03.027</w:t>
        </w:r>
      </w:hyperlink>
      <w:r>
        <w:t>.</w:t>
      </w:r>
    </w:p>
    <w:p w14:paraId="2D9FEDAD" w14:textId="77777777" w:rsidR="00486119" w:rsidRDefault="00486119" w:rsidP="00486119">
      <w:pPr>
        <w:pStyle w:val="Bibliography"/>
      </w:pPr>
      <w:r>
        <w:t xml:space="preserve">Platt, J. P., and W. M. Behr (2011), Deep structure of lithospheric fault zones, </w:t>
      </w:r>
      <w:r>
        <w:rPr>
          <w:i/>
        </w:rPr>
        <w:t>Geophysical Research Letters</w:t>
      </w:r>
      <w:r>
        <w:t xml:space="preserve">, </w:t>
      </w:r>
      <w:r>
        <w:rPr>
          <w:i/>
        </w:rPr>
        <w:t>38</w:t>
      </w:r>
      <w:r>
        <w:t>(24), n/a—–n/a, doi:</w:t>
      </w:r>
      <w:hyperlink r:id="rId86">
        <w:r>
          <w:rPr>
            <w:rStyle w:val="Hyperlink"/>
          </w:rPr>
          <w:t>10.1029/2011gl049719</w:t>
        </w:r>
      </w:hyperlink>
      <w:r>
        <w:t>.</w:t>
      </w:r>
    </w:p>
    <w:p w14:paraId="6B6DDAAA" w14:textId="77777777" w:rsidR="00486119" w:rsidRDefault="00486119" w:rsidP="00486119">
      <w:pPr>
        <w:pStyle w:val="Bibliography"/>
      </w:pPr>
      <w:r>
        <w:lastRenderedPageBreak/>
        <w:t xml:space="preserve">Pollack, H. N., and D. S. Chapman (1977), On the regional variation of heat flow, geotherms, and lithospheric thickness, </w:t>
      </w:r>
      <w:r>
        <w:rPr>
          <w:i/>
        </w:rPr>
        <w:t>Tectonophysics</w:t>
      </w:r>
      <w:r>
        <w:t xml:space="preserve">, </w:t>
      </w:r>
      <w:r>
        <w:rPr>
          <w:i/>
        </w:rPr>
        <w:t>38</w:t>
      </w:r>
      <w:r>
        <w:t>(3-4), 279–296, doi:</w:t>
      </w:r>
      <w:hyperlink r:id="rId87">
        <w:r>
          <w:rPr>
            <w:rStyle w:val="Hyperlink"/>
          </w:rPr>
          <w:t>10.1016/0040-1951(77)90215-3</w:t>
        </w:r>
      </w:hyperlink>
      <w:r>
        <w:t>.</w:t>
      </w:r>
    </w:p>
    <w:p w14:paraId="706A9D46" w14:textId="77777777" w:rsidR="00486119" w:rsidRDefault="00486119" w:rsidP="00486119">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88">
        <w:r>
          <w:rPr>
            <w:rStyle w:val="Hyperlink"/>
          </w:rPr>
          <w:t>10.1016/S0012-821X(98)00213-1</w:t>
        </w:r>
      </w:hyperlink>
      <w:r>
        <w:t>.</w:t>
      </w:r>
    </w:p>
    <w:p w14:paraId="45206776" w14:textId="77777777" w:rsidR="00486119" w:rsidRDefault="00486119" w:rsidP="00486119">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14:paraId="072DFC67" w14:textId="77777777" w:rsidR="00486119" w:rsidRDefault="00486119" w:rsidP="00486119">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89">
        <w:r>
          <w:rPr>
            <w:rStyle w:val="Hyperlink"/>
          </w:rPr>
          <w:t>10.1029/2002TC001374</w:t>
        </w:r>
      </w:hyperlink>
      <w:r>
        <w:t>.</w:t>
      </w:r>
    </w:p>
    <w:p w14:paraId="0A38A96D" w14:textId="77777777" w:rsidR="00486119" w:rsidRDefault="00486119" w:rsidP="00486119">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14:paraId="3AC8824E" w14:textId="77777777" w:rsidR="00486119" w:rsidRDefault="00486119" w:rsidP="00486119">
      <w:pPr>
        <w:pStyle w:val="Bibliography"/>
      </w:pPr>
      <w:r>
        <w:t xml:space="preserve">Saleeby, J., and and 12 contributors (1986), Continent-ocean transect, corridor c2, monterey bay offshore to the colorado plateau, in </w:t>
      </w:r>
      <w:r>
        <w:rPr>
          <w:i/>
        </w:rPr>
        <w:t>Geologic society of america map and chart series tra c2, 2 sheets, scale 1:500,000</w:t>
      </w:r>
      <w:r>
        <w:t>, p. 87.</w:t>
      </w:r>
    </w:p>
    <w:p w14:paraId="393BBDA8" w14:textId="77777777" w:rsidR="00486119" w:rsidRDefault="00486119" w:rsidP="00486119">
      <w:pPr>
        <w:pStyle w:val="Bibliography"/>
      </w:pPr>
      <w:r>
        <w:t xml:space="preserve">Saleeby, J., K. A. Farley, R. W. Kistler, and R. J. Fleck (2007), Thermal evolution and exhumation of deep-level batholithic exposures, southernmost sierra nevada, california, in </w:t>
      </w:r>
      <w:r>
        <w:rPr>
          <w:i/>
        </w:rPr>
        <w:t>Special paper 419: Convergent margin terranes and associated regions: A tribute to w.G. ernst</w:t>
      </w:r>
      <w:r>
        <w:t>, pp. 39–66, Geological Society of America.</w:t>
      </w:r>
    </w:p>
    <w:p w14:paraId="43E7AF45" w14:textId="77777777" w:rsidR="00486119" w:rsidRDefault="00486119" w:rsidP="00486119">
      <w:pPr>
        <w:pStyle w:val="Bibliography"/>
      </w:pPr>
      <w:r>
        <w:t xml:space="preserve">Saleeby, J., L. L.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90">
        <w:r>
          <w:rPr>
            <w:rStyle w:val="Hyperlink"/>
          </w:rPr>
          <w:t>10.1130/ges00746.1</w:t>
        </w:r>
      </w:hyperlink>
      <w:r>
        <w:t>.</w:t>
      </w:r>
    </w:p>
    <w:p w14:paraId="2A3BD0B8" w14:textId="77777777" w:rsidR="00486119" w:rsidRDefault="00486119" w:rsidP="00486119">
      <w:pPr>
        <w:pStyle w:val="Bibliography"/>
      </w:pPr>
      <w:r>
        <w:t xml:space="preserve">Saleeby, J., Z. Saleeby, and F. Sousa (2013), From deep to modern time along the western sierra nevada foothills of california , san joaquin to kern river drainages, </w:t>
      </w:r>
      <w:r>
        <w:rPr>
          <w:i/>
        </w:rPr>
        <w:t>0032</w:t>
      </w:r>
      <w:r>
        <w:t>(2), 1–26, doi:</w:t>
      </w:r>
      <w:hyperlink r:id="rId91">
        <w:r>
          <w:rPr>
            <w:rStyle w:val="Hyperlink"/>
          </w:rPr>
          <w:t>10.1130/2013.0032(03).</w:t>
        </w:r>
      </w:hyperlink>
    </w:p>
    <w:p w14:paraId="53C2F6D6" w14:textId="77777777" w:rsidR="00486119" w:rsidRDefault="00486119" w:rsidP="00486119">
      <w:pPr>
        <w:pStyle w:val="Bibliography"/>
      </w:pPr>
      <w:r>
        <w:t xml:space="preserve">Seiders, V. (1989), Geologic map of the burnett peak quadrangle, monterey and san luis obispo counties, california, </w:t>
      </w:r>
      <w:r>
        <w:rPr>
          <w:i/>
        </w:rPr>
        <w:t>U.S. Geological Survey Geologic Maps</w:t>
      </w:r>
      <w:r>
        <w:t>.</w:t>
      </w:r>
    </w:p>
    <w:p w14:paraId="79846155" w14:textId="77777777" w:rsidR="00486119" w:rsidRDefault="00486119" w:rsidP="00486119">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92">
        <w:r>
          <w:rPr>
            <w:rStyle w:val="Hyperlink"/>
          </w:rPr>
          <w:t>10.1016/j.earscirev.2012.03.002</w:t>
        </w:r>
      </w:hyperlink>
      <w:r>
        <w:t>.</w:t>
      </w:r>
    </w:p>
    <w:p w14:paraId="6696E1CD" w14:textId="77777777" w:rsidR="00486119" w:rsidRDefault="00486119" w:rsidP="00486119">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93">
        <w:r>
          <w:rPr>
            <w:rStyle w:val="Hyperlink"/>
          </w:rPr>
          <w:t>10.1007/bf00306476</w:t>
        </w:r>
      </w:hyperlink>
      <w:r>
        <w:t>.</w:t>
      </w:r>
    </w:p>
    <w:p w14:paraId="45617347" w14:textId="77777777" w:rsidR="00486119" w:rsidRDefault="00486119" w:rsidP="00486119">
      <w:pPr>
        <w:pStyle w:val="Bibliography"/>
      </w:pPr>
      <w:r>
        <w:lastRenderedPageBreak/>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94">
        <w:r>
          <w:rPr>
            <w:rStyle w:val="Hyperlink"/>
          </w:rPr>
          <w:t>10.1130/g34214.1</w:t>
        </w:r>
      </w:hyperlink>
      <w:r>
        <w:t>.</w:t>
      </w:r>
    </w:p>
    <w:p w14:paraId="469043A8" w14:textId="77777777" w:rsidR="00486119" w:rsidRDefault="00486119" w:rsidP="00486119">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95">
        <w:r>
          <w:rPr>
            <w:rStyle w:val="Hyperlink"/>
          </w:rPr>
          <w:t>10.1016/0012-821x(73)90106-4</w:t>
        </w:r>
      </w:hyperlink>
      <w:r>
        <w:t>.</w:t>
      </w:r>
    </w:p>
    <w:p w14:paraId="27806E35" w14:textId="77777777" w:rsidR="00486119" w:rsidRDefault="00486119" w:rsidP="00486119">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14:paraId="0510A97F" w14:textId="77777777" w:rsidR="00486119" w:rsidRDefault="00486119" w:rsidP="00486119">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14:paraId="6B431020" w14:textId="77777777" w:rsidR="00486119" w:rsidRDefault="00486119" w:rsidP="00486119">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96">
        <w:r>
          <w:rPr>
            <w:rStyle w:val="Hyperlink"/>
          </w:rPr>
          <w:t>10.1029/2004GC000816</w:t>
        </w:r>
      </w:hyperlink>
      <w:r>
        <w:t>.</w:t>
      </w:r>
    </w:p>
    <w:p w14:paraId="06CE952A" w14:textId="77777777" w:rsidR="00486119" w:rsidRDefault="00486119" w:rsidP="00486119">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14:paraId="3E3D1159" w14:textId="77777777" w:rsidR="00486119" w:rsidRDefault="00486119" w:rsidP="00486119">
      <w:pPr>
        <w:pStyle w:val="Bibliography"/>
      </w:pPr>
      <w:r>
        <w:t xml:space="preserve">Stein, C. A. (1995), Heat flow of the earth, </w:t>
      </w:r>
      <w:r>
        <w:rPr>
          <w:i/>
        </w:rPr>
        <w:t>AGU Reference Shelf</w:t>
      </w:r>
      <w:r>
        <w:t>, 144–158, doi:</w:t>
      </w:r>
      <w:hyperlink r:id="rId97">
        <w:r>
          <w:rPr>
            <w:rStyle w:val="Hyperlink"/>
          </w:rPr>
          <w:t>10.1112/S0024609301008396</w:t>
        </w:r>
      </w:hyperlink>
      <w:r>
        <w:t>.</w:t>
      </w:r>
    </w:p>
    <w:p w14:paraId="47CF59CD" w14:textId="77777777" w:rsidR="00486119" w:rsidRDefault="00486119" w:rsidP="00486119">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98">
        <w:r>
          <w:rPr>
            <w:rStyle w:val="Hyperlink"/>
          </w:rPr>
          <w:t>10.1038/359123a0</w:t>
        </w:r>
      </w:hyperlink>
      <w:r>
        <w:t>.</w:t>
      </w:r>
    </w:p>
    <w:p w14:paraId="78B4D879" w14:textId="77777777" w:rsidR="00486119" w:rsidRDefault="00486119" w:rsidP="00486119">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99">
        <w:r>
          <w:rPr>
            <w:rStyle w:val="Hyperlink"/>
          </w:rPr>
          <w:t>10.1007/s00410-011-0700-x</w:t>
        </w:r>
      </w:hyperlink>
      <w:r>
        <w:t>.</w:t>
      </w:r>
    </w:p>
    <w:p w14:paraId="4CE19357" w14:textId="77777777" w:rsidR="00486119" w:rsidRDefault="00486119" w:rsidP="00486119">
      <w:pPr>
        <w:pStyle w:val="Bibliography"/>
      </w:pPr>
      <w:r>
        <w:t xml:space="preserve">Sun, D., M. Gurnis, J. Saleeby, and D. Helmberger (2017), A dipping, thick segment of the farallon slab beneath central us, </w:t>
      </w:r>
      <w:r>
        <w:rPr>
          <w:i/>
        </w:rPr>
        <w:t>Journal of Geophysical Research: Solid Earth</w:t>
      </w:r>
      <w:r>
        <w:t>, doi:</w:t>
      </w:r>
      <w:hyperlink r:id="rId100">
        <w:r>
          <w:rPr>
            <w:rStyle w:val="Hyperlink"/>
          </w:rPr>
          <w:t>10.1002/2016JB013915</w:t>
        </w:r>
      </w:hyperlink>
      <w:r>
        <w:t>.</w:t>
      </w:r>
    </w:p>
    <w:p w14:paraId="04DE5457" w14:textId="77777777" w:rsidR="00486119" w:rsidRDefault="00486119" w:rsidP="00486119">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101">
        <w:r>
          <w:rPr>
            <w:rStyle w:val="Hyperlink"/>
          </w:rPr>
          <w:t>10.1144/GSL.SP.1989.042.01.19</w:t>
        </w:r>
      </w:hyperlink>
      <w:r>
        <w:t>.</w:t>
      </w:r>
    </w:p>
    <w:p w14:paraId="60563803" w14:textId="77777777" w:rsidR="00486119" w:rsidRDefault="00486119" w:rsidP="00486119">
      <w:pPr>
        <w:pStyle w:val="Bibliography"/>
      </w:pPr>
      <w:r>
        <w:t xml:space="preserve">Taylor, W. (1998), An experimental test of some geothermometer and geobarometer formulations for upper mantle peridotites with application to the thermobarometry </w:t>
      </w:r>
      <w:r>
        <w:lastRenderedPageBreak/>
        <w:t xml:space="preserve">of fertile lherzolite and garnet websterite, </w:t>
      </w:r>
      <w:r>
        <w:rPr>
          <w:i/>
        </w:rPr>
        <w:t>Neues Jahrbuch für Mineralogie Abhandlungen</w:t>
      </w:r>
      <w:r>
        <w:t xml:space="preserve">, </w:t>
      </w:r>
      <w:r>
        <w:rPr>
          <w:i/>
        </w:rPr>
        <w:t>172</w:t>
      </w:r>
      <w:r>
        <w:t>(2), 381–408.</w:t>
      </w:r>
    </w:p>
    <w:p w14:paraId="66AFC3F2" w14:textId="77777777" w:rsidR="00486119" w:rsidRDefault="00486119" w:rsidP="00486119">
      <w:pPr>
        <w:pStyle w:val="Bibliography"/>
      </w:pPr>
      <w:r>
        <w:t xml:space="preserve">Thorkelson, D. J., and R. P. Taylor (1989), Cordilleran slab windows, </w:t>
      </w:r>
      <w:r>
        <w:rPr>
          <w:i/>
        </w:rPr>
        <w:t>Geology</w:t>
      </w:r>
      <w:r>
        <w:t xml:space="preserve">, </w:t>
      </w:r>
      <w:r>
        <w:rPr>
          <w:i/>
        </w:rPr>
        <w:t>17</w:t>
      </w:r>
      <w:r>
        <w:t>(9), 833–836, doi:</w:t>
      </w:r>
      <w:hyperlink r:id="rId102">
        <w:r>
          <w:rPr>
            <w:rStyle w:val="Hyperlink"/>
          </w:rPr>
          <w:t>10.1130/0091-7613(1989)017&lt;0833:CSW&gt;2.3.CO;2</w:t>
        </w:r>
      </w:hyperlink>
      <w:r>
        <w:t>.</w:t>
      </w:r>
    </w:p>
    <w:p w14:paraId="7FFD1A97" w14:textId="77777777" w:rsidR="00486119" w:rsidRDefault="00486119" w:rsidP="00486119">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103">
        <w:r>
          <w:rPr>
            <w:rStyle w:val="Hyperlink"/>
          </w:rPr>
          <w:t>10.1016/j.tecto.2006.07.004</w:t>
        </w:r>
      </w:hyperlink>
      <w:r>
        <w:t>.</w:t>
      </w:r>
    </w:p>
    <w:p w14:paraId="2BF2007A" w14:textId="77777777" w:rsidR="00486119" w:rsidRDefault="00486119" w:rsidP="00486119">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r:id="rId104">
        <w:r>
          <w:rPr>
            <w:rStyle w:val="Hyperlink"/>
          </w:rPr>
          <w:t>10.1130/0091-7613(1987)15&lt;254:PEFSSM&gt;2.0.CO;2</w:t>
        </w:r>
      </w:hyperlink>
      <w:r>
        <w:t>.</w:t>
      </w:r>
    </w:p>
    <w:p w14:paraId="7E091844" w14:textId="77777777" w:rsidR="00486119" w:rsidRDefault="00486119" w:rsidP="00486119">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14:paraId="3DF4E1A3" w14:textId="77777777" w:rsidR="00486119" w:rsidRDefault="00486119" w:rsidP="00486119">
      <w:pPr>
        <w:pStyle w:val="Bibliography"/>
      </w:pPr>
      <w:r>
        <w:t xml:space="preserve">Turcotte, D., and G. Schubert (2002), </w:t>
      </w:r>
      <w:r>
        <w:rPr>
          <w:i/>
        </w:rPr>
        <w:t>Geodynamics</w:t>
      </w:r>
      <w:r>
        <w:t>, 2nd ed., Cambridge University Press, Cambridge.</w:t>
      </w:r>
    </w:p>
    <w:p w14:paraId="76810AA5" w14:textId="77777777" w:rsidR="00486119" w:rsidRDefault="00486119" w:rsidP="00486119">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r:id="rId105">
        <w:r>
          <w:rPr>
            <w:rStyle w:val="Hyperlink"/>
          </w:rPr>
          <w:t>10.1130/0091-7613(2003)031&lt;0589:fotsfp&gt;2.0.co;2</w:t>
        </w:r>
      </w:hyperlink>
      <w:r>
        <w:t>.</w:t>
      </w:r>
    </w:p>
    <w:p w14:paraId="4F825360" w14:textId="77777777" w:rsidR="00486119" w:rsidRDefault="00486119" w:rsidP="00486119">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14:paraId="55C57865" w14:textId="77777777" w:rsidR="00486119" w:rsidRDefault="00486119" w:rsidP="00486119">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106">
        <w:r>
          <w:rPr>
            <w:rStyle w:val="Hyperlink"/>
          </w:rPr>
          <w:t>10.1016/j.tecto.2010.05.003</w:t>
        </w:r>
      </w:hyperlink>
      <w:r>
        <w:t>.</w:t>
      </w:r>
    </w:p>
    <w:p w14:paraId="13A89176" w14:textId="77777777" w:rsidR="00486119" w:rsidRDefault="00486119" w:rsidP="00486119">
      <w:pPr>
        <w:pStyle w:val="Bibliography"/>
      </w:pPr>
      <w:r>
        <w:t xml:space="preserve">Wang, Y., D. W. Forsyth, C. J. Rau, N. Carriero, B. Schmandt, J. B. Gaherty, and B. Savage (2013), Fossil slabs attached to unsubducted fragments of the farallon plate., </w:t>
      </w:r>
      <w:r>
        <w:rPr>
          <w:i/>
        </w:rPr>
        <w:t>Proceedings of the National Academy of Sciences of the United States of America</w:t>
      </w:r>
      <w:r>
        <w:t>, 5342–6, doi:</w:t>
      </w:r>
      <w:hyperlink r:id="rId107">
        <w:r>
          <w:rPr>
            <w:rStyle w:val="Hyperlink"/>
          </w:rPr>
          <w:t>10.1073/pnas.1214880110</w:t>
        </w:r>
      </w:hyperlink>
      <w:r>
        <w:t>.</w:t>
      </w:r>
    </w:p>
    <w:p w14:paraId="44E11C61" w14:textId="77777777" w:rsidR="00486119" w:rsidRDefault="00486119" w:rsidP="00486119">
      <w:pPr>
        <w:pStyle w:val="Bibliography"/>
      </w:pPr>
      <w:r>
        <w:t xml:space="preserve">Warren, J. (2016), Global variations in abyssal peridotite compositions, </w:t>
      </w:r>
      <w:r>
        <w:rPr>
          <w:i/>
        </w:rPr>
        <w:t>Lithos</w:t>
      </w:r>
      <w:r>
        <w:t xml:space="preserve">, </w:t>
      </w:r>
      <w:r>
        <w:rPr>
          <w:i/>
        </w:rPr>
        <w:t>248-251</w:t>
      </w:r>
      <w:r>
        <w:t>, 193–219, doi:</w:t>
      </w:r>
      <w:hyperlink r:id="rId108">
        <w:r>
          <w:rPr>
            <w:rStyle w:val="Hyperlink"/>
          </w:rPr>
          <w:t>10.1016/j.lithos.2015.12.023</w:t>
        </w:r>
      </w:hyperlink>
      <w:r>
        <w:t>.</w:t>
      </w:r>
    </w:p>
    <w:p w14:paraId="0B0A9E24" w14:textId="77777777" w:rsidR="00486119" w:rsidRDefault="00486119" w:rsidP="00486119">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109">
        <w:r>
          <w:rPr>
            <w:rStyle w:val="Hyperlink"/>
          </w:rPr>
          <w:t>10.1016/j.epsl.2006.06.006</w:t>
        </w:r>
      </w:hyperlink>
      <w:r>
        <w:t>.</w:t>
      </w:r>
    </w:p>
    <w:p w14:paraId="316189F2" w14:textId="77777777" w:rsidR="00486119" w:rsidRDefault="00486119" w:rsidP="00486119">
      <w:pPr>
        <w:pStyle w:val="Bibliography"/>
      </w:pPr>
      <w:r>
        <w:t xml:space="preserve">Wasserburg, G., S. Jacousen, D. DePaolo, M. McCulloch, and T. Wen (1981), Precise determination of ratios, sm and nd isotopic abundances in standard solutions, </w:t>
      </w:r>
      <w:r>
        <w:rPr>
          <w:i/>
        </w:rPr>
        <w:lastRenderedPageBreak/>
        <w:t>Geochimica et Cosmochimica Acta</w:t>
      </w:r>
      <w:r>
        <w:t xml:space="preserve">, </w:t>
      </w:r>
      <w:r>
        <w:rPr>
          <w:i/>
        </w:rPr>
        <w:t>45</w:t>
      </w:r>
      <w:r>
        <w:t>(Table 1), 2311–2323, doi:</w:t>
      </w:r>
      <w:hyperlink r:id="rId110">
        <w:r>
          <w:rPr>
            <w:rStyle w:val="Hyperlink"/>
          </w:rPr>
          <w:t>10.1016/0016-7037(81)90085-5</w:t>
        </w:r>
      </w:hyperlink>
      <w:r>
        <w:t>.</w:t>
      </w:r>
    </w:p>
    <w:p w14:paraId="05F5CB9B" w14:textId="77777777" w:rsidR="00486119" w:rsidRDefault="00486119" w:rsidP="00486119">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14:paraId="41909FBF" w14:textId="77777777" w:rsidR="00486119" w:rsidRDefault="00486119" w:rsidP="00486119">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111">
        <w:r>
          <w:rPr>
            <w:rStyle w:val="Hyperlink"/>
          </w:rPr>
          <w:t>10.1029/2003TC001621</w:t>
        </w:r>
      </w:hyperlink>
      <w:r>
        <w:t>.</w:t>
      </w:r>
    </w:p>
    <w:p w14:paraId="644D4331" w14:textId="77777777" w:rsidR="00486119" w:rsidRDefault="00486119" w:rsidP="00486119">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112">
        <w:r>
          <w:rPr>
            <w:rStyle w:val="Hyperlink"/>
          </w:rPr>
          <w:t>10.1016/j.chemgeo.2005.04.005</w:t>
        </w:r>
      </w:hyperlink>
      <w:r>
        <w:t>.</w:t>
      </w:r>
    </w:p>
    <w:p w14:paraId="0317A2B8" w14:textId="77777777" w:rsidR="00486119" w:rsidRDefault="00486119" w:rsidP="00486119">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113">
        <w:r>
          <w:rPr>
            <w:rStyle w:val="Hyperlink"/>
          </w:rPr>
          <w:t>10.1016/j.epsl.2004.12.005</w:t>
        </w:r>
      </w:hyperlink>
      <w:r>
        <w:t>.</w:t>
      </w:r>
    </w:p>
    <w:p w14:paraId="3CCA203F" w14:textId="77777777" w:rsidR="00486119" w:rsidRDefault="00486119" w:rsidP="00486119">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114">
        <w:r>
          <w:rPr>
            <w:rStyle w:val="Hyperlink"/>
          </w:rPr>
          <w:t>10.1016/j.epsl.2007.06.017</w:t>
        </w:r>
      </w:hyperlink>
      <w:r>
        <w:t>.</w:t>
      </w:r>
    </w:p>
    <w:p w14:paraId="3143DB98" w14:textId="77777777" w:rsidR="00486119" w:rsidRDefault="00486119" w:rsidP="00486119">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115">
        <w:r>
          <w:rPr>
            <w:rStyle w:val="Hyperlink"/>
          </w:rPr>
          <w:t>10.1111/j.1365-246x.2005.02506.x</w:t>
        </w:r>
      </w:hyperlink>
      <w:r>
        <w:t>.</w:t>
      </w:r>
    </w:p>
    <w:p w14:paraId="134C245F" w14:textId="77777777" w:rsidR="00486119" w:rsidRDefault="00486119" w:rsidP="00486119">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16">
        <w:r>
          <w:rPr>
            <w:rStyle w:val="Hyperlink"/>
          </w:rPr>
          <w:t>10.1038/nature02847</w:t>
        </w:r>
      </w:hyperlink>
      <w:r>
        <w:t>.</w:t>
      </w:r>
    </w:p>
    <w:p w14:paraId="0A74DB20" w14:textId="566B3DB9" w:rsidR="00555B45" w:rsidRDefault="00555B45">
      <w:pPr>
        <w:pStyle w:val="Bibliography"/>
      </w:pPr>
      <w:bookmarkStart w:id="49" w:name="model-setup"/>
      <w:bookmarkStart w:id="50" w:name="oceanic-geotherm"/>
      <w:bookmarkStart w:id="51" w:name="supra-subduction-geotherm"/>
      <w:bookmarkStart w:id="52" w:name="underplating"/>
      <w:bookmarkStart w:id="53" w:name="model-simplifications"/>
      <w:bookmarkStart w:id="54" w:name="model-results"/>
      <w:bookmarkStart w:id="55" w:name="contemporary-lithospheric-structure-and-"/>
      <w:bookmarkStart w:id="56" w:name="implications-of-petrologic-complexities-"/>
      <w:bookmarkStart w:id="57" w:name="sec:crystal_knob_eruption"/>
      <w:bookmarkStart w:id="58" w:name="conclusion"/>
      <w:bookmarkEnd w:id="49"/>
      <w:bookmarkEnd w:id="50"/>
      <w:bookmarkEnd w:id="51"/>
      <w:bookmarkEnd w:id="52"/>
      <w:bookmarkEnd w:id="53"/>
      <w:bookmarkEnd w:id="54"/>
      <w:bookmarkEnd w:id="55"/>
      <w:bookmarkEnd w:id="56"/>
      <w:bookmarkEnd w:id="57"/>
      <w:bookmarkEnd w:id="58"/>
    </w:p>
    <w:sectPr w:rsidR="00555B45" w:rsidSect="0001145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B3A82" w14:textId="77777777" w:rsidR="00D80FD5" w:rsidRDefault="00D80FD5">
      <w:pPr>
        <w:spacing w:after="0"/>
      </w:pPr>
      <w:r>
        <w:separator/>
      </w:r>
    </w:p>
  </w:endnote>
  <w:endnote w:type="continuationSeparator" w:id="0">
    <w:p w14:paraId="267DEB0C" w14:textId="77777777" w:rsidR="00D80FD5" w:rsidRDefault="00D80F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Prestige Elite Std Bold">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1B844" w14:textId="77777777" w:rsidR="00D80FD5" w:rsidRDefault="00D80FD5">
      <w:r>
        <w:separator/>
      </w:r>
    </w:p>
  </w:footnote>
  <w:footnote w:type="continuationSeparator" w:id="0">
    <w:p w14:paraId="2BA7AB4F" w14:textId="77777777" w:rsidR="00D80FD5" w:rsidRDefault="00D80F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00717D"/>
    <w:multiLevelType w:val="multilevel"/>
    <w:tmpl w:val="63924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C883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B5A762D"/>
    <w:multiLevelType w:val="multilevel"/>
    <w:tmpl w:val="CF244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452"/>
    <w:rsid w:val="00011C8B"/>
    <w:rsid w:val="000B5F23"/>
    <w:rsid w:val="000E3270"/>
    <w:rsid w:val="00111778"/>
    <w:rsid w:val="001317D1"/>
    <w:rsid w:val="002E3B32"/>
    <w:rsid w:val="003164AF"/>
    <w:rsid w:val="003E0D5E"/>
    <w:rsid w:val="003F4A1B"/>
    <w:rsid w:val="00442EA2"/>
    <w:rsid w:val="0046671D"/>
    <w:rsid w:val="00486119"/>
    <w:rsid w:val="004A494C"/>
    <w:rsid w:val="004C7B8F"/>
    <w:rsid w:val="004E29B3"/>
    <w:rsid w:val="00527094"/>
    <w:rsid w:val="00541A23"/>
    <w:rsid w:val="005427D0"/>
    <w:rsid w:val="00555B45"/>
    <w:rsid w:val="00590D07"/>
    <w:rsid w:val="005974B2"/>
    <w:rsid w:val="005C5AB7"/>
    <w:rsid w:val="00621522"/>
    <w:rsid w:val="00631B89"/>
    <w:rsid w:val="00642C03"/>
    <w:rsid w:val="00655ED9"/>
    <w:rsid w:val="0066783E"/>
    <w:rsid w:val="006C5E29"/>
    <w:rsid w:val="006E60C2"/>
    <w:rsid w:val="007014BB"/>
    <w:rsid w:val="00732126"/>
    <w:rsid w:val="00784D58"/>
    <w:rsid w:val="007908AE"/>
    <w:rsid w:val="007909FF"/>
    <w:rsid w:val="007D04F7"/>
    <w:rsid w:val="0081348A"/>
    <w:rsid w:val="00824ADA"/>
    <w:rsid w:val="00841D12"/>
    <w:rsid w:val="008D6863"/>
    <w:rsid w:val="009371D7"/>
    <w:rsid w:val="00A033A7"/>
    <w:rsid w:val="00A31A21"/>
    <w:rsid w:val="00A75A22"/>
    <w:rsid w:val="00A93623"/>
    <w:rsid w:val="00B86B75"/>
    <w:rsid w:val="00B952A3"/>
    <w:rsid w:val="00BB1CAE"/>
    <w:rsid w:val="00BC48D5"/>
    <w:rsid w:val="00BE1383"/>
    <w:rsid w:val="00C14697"/>
    <w:rsid w:val="00C36279"/>
    <w:rsid w:val="00C373C0"/>
    <w:rsid w:val="00C430A7"/>
    <w:rsid w:val="00CD5BA1"/>
    <w:rsid w:val="00D65A33"/>
    <w:rsid w:val="00D80FD5"/>
    <w:rsid w:val="00DC5C0A"/>
    <w:rsid w:val="00E315A3"/>
    <w:rsid w:val="00E40A10"/>
    <w:rsid w:val="00EC5D20"/>
    <w:rsid w:val="00F056FA"/>
    <w:rsid w:val="00F65A49"/>
    <w:rsid w:val="00FB6450"/>
    <w:rsid w:val="00FD6099"/>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B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lock Text" w:uiPriority="9"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55B45"/>
  </w:style>
  <w:style w:type="paragraph" w:styleId="Heading1">
    <w:name w:val="heading 1"/>
    <w:basedOn w:val="Normal"/>
    <w:next w:val="BodyText"/>
    <w:link w:val="Heading1Char"/>
    <w:uiPriority w:val="9"/>
    <w:qFormat/>
    <w:rsid w:val="00555B4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555B4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555B4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555B4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555B4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555B4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55B45"/>
    <w:pPr>
      <w:spacing w:before="180" w:after="180"/>
    </w:pPr>
  </w:style>
  <w:style w:type="paragraph" w:customStyle="1" w:styleId="FirstParagraph">
    <w:name w:val="First Paragraph"/>
    <w:basedOn w:val="BodyText"/>
    <w:next w:val="BodyText"/>
    <w:qFormat/>
    <w:rsid w:val="00555B45"/>
  </w:style>
  <w:style w:type="paragraph" w:customStyle="1" w:styleId="Compact">
    <w:name w:val="Compact"/>
    <w:basedOn w:val="BodyText"/>
    <w:qFormat/>
    <w:rsid w:val="00555B45"/>
    <w:pPr>
      <w:spacing w:before="36" w:after="36"/>
    </w:pPr>
  </w:style>
  <w:style w:type="paragraph" w:styleId="Title">
    <w:name w:val="Title"/>
    <w:basedOn w:val="Normal"/>
    <w:next w:val="BodyText"/>
    <w:link w:val="TitleChar"/>
    <w:qFormat/>
    <w:rsid w:val="00555B4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555B45"/>
    <w:pPr>
      <w:spacing w:before="240"/>
    </w:pPr>
    <w:rPr>
      <w:sz w:val="30"/>
      <w:szCs w:val="30"/>
    </w:rPr>
  </w:style>
  <w:style w:type="paragraph" w:customStyle="1" w:styleId="Author">
    <w:name w:val="Author"/>
    <w:next w:val="BodyText"/>
    <w:qFormat/>
    <w:rsid w:val="00555B45"/>
    <w:pPr>
      <w:keepNext/>
      <w:keepLines/>
      <w:jc w:val="center"/>
    </w:pPr>
  </w:style>
  <w:style w:type="paragraph" w:styleId="Date">
    <w:name w:val="Date"/>
    <w:next w:val="BodyText"/>
    <w:link w:val="DateChar"/>
    <w:qFormat/>
    <w:rsid w:val="00555B45"/>
    <w:pPr>
      <w:keepNext/>
      <w:keepLines/>
      <w:jc w:val="center"/>
    </w:pPr>
  </w:style>
  <w:style w:type="paragraph" w:customStyle="1" w:styleId="Abstract">
    <w:name w:val="Abstract"/>
    <w:basedOn w:val="Normal"/>
    <w:next w:val="BodyText"/>
    <w:qFormat/>
    <w:rsid w:val="00555B45"/>
    <w:pPr>
      <w:keepNext/>
      <w:keepLines/>
      <w:spacing w:before="300" w:after="300"/>
    </w:pPr>
    <w:rPr>
      <w:sz w:val="20"/>
      <w:szCs w:val="20"/>
    </w:rPr>
  </w:style>
  <w:style w:type="paragraph" w:styleId="Bibliography">
    <w:name w:val="Bibliography"/>
    <w:basedOn w:val="Normal"/>
    <w:qFormat/>
    <w:rsid w:val="00555B45"/>
  </w:style>
  <w:style w:type="paragraph" w:styleId="BlockText">
    <w:name w:val="Block Text"/>
    <w:basedOn w:val="BodyText"/>
    <w:next w:val="BodyText"/>
    <w:uiPriority w:val="9"/>
    <w:unhideWhenUsed/>
    <w:qFormat/>
    <w:rsid w:val="00555B45"/>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55B45"/>
  </w:style>
  <w:style w:type="paragraph" w:customStyle="1" w:styleId="DefinitionTerm">
    <w:name w:val="Definition Term"/>
    <w:basedOn w:val="Normal"/>
    <w:next w:val="Definition"/>
    <w:rsid w:val="00555B45"/>
    <w:pPr>
      <w:keepNext/>
      <w:keepLines/>
      <w:spacing w:after="0"/>
    </w:pPr>
    <w:rPr>
      <w:b/>
    </w:rPr>
  </w:style>
  <w:style w:type="paragraph" w:customStyle="1" w:styleId="Definition">
    <w:name w:val="Definition"/>
    <w:basedOn w:val="Normal"/>
    <w:rsid w:val="00555B45"/>
  </w:style>
  <w:style w:type="paragraph" w:styleId="Caption">
    <w:name w:val="caption"/>
    <w:basedOn w:val="Normal"/>
    <w:link w:val="CaptionChar"/>
    <w:rsid w:val="00555B45"/>
    <w:pPr>
      <w:spacing w:after="120"/>
    </w:pPr>
    <w:rPr>
      <w:i/>
    </w:rPr>
  </w:style>
  <w:style w:type="paragraph" w:customStyle="1" w:styleId="TableCaption">
    <w:name w:val="Table Caption"/>
    <w:basedOn w:val="Caption"/>
    <w:rsid w:val="00555B45"/>
    <w:pPr>
      <w:keepNext/>
    </w:pPr>
  </w:style>
  <w:style w:type="paragraph" w:customStyle="1" w:styleId="ImageCaption">
    <w:name w:val="Image Caption"/>
    <w:basedOn w:val="Caption"/>
    <w:rsid w:val="00555B45"/>
  </w:style>
  <w:style w:type="paragraph" w:customStyle="1" w:styleId="Figure">
    <w:name w:val="Figure"/>
    <w:basedOn w:val="Normal"/>
    <w:rsid w:val="00555B45"/>
  </w:style>
  <w:style w:type="paragraph" w:customStyle="1" w:styleId="FigurewithCaption">
    <w:name w:val="Figure with Caption"/>
    <w:basedOn w:val="Figure"/>
    <w:rsid w:val="00555B45"/>
    <w:pPr>
      <w:keepNext/>
    </w:pPr>
  </w:style>
  <w:style w:type="character" w:customStyle="1" w:styleId="CaptionChar">
    <w:name w:val="Caption Char"/>
    <w:basedOn w:val="DefaultParagraphFont"/>
    <w:link w:val="Caption"/>
    <w:rsid w:val="00555B45"/>
  </w:style>
  <w:style w:type="character" w:customStyle="1" w:styleId="VerbatimChar">
    <w:name w:val="Verbatim Char"/>
    <w:basedOn w:val="CaptionChar"/>
    <w:link w:val="SourceCode"/>
    <w:rsid w:val="00555B45"/>
    <w:rPr>
      <w:rFonts w:ascii="Consolas" w:hAnsi="Consolas"/>
      <w:sz w:val="22"/>
    </w:rPr>
  </w:style>
  <w:style w:type="character" w:styleId="FootnoteReference">
    <w:name w:val="footnote reference"/>
    <w:basedOn w:val="CaptionChar"/>
    <w:rsid w:val="00555B45"/>
    <w:rPr>
      <w:vertAlign w:val="superscript"/>
    </w:rPr>
  </w:style>
  <w:style w:type="character" w:styleId="Hyperlink">
    <w:name w:val="Hyperlink"/>
    <w:basedOn w:val="CaptionChar"/>
    <w:rsid w:val="00555B45"/>
    <w:rPr>
      <w:color w:val="4F81BD" w:themeColor="accent1"/>
    </w:rPr>
  </w:style>
  <w:style w:type="paragraph" w:styleId="TOCHeading">
    <w:name w:val="TOC Heading"/>
    <w:basedOn w:val="Heading1"/>
    <w:next w:val="BodyText"/>
    <w:uiPriority w:val="39"/>
    <w:unhideWhenUsed/>
    <w:qFormat/>
    <w:rsid w:val="00555B4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55B45"/>
    <w:pPr>
      <w:wordWrap w:val="0"/>
    </w:pPr>
  </w:style>
  <w:style w:type="character" w:customStyle="1" w:styleId="KeywordTok">
    <w:name w:val="KeywordTok"/>
    <w:basedOn w:val="VerbatimChar"/>
    <w:rsid w:val="00555B45"/>
    <w:rPr>
      <w:rFonts w:ascii="Consolas" w:hAnsi="Consolas"/>
      <w:b/>
      <w:color w:val="007020"/>
      <w:sz w:val="22"/>
    </w:rPr>
  </w:style>
  <w:style w:type="character" w:customStyle="1" w:styleId="DataTypeTok">
    <w:name w:val="DataTypeTok"/>
    <w:basedOn w:val="VerbatimChar"/>
    <w:rsid w:val="00555B45"/>
    <w:rPr>
      <w:rFonts w:ascii="Consolas" w:hAnsi="Consolas"/>
      <w:color w:val="902000"/>
      <w:sz w:val="22"/>
    </w:rPr>
  </w:style>
  <w:style w:type="character" w:customStyle="1" w:styleId="DecValTok">
    <w:name w:val="DecValTok"/>
    <w:basedOn w:val="VerbatimChar"/>
    <w:rsid w:val="00555B45"/>
    <w:rPr>
      <w:rFonts w:ascii="Consolas" w:hAnsi="Consolas"/>
      <w:color w:val="40A070"/>
      <w:sz w:val="22"/>
    </w:rPr>
  </w:style>
  <w:style w:type="character" w:customStyle="1" w:styleId="BaseNTok">
    <w:name w:val="BaseNTok"/>
    <w:basedOn w:val="VerbatimChar"/>
    <w:rsid w:val="00555B45"/>
    <w:rPr>
      <w:rFonts w:ascii="Consolas" w:hAnsi="Consolas"/>
      <w:color w:val="40A070"/>
      <w:sz w:val="22"/>
    </w:rPr>
  </w:style>
  <w:style w:type="character" w:customStyle="1" w:styleId="FloatTok">
    <w:name w:val="FloatTok"/>
    <w:basedOn w:val="VerbatimChar"/>
    <w:rsid w:val="00555B45"/>
    <w:rPr>
      <w:rFonts w:ascii="Consolas" w:hAnsi="Consolas"/>
      <w:color w:val="40A070"/>
      <w:sz w:val="22"/>
    </w:rPr>
  </w:style>
  <w:style w:type="character" w:customStyle="1" w:styleId="ConstantTok">
    <w:name w:val="ConstantTok"/>
    <w:basedOn w:val="VerbatimChar"/>
    <w:rsid w:val="00555B45"/>
    <w:rPr>
      <w:rFonts w:ascii="Consolas" w:hAnsi="Consolas"/>
      <w:color w:val="880000"/>
      <w:sz w:val="22"/>
    </w:rPr>
  </w:style>
  <w:style w:type="character" w:customStyle="1" w:styleId="CharTok">
    <w:name w:val="CharTok"/>
    <w:basedOn w:val="VerbatimChar"/>
    <w:rsid w:val="00555B45"/>
    <w:rPr>
      <w:rFonts w:ascii="Consolas" w:hAnsi="Consolas"/>
      <w:color w:val="4070A0"/>
      <w:sz w:val="22"/>
    </w:rPr>
  </w:style>
  <w:style w:type="character" w:customStyle="1" w:styleId="SpecialCharTok">
    <w:name w:val="SpecialCharTok"/>
    <w:basedOn w:val="VerbatimChar"/>
    <w:rsid w:val="00555B45"/>
    <w:rPr>
      <w:rFonts w:ascii="Consolas" w:hAnsi="Consolas"/>
      <w:color w:val="4070A0"/>
      <w:sz w:val="22"/>
    </w:rPr>
  </w:style>
  <w:style w:type="character" w:customStyle="1" w:styleId="StringTok">
    <w:name w:val="StringTok"/>
    <w:basedOn w:val="VerbatimChar"/>
    <w:rsid w:val="00555B45"/>
    <w:rPr>
      <w:rFonts w:ascii="Consolas" w:hAnsi="Consolas"/>
      <w:color w:val="4070A0"/>
      <w:sz w:val="22"/>
    </w:rPr>
  </w:style>
  <w:style w:type="character" w:customStyle="1" w:styleId="VerbatimStringTok">
    <w:name w:val="VerbatimStringTok"/>
    <w:basedOn w:val="VerbatimChar"/>
    <w:rsid w:val="00555B45"/>
    <w:rPr>
      <w:rFonts w:ascii="Consolas" w:hAnsi="Consolas"/>
      <w:color w:val="4070A0"/>
      <w:sz w:val="22"/>
    </w:rPr>
  </w:style>
  <w:style w:type="character" w:customStyle="1" w:styleId="SpecialStringTok">
    <w:name w:val="SpecialStringTok"/>
    <w:basedOn w:val="VerbatimChar"/>
    <w:rsid w:val="00555B45"/>
    <w:rPr>
      <w:rFonts w:ascii="Consolas" w:hAnsi="Consolas"/>
      <w:color w:val="BB6688"/>
      <w:sz w:val="22"/>
    </w:rPr>
  </w:style>
  <w:style w:type="character" w:customStyle="1" w:styleId="ImportTok">
    <w:name w:val="ImportTok"/>
    <w:basedOn w:val="VerbatimChar"/>
    <w:rsid w:val="00555B45"/>
    <w:rPr>
      <w:rFonts w:ascii="Consolas" w:hAnsi="Consolas"/>
      <w:sz w:val="22"/>
    </w:rPr>
  </w:style>
  <w:style w:type="character" w:customStyle="1" w:styleId="CommentTok">
    <w:name w:val="CommentTok"/>
    <w:basedOn w:val="VerbatimChar"/>
    <w:rsid w:val="00555B45"/>
    <w:rPr>
      <w:rFonts w:ascii="Consolas" w:hAnsi="Consolas"/>
      <w:i/>
      <w:color w:val="60A0B0"/>
      <w:sz w:val="22"/>
    </w:rPr>
  </w:style>
  <w:style w:type="character" w:customStyle="1" w:styleId="DocumentationTok">
    <w:name w:val="DocumentationTok"/>
    <w:basedOn w:val="VerbatimChar"/>
    <w:rsid w:val="00555B45"/>
    <w:rPr>
      <w:rFonts w:ascii="Consolas" w:hAnsi="Consolas"/>
      <w:i/>
      <w:color w:val="BA2121"/>
      <w:sz w:val="22"/>
    </w:rPr>
  </w:style>
  <w:style w:type="character" w:customStyle="1" w:styleId="AnnotationTok">
    <w:name w:val="AnnotationTok"/>
    <w:basedOn w:val="VerbatimChar"/>
    <w:rsid w:val="00555B45"/>
    <w:rPr>
      <w:rFonts w:ascii="Consolas" w:hAnsi="Consolas"/>
      <w:b/>
      <w:i/>
      <w:color w:val="60A0B0"/>
      <w:sz w:val="22"/>
    </w:rPr>
  </w:style>
  <w:style w:type="character" w:customStyle="1" w:styleId="CommentVarTok">
    <w:name w:val="CommentVarTok"/>
    <w:basedOn w:val="VerbatimChar"/>
    <w:rsid w:val="00555B45"/>
    <w:rPr>
      <w:rFonts w:ascii="Consolas" w:hAnsi="Consolas"/>
      <w:b/>
      <w:i/>
      <w:color w:val="60A0B0"/>
      <w:sz w:val="22"/>
    </w:rPr>
  </w:style>
  <w:style w:type="character" w:customStyle="1" w:styleId="OtherTok">
    <w:name w:val="OtherTok"/>
    <w:basedOn w:val="VerbatimChar"/>
    <w:rsid w:val="00555B45"/>
    <w:rPr>
      <w:rFonts w:ascii="Consolas" w:hAnsi="Consolas"/>
      <w:color w:val="007020"/>
      <w:sz w:val="22"/>
    </w:rPr>
  </w:style>
  <w:style w:type="character" w:customStyle="1" w:styleId="FunctionTok">
    <w:name w:val="FunctionTok"/>
    <w:basedOn w:val="VerbatimChar"/>
    <w:rsid w:val="00555B45"/>
    <w:rPr>
      <w:rFonts w:ascii="Consolas" w:hAnsi="Consolas"/>
      <w:color w:val="06287E"/>
      <w:sz w:val="22"/>
    </w:rPr>
  </w:style>
  <w:style w:type="character" w:customStyle="1" w:styleId="VariableTok">
    <w:name w:val="VariableTok"/>
    <w:basedOn w:val="VerbatimChar"/>
    <w:rsid w:val="00555B45"/>
    <w:rPr>
      <w:rFonts w:ascii="Consolas" w:hAnsi="Consolas"/>
      <w:color w:val="19177C"/>
      <w:sz w:val="22"/>
    </w:rPr>
  </w:style>
  <w:style w:type="character" w:customStyle="1" w:styleId="ControlFlowTok">
    <w:name w:val="ControlFlowTok"/>
    <w:basedOn w:val="VerbatimChar"/>
    <w:rsid w:val="00555B45"/>
    <w:rPr>
      <w:rFonts w:ascii="Consolas" w:hAnsi="Consolas"/>
      <w:b/>
      <w:color w:val="007020"/>
      <w:sz w:val="22"/>
    </w:rPr>
  </w:style>
  <w:style w:type="character" w:customStyle="1" w:styleId="OperatorTok">
    <w:name w:val="OperatorTok"/>
    <w:basedOn w:val="VerbatimChar"/>
    <w:rsid w:val="00555B45"/>
    <w:rPr>
      <w:rFonts w:ascii="Consolas" w:hAnsi="Consolas"/>
      <w:color w:val="666666"/>
      <w:sz w:val="22"/>
    </w:rPr>
  </w:style>
  <w:style w:type="character" w:customStyle="1" w:styleId="BuiltInTok">
    <w:name w:val="BuiltInTok"/>
    <w:basedOn w:val="VerbatimChar"/>
    <w:rsid w:val="00555B45"/>
    <w:rPr>
      <w:rFonts w:ascii="Consolas" w:hAnsi="Consolas"/>
      <w:sz w:val="22"/>
    </w:rPr>
  </w:style>
  <w:style w:type="character" w:customStyle="1" w:styleId="ExtensionTok">
    <w:name w:val="ExtensionTok"/>
    <w:basedOn w:val="VerbatimChar"/>
    <w:rsid w:val="00555B45"/>
    <w:rPr>
      <w:rFonts w:ascii="Consolas" w:hAnsi="Consolas"/>
      <w:sz w:val="22"/>
    </w:rPr>
  </w:style>
  <w:style w:type="character" w:customStyle="1" w:styleId="PreprocessorTok">
    <w:name w:val="PreprocessorTok"/>
    <w:basedOn w:val="VerbatimChar"/>
    <w:rsid w:val="00555B45"/>
    <w:rPr>
      <w:rFonts w:ascii="Consolas" w:hAnsi="Consolas"/>
      <w:color w:val="BC7A00"/>
      <w:sz w:val="22"/>
    </w:rPr>
  </w:style>
  <w:style w:type="character" w:customStyle="1" w:styleId="AttributeTok">
    <w:name w:val="AttributeTok"/>
    <w:basedOn w:val="VerbatimChar"/>
    <w:rsid w:val="00555B45"/>
    <w:rPr>
      <w:rFonts w:ascii="Consolas" w:hAnsi="Consolas"/>
      <w:color w:val="7D9029"/>
      <w:sz w:val="22"/>
    </w:rPr>
  </w:style>
  <w:style w:type="character" w:customStyle="1" w:styleId="RegionMarkerTok">
    <w:name w:val="RegionMarkerTok"/>
    <w:basedOn w:val="VerbatimChar"/>
    <w:rsid w:val="00555B45"/>
    <w:rPr>
      <w:rFonts w:ascii="Consolas" w:hAnsi="Consolas"/>
      <w:sz w:val="22"/>
    </w:rPr>
  </w:style>
  <w:style w:type="character" w:customStyle="1" w:styleId="InformationTok">
    <w:name w:val="InformationTok"/>
    <w:basedOn w:val="VerbatimChar"/>
    <w:rsid w:val="00555B45"/>
    <w:rPr>
      <w:rFonts w:ascii="Consolas" w:hAnsi="Consolas"/>
      <w:b/>
      <w:i/>
      <w:color w:val="60A0B0"/>
      <w:sz w:val="22"/>
    </w:rPr>
  </w:style>
  <w:style w:type="character" w:customStyle="1" w:styleId="WarningTok">
    <w:name w:val="WarningTok"/>
    <w:basedOn w:val="VerbatimChar"/>
    <w:rsid w:val="00555B45"/>
    <w:rPr>
      <w:rFonts w:ascii="Consolas" w:hAnsi="Consolas"/>
      <w:b/>
      <w:i/>
      <w:color w:val="60A0B0"/>
      <w:sz w:val="22"/>
    </w:rPr>
  </w:style>
  <w:style w:type="character" w:customStyle="1" w:styleId="AlertTok">
    <w:name w:val="AlertTok"/>
    <w:basedOn w:val="VerbatimChar"/>
    <w:rsid w:val="00555B45"/>
    <w:rPr>
      <w:rFonts w:ascii="Consolas" w:hAnsi="Consolas"/>
      <w:b/>
      <w:color w:val="FF0000"/>
      <w:sz w:val="22"/>
    </w:rPr>
  </w:style>
  <w:style w:type="character" w:customStyle="1" w:styleId="ErrorTok">
    <w:name w:val="ErrorTok"/>
    <w:basedOn w:val="VerbatimChar"/>
    <w:rsid w:val="00555B45"/>
    <w:rPr>
      <w:rFonts w:ascii="Consolas" w:hAnsi="Consolas"/>
      <w:b/>
      <w:color w:val="FF0000"/>
      <w:sz w:val="22"/>
    </w:rPr>
  </w:style>
  <w:style w:type="character" w:customStyle="1" w:styleId="NormalTok">
    <w:name w:val="NormalTok"/>
    <w:basedOn w:val="VerbatimChar"/>
    <w:rsid w:val="00555B45"/>
    <w:rPr>
      <w:rFonts w:ascii="Consolas" w:hAnsi="Consolas"/>
      <w:sz w:val="22"/>
    </w:rPr>
  </w:style>
  <w:style w:type="paragraph" w:styleId="BalloonText">
    <w:name w:val="Balloon Text"/>
    <w:basedOn w:val="Normal"/>
    <w:link w:val="BalloonTextChar"/>
    <w:rsid w:val="00824ADA"/>
    <w:pPr>
      <w:spacing w:after="0"/>
    </w:pPr>
    <w:rPr>
      <w:rFonts w:ascii="Lucida Grande" w:hAnsi="Lucida Grande"/>
      <w:sz w:val="18"/>
      <w:szCs w:val="18"/>
    </w:rPr>
  </w:style>
  <w:style w:type="character" w:customStyle="1" w:styleId="BalloonTextChar">
    <w:name w:val="Balloon Text Char"/>
    <w:basedOn w:val="DefaultParagraphFont"/>
    <w:link w:val="BalloonText"/>
    <w:rsid w:val="00824ADA"/>
    <w:rPr>
      <w:rFonts w:ascii="Lucida Grande" w:hAnsi="Lucida Grande"/>
      <w:sz w:val="18"/>
      <w:szCs w:val="18"/>
    </w:rPr>
  </w:style>
  <w:style w:type="paragraph" w:styleId="Revision">
    <w:name w:val="Revision"/>
    <w:hidden/>
    <w:semiHidden/>
    <w:rsid w:val="00E40A10"/>
    <w:pPr>
      <w:spacing w:after="0"/>
    </w:pPr>
  </w:style>
  <w:style w:type="character" w:customStyle="1" w:styleId="Heading1Char">
    <w:name w:val="Heading 1 Char"/>
    <w:basedOn w:val="DefaultParagraphFont"/>
    <w:link w:val="Heading1"/>
    <w:uiPriority w:val="9"/>
    <w:rsid w:val="0048611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6119"/>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48611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48611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486119"/>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486119"/>
    <w:rPr>
      <w:rFonts w:asciiTheme="majorHAnsi" w:eastAsiaTheme="majorEastAsia" w:hAnsiTheme="majorHAnsi" w:cstheme="majorBidi"/>
      <w:color w:val="4F81BD" w:themeColor="accent1"/>
    </w:rPr>
  </w:style>
  <w:style w:type="character" w:customStyle="1" w:styleId="BodyTextChar">
    <w:name w:val="Body Text Char"/>
    <w:basedOn w:val="DefaultParagraphFont"/>
    <w:link w:val="BodyText"/>
    <w:rsid w:val="00486119"/>
  </w:style>
  <w:style w:type="character" w:customStyle="1" w:styleId="TitleChar">
    <w:name w:val="Title Char"/>
    <w:basedOn w:val="DefaultParagraphFont"/>
    <w:link w:val="Title"/>
    <w:rsid w:val="00486119"/>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86119"/>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486119"/>
  </w:style>
  <w:style w:type="character" w:customStyle="1" w:styleId="FootnoteTextChar">
    <w:name w:val="Footnote Text Char"/>
    <w:basedOn w:val="DefaultParagraphFont"/>
    <w:link w:val="FootnoteText"/>
    <w:uiPriority w:val="9"/>
    <w:rsid w:val="00486119"/>
  </w:style>
  <w:style w:type="paragraph" w:styleId="Header">
    <w:name w:val="header"/>
    <w:basedOn w:val="Normal"/>
    <w:link w:val="HeaderChar"/>
    <w:unhideWhenUsed/>
    <w:rsid w:val="00486119"/>
    <w:pPr>
      <w:tabs>
        <w:tab w:val="center" w:pos="4680"/>
        <w:tab w:val="right" w:pos="9360"/>
      </w:tabs>
      <w:spacing w:after="0"/>
    </w:pPr>
  </w:style>
  <w:style w:type="character" w:customStyle="1" w:styleId="HeaderChar">
    <w:name w:val="Header Char"/>
    <w:basedOn w:val="DefaultParagraphFont"/>
    <w:link w:val="Header"/>
    <w:rsid w:val="00486119"/>
  </w:style>
  <w:style w:type="paragraph" w:styleId="Footer">
    <w:name w:val="footer"/>
    <w:basedOn w:val="Normal"/>
    <w:link w:val="FooterChar"/>
    <w:unhideWhenUsed/>
    <w:rsid w:val="00486119"/>
    <w:pPr>
      <w:tabs>
        <w:tab w:val="center" w:pos="4680"/>
        <w:tab w:val="right" w:pos="9360"/>
      </w:tabs>
      <w:spacing w:after="0"/>
    </w:pPr>
  </w:style>
  <w:style w:type="character" w:customStyle="1" w:styleId="FooterChar">
    <w:name w:val="Footer Char"/>
    <w:basedOn w:val="DefaultParagraphFont"/>
    <w:link w:val="Footer"/>
    <w:rsid w:val="0048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144/GSL.SP.1989.042.01.19" TargetMode="External"/><Relationship Id="rId102" Type="http://schemas.openxmlformats.org/officeDocument/2006/relationships/hyperlink" Target="https://doi.org/10.1130/0091-7613(1989)017%3c0833:CSW%3e2.3.CO;2" TargetMode="External"/><Relationship Id="rId103" Type="http://schemas.openxmlformats.org/officeDocument/2006/relationships/hyperlink" Target="https://doi.org/10.1016/j.tecto.2006.07.004" TargetMode="External"/><Relationship Id="rId104" Type="http://schemas.openxmlformats.org/officeDocument/2006/relationships/hyperlink" Target="https://doi.org/10.1130/0091-7613(1987)15%3c254:PEFSSM%3e2.0.CO;2" TargetMode="External"/><Relationship Id="rId105" Type="http://schemas.openxmlformats.org/officeDocument/2006/relationships/hyperlink" Target="https://doi.org/10.1130/0091-7613(2003)031%3c0589:fotsfp%3e2.0.co;2" TargetMode="External"/><Relationship Id="rId106" Type="http://schemas.openxmlformats.org/officeDocument/2006/relationships/hyperlink" Target="https://doi.org/10.1016/j.tecto.2010.05.003" TargetMode="External"/><Relationship Id="rId107" Type="http://schemas.openxmlformats.org/officeDocument/2006/relationships/hyperlink" Target="https://doi.org/10.1073/pnas.121488011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29/94jb01555" TargetMode="External"/><Relationship Id="rId8" Type="http://schemas.openxmlformats.org/officeDocument/2006/relationships/hyperlink" Target="https://doi.org/10.1130/0091-7613(1991)019%3c1085:csnnam%3e2.3.co;2" TargetMode="External"/><Relationship Id="rId9" Type="http://schemas.openxmlformats.org/officeDocument/2006/relationships/hyperlink" Target="https://doi.org/10.1130/0016-7606(1970)81" TargetMode="External"/><Relationship Id="rId108" Type="http://schemas.openxmlformats.org/officeDocument/2006/relationships/hyperlink" Target="https://doi.org/10.1016/j.lithos.2015.12.023" TargetMode="External"/><Relationship Id="rId109" Type="http://schemas.openxmlformats.org/officeDocument/2006/relationships/hyperlink" Target="https://doi.org/10.1016/j.epsl.2006.06.006" TargetMode="External"/><Relationship Id="rId10" Type="http://schemas.openxmlformats.org/officeDocument/2006/relationships/hyperlink" Target="https://doi.org/10.1080/00206819809465216" TargetMode="External"/><Relationship Id="rId11" Type="http://schemas.openxmlformats.org/officeDocument/2006/relationships/hyperlink" Target="https://doi.org/10.1130/b25496.1" TargetMode="External"/><Relationship Id="rId12" Type="http://schemas.openxmlformats.org/officeDocument/2006/relationships/hyperlink" Target="https://doi.org/10.1029/94jb02883" TargetMode="External"/><Relationship Id="rId13" Type="http://schemas.openxmlformats.org/officeDocument/2006/relationships/hyperlink" Target="https://doi.org/10.1016/S0012-821X(03)00129-8" TargetMode="External"/><Relationship Id="rId14" Type="http://schemas.openxmlformats.org/officeDocument/2006/relationships/hyperlink" Target="https://doi.org/10.1130/0016-7606(1995)107%3c0937:TIOPMP%3e2.3.CO;2" TargetMode="External"/><Relationship Id="rId15" Type="http://schemas.openxmlformats.org/officeDocument/2006/relationships/hyperlink" Target="https://doi.org/10.1093/petrology/egp079" TargetMode="External"/><Relationship Id="rId16" Type="http://schemas.openxmlformats.org/officeDocument/2006/relationships/hyperlink" Target="https://doi.org/10.1016/j.lithos.2005.06.003" TargetMode="External"/><Relationship Id="rId17" Type="http://schemas.openxmlformats.org/officeDocument/2006/relationships/hyperlink" Target="https://doi.org/10.1080/00206819909465142" TargetMode="External"/><Relationship Id="rId18" Type="http://schemas.openxmlformats.org/officeDocument/2006/relationships/hyperlink" Target="https://doi.org/10.1029/2009JB006402" TargetMode="External"/><Relationship Id="rId19" Type="http://schemas.openxmlformats.org/officeDocument/2006/relationships/hyperlink" Target="https://doi.org/10.1146/annurev.earth.36.031207.124326" TargetMode="External"/><Relationship Id="rId30" Type="http://schemas.openxmlformats.org/officeDocument/2006/relationships/hyperlink" Target="https://doi.org/10.1016/0012-821x(96)00082-9" TargetMode="External"/><Relationship Id="rId31" Type="http://schemas.openxmlformats.org/officeDocument/2006/relationships/hyperlink" Target="https://doi.org/10.1080/00206810802602767" TargetMode="External"/><Relationship Id="rId32" Type="http://schemas.openxmlformats.org/officeDocument/2006/relationships/hyperlink" Target="https://doi.org/10.1146/annurev-earth-060614-105049" TargetMode="External"/><Relationship Id="rId33" Type="http://schemas.openxmlformats.org/officeDocument/2006/relationships/hyperlink" Target="https://doi.org/10.1080/00206819809465199" TargetMode="External"/><Relationship Id="rId34" Type="http://schemas.openxmlformats.org/officeDocument/2006/relationships/hyperlink" Target="https://doi.org/10.1130/0091-7613(2003)031%3c0139:LCDAUR%3e2.0.CO;2" TargetMode="External"/><Relationship Id="rId35" Type="http://schemas.openxmlformats.org/officeDocument/2006/relationships/hyperlink" Target="https://doi.org/10.1130/0091-7613(2003)031%3c0139:lcdaur%3e2.0.co;2" TargetMode="External"/><Relationship Id="rId36" Type="http://schemas.openxmlformats.org/officeDocument/2006/relationships/hyperlink" Target="https://doi.org/10.1130/0091-7613(1990)018%3c1173:SUUORA%3e2.3.CO" TargetMode="External"/><Relationship Id="rId37" Type="http://schemas.openxmlformats.org/officeDocument/2006/relationships/hyperlink" Target="https://doi.org/10.1029/2007JB005498" TargetMode="External"/><Relationship Id="rId38" Type="http://schemas.openxmlformats.org/officeDocument/2006/relationships/hyperlink" Target="https://doi.org/10.1029/2008GL033479" TargetMode="External"/><Relationship Id="rId39" Type="http://schemas.openxmlformats.org/officeDocument/2006/relationships/hyperlink" Target="https://doi.org/10.1130/0016-7606(1974)85%3c523:GAPOTC%3e2.0.CO;2" TargetMode="External"/><Relationship Id="rId50" Type="http://schemas.openxmlformats.org/officeDocument/2006/relationships/hyperlink" Target="https://doi.org/10.1109/MCSE.2009.52" TargetMode="External"/><Relationship Id="rId51" Type="http://schemas.openxmlformats.org/officeDocument/2006/relationships/hyperlink" Target="https://doi.org/10.1080/00206814.2013.825141" TargetMode="External"/><Relationship Id="rId52" Type="http://schemas.openxmlformats.org/officeDocument/2006/relationships/hyperlink" Target="https://doi.org/10.1038/385219a0" TargetMode="External"/><Relationship Id="rId53" Type="http://schemas.openxmlformats.org/officeDocument/2006/relationships/hyperlink" Target="https://doi.org/10.1130/0091-7613(1995)023%3c0987" TargetMode="External"/><Relationship Id="rId54" Type="http://schemas.openxmlformats.org/officeDocument/2006/relationships/hyperlink" Target="https://doi.org/10.1130/0091-7613(1982)10%3c267:potcvs%3e2.0.co;2" TargetMode="External"/><Relationship Id="rId55" Type="http://schemas.openxmlformats.org/officeDocument/2006/relationships/hyperlink" Target="https://doi.org/10.1029/97jb03540" TargetMode="External"/><Relationship Id="rId56" Type="http://schemas.openxmlformats.org/officeDocument/2006/relationships/hyperlink" Target="https://doi.org/10.1130/ges00961.1" TargetMode="External"/><Relationship Id="rId57" Type="http://schemas.openxmlformats.org/officeDocument/2006/relationships/hyperlink" Target="https://doi.org/10.1029/1998tc900012" TargetMode="External"/><Relationship Id="rId58" Type="http://schemas.openxmlformats.org/officeDocument/2006/relationships/hyperlink" Target="https://doi.org/10.1029/1999GC000012" TargetMode="External"/><Relationship Id="rId59" Type="http://schemas.openxmlformats.org/officeDocument/2006/relationships/hyperlink" Target="https://doi.org/10.1126/science.278.5341.1278" TargetMode="External"/><Relationship Id="rId70" Type="http://schemas.openxmlformats.org/officeDocument/2006/relationships/hyperlink" Target="https://doi.org/10.1130/0091-7613(1993)021%3c0719:iefpoc%3e2.3.co;2" TargetMode="External"/><Relationship Id="rId71" Type="http://schemas.openxmlformats.org/officeDocument/2006/relationships/hyperlink" Target="https://doi.org/10.1038/289276a0" TargetMode="External"/><Relationship Id="rId72" Type="http://schemas.openxmlformats.org/officeDocument/2006/relationships/hyperlink" Target="https://doi.org/10.1029/2008JB005906" TargetMode="External"/><Relationship Id="rId73" Type="http://schemas.openxmlformats.org/officeDocument/2006/relationships/hyperlink" Target="https://doi.org/10.1029/94jb02127" TargetMode="External"/><Relationship Id="rId74" Type="http://schemas.openxmlformats.org/officeDocument/2006/relationships/hyperlink" Target="https://doi.org/10.1016/S0040-1951(96)00279-X" TargetMode="External"/><Relationship Id="rId75" Type="http://schemas.openxmlformats.org/officeDocument/2006/relationships/hyperlink" Target="https://doi.org/10.1306/c1ea3a82-16c9-11d7-8645000102c1865d" TargetMode="External"/><Relationship Id="rId76" Type="http://schemas.openxmlformats.org/officeDocument/2006/relationships/hyperlink" Target="https://doi.org/10.1029/2009jb006873" TargetMode="External"/><Relationship Id="rId77" Type="http://schemas.openxmlformats.org/officeDocument/2006/relationships/hyperlink" Target="https://doi.org/10.1130/0091-7613(1992)020%3c0239" TargetMode="External"/><Relationship Id="rId78" Type="http://schemas.openxmlformats.org/officeDocument/2006/relationships/hyperlink" Target="https://doi.org/10.1016/0012-821X(85)90043-3" TargetMode="External"/><Relationship Id="rId79" Type="http://schemas.openxmlformats.org/officeDocument/2006/relationships/hyperlink" Target="https://doi.org/10.1007/s00410-009-0455-9" TargetMode="External"/><Relationship Id="rId110" Type="http://schemas.openxmlformats.org/officeDocument/2006/relationships/hyperlink" Target="https://doi.org/10.1016/0016-7037(81)90085-5" TargetMode="External"/><Relationship Id="rId90" Type="http://schemas.openxmlformats.org/officeDocument/2006/relationships/hyperlink" Target="https://doi.org/10.1130/ges00746.1" TargetMode="External"/><Relationship Id="rId91" Type="http://schemas.openxmlformats.org/officeDocument/2006/relationships/hyperlink" Target="https://doi.org/10.1130/2013.0032(03)." TargetMode="External"/><Relationship Id="rId92" Type="http://schemas.openxmlformats.org/officeDocument/2006/relationships/hyperlink" Target="https://doi.org/10.1016/j.earscirev.2012.03.002" TargetMode="External"/><Relationship Id="rId93" Type="http://schemas.openxmlformats.org/officeDocument/2006/relationships/hyperlink" Target="https://doi.org/10.1007/bf00306476" TargetMode="External"/><Relationship Id="rId94" Type="http://schemas.openxmlformats.org/officeDocument/2006/relationships/hyperlink" Target="https://doi.org/10.1130/g34214.1" TargetMode="External"/><Relationship Id="rId95" Type="http://schemas.openxmlformats.org/officeDocument/2006/relationships/hyperlink" Target="https://doi.org/10.1016/0012-821x(73)90106-4" TargetMode="External"/><Relationship Id="rId96" Type="http://schemas.openxmlformats.org/officeDocument/2006/relationships/hyperlink" Target="https://doi.org/10.1029/2004GC000816" TargetMode="External"/><Relationship Id="rId97" Type="http://schemas.openxmlformats.org/officeDocument/2006/relationships/hyperlink" Target="https://doi.org/10.1112/S0024609301008396" TargetMode="External"/><Relationship Id="rId98" Type="http://schemas.openxmlformats.org/officeDocument/2006/relationships/hyperlink" Target="https://doi.org/10.1038/359123a0" TargetMode="External"/><Relationship Id="rId99" Type="http://schemas.openxmlformats.org/officeDocument/2006/relationships/hyperlink" Target="https://doi.org/10.1007/s00410-011-0700-x" TargetMode="External"/><Relationship Id="rId111" Type="http://schemas.openxmlformats.org/officeDocument/2006/relationships/hyperlink" Target="https://doi.org/10.1029/2003TC001621" TargetMode="External"/><Relationship Id="rId112" Type="http://schemas.openxmlformats.org/officeDocument/2006/relationships/hyperlink" Target="https://doi.org/10.1016/j.chemgeo.2005.04.005" TargetMode="External"/><Relationship Id="rId113" Type="http://schemas.openxmlformats.org/officeDocument/2006/relationships/hyperlink" Target="https://doi.org/10.1016/j.epsl.2004.12.005" TargetMode="External"/><Relationship Id="rId114" Type="http://schemas.openxmlformats.org/officeDocument/2006/relationships/hyperlink" Target="https://doi.org/10.1016/j.epsl.2007.06.017" TargetMode="External"/><Relationship Id="rId115" Type="http://schemas.openxmlformats.org/officeDocument/2006/relationships/hyperlink" Target="https://doi.org/10.1111/j.1365-246x.2005.02506.x" TargetMode="External"/><Relationship Id="rId116" Type="http://schemas.openxmlformats.org/officeDocument/2006/relationships/hyperlink" Target="https://doi.org/10.1038/nature02847" TargetMode="External"/><Relationship Id="rId117" Type="http://schemas.openxmlformats.org/officeDocument/2006/relationships/fontTable" Target="fontTable.xml"/><Relationship Id="rId118" Type="http://schemas.openxmlformats.org/officeDocument/2006/relationships/theme" Target="theme/theme1.xml"/><Relationship Id="rId20" Type="http://schemas.openxmlformats.org/officeDocument/2006/relationships/hyperlink" Target="https://doi.org/10.1130/GES00882.1" TargetMode="External"/><Relationship Id="rId21" Type="http://schemas.openxmlformats.org/officeDocument/2006/relationships/hyperlink" Target="https://doi.org/10.1130/GES01257.1" TargetMode="External"/><Relationship Id="rId22" Type="http://schemas.openxmlformats.org/officeDocument/2006/relationships/hyperlink" Target="https://doi.org/10.1029/2009TC002597" TargetMode="External"/><Relationship Id="rId23" Type="http://schemas.openxmlformats.org/officeDocument/2006/relationships/hyperlink" Target="https://doi.org/10.1130/g34445.1" TargetMode="External"/><Relationship Id="rId24" Type="http://schemas.openxmlformats.org/officeDocument/2006/relationships/hyperlink" Target="https://doi.org/10.1130/GES00740.1" TargetMode="External"/><Relationship Id="rId25" Type="http://schemas.openxmlformats.org/officeDocument/2006/relationships/hyperlink" Target="https://doi.org/10.1130/0016-7606(1995)107%3c0167:NSIGAT%3e2.3.CO;2" TargetMode="External"/><Relationship Id="rId26" Type="http://schemas.openxmlformats.org/officeDocument/2006/relationships/hyperlink" Target="https://doi.org/10.1016/j.gca.2011.10.012" TargetMode="External"/><Relationship Id="rId27" Type="http://schemas.openxmlformats.org/officeDocument/2006/relationships/hyperlink" Target="https://doi.org/10.1130/0016-7606(1978)89%3c1415:oobcri%3e2.0.co;2" TargetMode="External"/><Relationship Id="rId28" Type="http://schemas.openxmlformats.org/officeDocument/2006/relationships/hyperlink" Target="https://doi.org/10.1130/2005.2391." TargetMode="External"/><Relationship Id="rId29" Type="http://schemas.openxmlformats.org/officeDocument/2006/relationships/hyperlink" Target="https://doi.org/10.1029/gl017i009p01417" TargetMode="External"/><Relationship Id="rId40" Type="http://schemas.openxmlformats.org/officeDocument/2006/relationships/hyperlink" Target="https://doi.org/10.1130/0016-7606(2002)114%3c0754:dldtlc%3e2.0.co;2" TargetMode="External"/><Relationship Id="rId41" Type="http://schemas.openxmlformats.org/officeDocument/2006/relationships/hyperlink" Target="https://doi.org/10.1029/95JB00070" TargetMode="External"/><Relationship Id="rId42" Type="http://schemas.openxmlformats.org/officeDocument/2006/relationships/hyperlink" Target="https://doi.org/10.1146/annurev-earth-040809-152438" TargetMode="External"/><Relationship Id="rId43" Type="http://schemas.openxmlformats.org/officeDocument/2006/relationships/hyperlink" Target="https://doi.org/10.1130/ges00570.1" TargetMode="External"/><Relationship Id="rId44" Type="http://schemas.openxmlformats.org/officeDocument/2006/relationships/hyperlink" Target="https://doi.org/10.1016/0012-821X(78)90130-9" TargetMode="External"/><Relationship Id="rId45" Type="http://schemas.openxmlformats.org/officeDocument/2006/relationships/hyperlink" Target="https://doi.org/10.1029/jb094ib03p03100" TargetMode="External"/><Relationship Id="rId46" Type="http://schemas.openxmlformats.org/officeDocument/2006/relationships/hyperlink" Target="https://doi.org/10.1093/petrology/30.4.1033" TargetMode="External"/><Relationship Id="rId47" Type="http://schemas.openxmlformats.org/officeDocument/2006/relationships/hyperlink" Target="https://doi.org/10.1111/j.1751-908X.2002.tb00886.x" TargetMode="External"/><Relationship Id="rId48" Type="http://schemas.openxmlformats.org/officeDocument/2006/relationships/hyperlink" Target="https://doi.org/10.1130/GES00790.1" TargetMode="External"/><Relationship Id="rId49" Type="http://schemas.openxmlformats.org/officeDocument/2006/relationships/hyperlink" Target="https://doi.org/10.1016/0031-9201(70)90076-2" TargetMode="External"/><Relationship Id="rId60" Type="http://schemas.openxmlformats.org/officeDocument/2006/relationships/hyperlink" Target="https://doi.org/10.1130/G34289.1" TargetMode="External"/><Relationship Id="rId61" Type="http://schemas.openxmlformats.org/officeDocument/2006/relationships/hyperlink" Target="https://doi.org/10.1029/96JB00988" TargetMode="External"/><Relationship Id="rId62" Type="http://schemas.openxmlformats.org/officeDocument/2006/relationships/hyperlink" Target="https://doi.org/10.1016/j.lithos.2004.03.017" TargetMode="External"/><Relationship Id="rId63" Type="http://schemas.openxmlformats.org/officeDocument/2006/relationships/hyperlink" Target="https://doi.org/10.1007/s004100050560" TargetMode="External"/><Relationship Id="rId64" Type="http://schemas.openxmlformats.org/officeDocument/2006/relationships/hyperlink" Target="https://doi.org/10.1007/s00410-005-0056-1" TargetMode="External"/><Relationship Id="rId65" Type="http://schemas.openxmlformats.org/officeDocument/2006/relationships/hyperlink" Target="https://doi.org/10.1029/2001gc000152" TargetMode="External"/><Relationship Id="rId66" Type="http://schemas.openxmlformats.org/officeDocument/2006/relationships/hyperlink" Target="https://doi.org/10.1002/2015tc003824" TargetMode="External"/><Relationship Id="rId67" Type="http://schemas.openxmlformats.org/officeDocument/2006/relationships/hyperlink" Target="https://doi.org/10.1111/j.1365-246x.2007.03428.x" TargetMode="External"/><Relationship Id="rId68" Type="http://schemas.openxmlformats.org/officeDocument/2006/relationships/hyperlink" Target="https://doi.org/10.1016/j.gca.2012.10.035" TargetMode="External"/><Relationship Id="rId69" Type="http://schemas.openxmlformats.org/officeDocument/2006/relationships/hyperlink" Target="https://doi.org/10.1038/ngeo829" TargetMode="External"/><Relationship Id="rId100" Type="http://schemas.openxmlformats.org/officeDocument/2006/relationships/hyperlink" Target="https://doi.org/10.1002/2016JB013915" TargetMode="External"/><Relationship Id="rId80" Type="http://schemas.openxmlformats.org/officeDocument/2006/relationships/hyperlink" Target="https://doi.org/10.1007/s004100000156" TargetMode="External"/><Relationship Id="rId81" Type="http://schemas.openxmlformats.org/officeDocument/2006/relationships/hyperlink" Target="https://doi.org/10.1111/j.1365-246x.2009.04198.x" TargetMode="External"/><Relationship Id="rId82" Type="http://schemas.openxmlformats.org/officeDocument/2006/relationships/hyperlink" Target="https://doi.org/10.1180/minmag.1997.061.405.09" TargetMode="External"/><Relationship Id="rId83" Type="http://schemas.openxmlformats.org/officeDocument/2006/relationships/hyperlink" Target="https://doi.org/10.1016/j.lithos.2010.03.016" TargetMode="External"/><Relationship Id="rId84" Type="http://schemas.openxmlformats.org/officeDocument/2006/relationships/hyperlink" Target="https://doi.org/10.2307/30068676" TargetMode="External"/><Relationship Id="rId85" Type="http://schemas.openxmlformats.org/officeDocument/2006/relationships/hyperlink" Target="https://doi.org/10.1016/j.epsl.2012.03.027" TargetMode="External"/><Relationship Id="rId86" Type="http://schemas.openxmlformats.org/officeDocument/2006/relationships/hyperlink" Target="https://doi.org/10.1029/2011gl049719" TargetMode="External"/><Relationship Id="rId87" Type="http://schemas.openxmlformats.org/officeDocument/2006/relationships/hyperlink" Target="https://doi.org/10.1016/0040-1951(77)90215-3" TargetMode="External"/><Relationship Id="rId88" Type="http://schemas.openxmlformats.org/officeDocument/2006/relationships/hyperlink" Target="https://doi.org/10.1016/S0012-821X(98)00213-1" TargetMode="External"/><Relationship Id="rId89" Type="http://schemas.openxmlformats.org/officeDocument/2006/relationships/hyperlink" Target="https://doi.org/10.1029/2002TC001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58</Pages>
  <Words>26549</Words>
  <Characters>151330</Characters>
  <Application>Microsoft Macintosh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177524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dcterms:created xsi:type="dcterms:W3CDTF">2017-06-07T08:01:00Z</dcterms:created>
  <dcterms:modified xsi:type="dcterms:W3CDTF">2017-06-07T08:32:00Z</dcterms:modified>
</cp:coreProperties>
</file>