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247725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25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/>
        <w:jc w:val="center"/>
      </w:pPr>
      <w:r>
        <w:rPr>
          <w:rFonts w:ascii="Cambria" w:hAnsi="Cambria"/>
          <w:b w:val="0"/>
          <w:color w:val="0D1F3C"/>
          <w:sz w:val="26"/>
        </w:rPr>
        <w:t>{{ titulo }}</w:t>
      </w:r>
    </w:p>
    <w:p>
      <w:pPr>
        <w:spacing w:after="80"/>
        <w:jc w:val="center"/>
      </w:pPr>
      <w:r>
        <w:rPr>
          <w:rFonts w:ascii="Calibri" w:hAnsi="Calibri"/>
          <w:color w:val="6B6B6B"/>
          <w:sz w:val="18"/>
        </w:rPr>
        <w:t>Robertet Argentina  ·  Ingredients Division</w:t>
      </w:r>
    </w:p>
    <w:p>
      <w:pPr>
        <w:spacing w:before="120" w:after="280"/>
        <w:pBdr>
          <w:bottom w:val="single" w:sz="6" w:space="1" w:color="C9A84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4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{{ lbl_cliente }}</w:t>
            </w:r>
          </w:p>
        </w:tc>
        <w:tc>
          <w:tcPr>
            <w:tcW w:type="dxa" w:w="33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cliente }}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Incoterm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incoterm }}</w:t>
            </w:r>
          </w:p>
        </w:tc>
      </w:tr>
      <w:tr>
        <w:tc>
          <w:tcPr>
            <w:tcW w:type="dxa" w:w="194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{{ lbl_referencia }}</w:t>
            </w:r>
          </w:p>
        </w:tc>
        <w:tc>
          <w:tcPr>
            <w:tcW w:type="dxa" w:w="33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referencia }}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{{ lbl_vigencia }}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vigencia }}</w:t>
            </w:r>
          </w:p>
        </w:tc>
      </w:tr>
      <w:tr>
        <w:tc>
          <w:tcPr>
            <w:tcW w:type="dxa" w:w="194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{{ lbl_fecha }}</w:t>
            </w:r>
          </w:p>
        </w:tc>
        <w:tc>
          <w:tcPr>
            <w:tcW w:type="dxa" w:w="33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fecha }}</w:t>
            </w:r>
          </w:p>
        </w:tc>
        <w:tc>
          <w:tcPr>
            <w:tcW w:type="dxa" w:w="15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{{ lbl_moneda }}</w:t>
            </w:r>
          </w:p>
        </w:tc>
        <w:tc>
          <w:tcPr>
            <w:tcW w:type="dxa" w:w="2736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moneda }}</w:t>
            </w:r>
          </w:p>
        </w:tc>
      </w:tr>
      <w:tr>
        <w:tc>
          <w:tcPr>
            <w:tcW w:type="dxa" w:w="194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0D1F3C"/>
                <w:sz w:val="18"/>
              </w:rPr>
              <w:t>{{ lbl_preparado }}</w:t>
            </w:r>
          </w:p>
        </w:tc>
        <w:tc>
          <w:tcPr>
            <w:tcW w:type="dxa" w:w="3384"/>
            <w:tcMar>
              <w:top w:w="45" w:type="dxa"/>
              <w:bottom w:w="4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18"/>
              </w:rPr>
              <w:t>{{ preparado_por }}</w:t>
            </w:r>
          </w:p>
        </w:tc>
        <w:tc>
          <w:tcPr>
            <w:tcW w:type="dxa" w:w="1584"/>
          </w:tcPr>
          <w:p/>
        </w:tc>
        <w:tc>
          <w:tcPr>
            <w:tcW w:type="dxa" w:w="2736"/>
          </w:tcPr>
          <w:p/>
        </w:tc>
      </w:tr>
    </w:tbl>
    <w:p>
      <w:pPr>
        <w:spacing w:before="160" w:after="80"/>
        <w:pBdr>
          <w:bottom w:val="single" w:sz="4" w:space="1" w:color="C9A84C"/>
        </w:pBdr>
      </w:pPr>
    </w:p>
    <w:p>
      <w:pPr>
        <w:spacing w:before="160" w:after="160"/>
      </w:pPr>
      <w:r>
        <w:rPr>
          <w:rFonts w:ascii="Cambria" w:hAnsi="Cambria"/>
          <w:b/>
          <w:color w:val="0D1F3C"/>
          <w:sz w:val="21"/>
        </w:rPr>
        <w:t>{{ lbl_detalle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insideH w:val="single" w:sz="3" w:color="E3E3E3"/>
          <w:top w:val="nil"/>
          <w:left w:val="nil"/>
          <w:bottom w:val="nil"/>
          <w:right w:val="nil"/>
          <w:insideV w:val="nil"/>
        </w:tblBorders>
      </w:tblPr>
      <w:tblGrid>
        <w:gridCol w:w="5616"/>
        <w:gridCol w:w="2016"/>
        <w:gridCol w:w="2016"/>
      </w:tblGrid>
      <w:tr>
        <w:tc>
          <w:tcPr>
            <w:tcW w:type="dxa" w:w="5616"/>
            <w:tcMar>
              <w:top w:w="60" w:type="dxa"/>
              <w:bottom w:w="100" w:type="dxa"/>
              <w:left w:w="0" w:type="dxa"/>
              <w:right w:w="60" w:type="dxa"/>
            </w:tcMar>
            <w:vAlign w:val="center"/>
            <w:tcBorders>
              <w:bottom w:val="single" w:sz="10" w:color="0D1F3C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D1F3C"/>
                <w:sz w:val="17"/>
              </w:rPr>
              <w:t>{{ lbl_producto }}</w:t>
            </w:r>
          </w:p>
        </w:tc>
        <w:tc>
          <w:tcPr>
            <w:tcW w:type="dxa" w:w="2016"/>
            <w:tcMar>
              <w:top w:w="60" w:type="dxa"/>
              <w:bottom w:w="100" w:type="dxa"/>
              <w:left w:w="60" w:type="dxa"/>
              <w:right w:w="60" w:type="dxa"/>
            </w:tcMar>
            <w:vAlign w:val="center"/>
            <w:tcBorders>
              <w:bottom w:val="single" w:sz="10" w:color="0D1F3C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D1F3C"/>
                <w:sz w:val="17"/>
              </w:rPr>
              <w:t>{{ lbl_codigo }}</w:t>
            </w:r>
          </w:p>
        </w:tc>
        <w:tc>
          <w:tcPr>
            <w:tcW w:type="dxa" w:w="2016"/>
            <w:tcMar>
              <w:top w:w="60" w:type="dxa"/>
              <w:bottom w:w="100" w:type="dxa"/>
              <w:left w:w="60" w:type="dxa"/>
              <w:right w:w="0" w:type="dxa"/>
            </w:tcMar>
            <w:vAlign w:val="center"/>
            <w:tcBorders>
              <w:bottom w:val="single" w:sz="10" w:color="0D1F3C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0D1F3C"/>
                <w:sz w:val="17"/>
              </w:rPr>
              <w:t>{{ lbl_precio }}</w:t>
            </w:r>
          </w:p>
        </w:tc>
      </w:tr>
      <w:tr>
        <w:tc>
          <w:tcPr>
            <w:tcW w:type="dxa" w:w="5616"/>
          </w:tcPr>
          <w:p>
            <w:r>
              <w:rPr>
                <w:sz w:val="2"/>
              </w:rPr>
              <w:t>{%tr for it in items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5616"/>
            <w:tcMar>
              <w:top w:w="75" w:type="dxa"/>
              <w:bottom w:w="75" w:type="dxa"/>
              <w:left w:w="0" w:type="dxa"/>
              <w:right w:w="60" w:type="dxa"/>
            </w:tcMar>
          </w:tcPr>
          <w:p>
            <w:r>
              <w:rPr>
                <w:rFonts w:ascii="Calibri" w:hAnsi="Calibri"/>
                <w:color w:val="222222"/>
                <w:sz w:val="20"/>
              </w:rPr>
              <w:t>{{ it.product }}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6B6B6B"/>
                <w:sz w:val="20"/>
              </w:rPr>
              <w:t>{{ it.code }}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60" w:type="dxa"/>
              <w:right w:w="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D1F3C"/>
                <w:sz w:val="20"/>
              </w:rPr>
              <w:t>{{ it.price }}</w:t>
            </w:r>
          </w:p>
        </w:tc>
      </w:tr>
      <w:tr>
        <w:tc>
          <w:tcPr>
            <w:tcW w:type="dxa" w:w="5616"/>
          </w:tcPr>
          <w:p>
            <w:r>
              <w:rPr>
                <w:sz w:val="2"/>
              </w:rPr>
              <w:t>{%tr endfor %}</w:t>
            </w:r>
          </w:p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i/>
          <w:color w:val="6B6B6B"/>
          <w:sz w:val="17"/>
        </w:rPr>
        <w:t>{% if comentario %}{{ lbl_nota }}  {{ comentario }}{% endif %}</w:t>
      </w:r>
    </w:p>
    <w:p>
      <w:pPr>
        <w:spacing w:before="200" w:after="160"/>
        <w:pBdr>
          <w:bottom w:val="single" w:sz="4" w:space="1" w:color="C9A84C"/>
        </w:pBdr>
      </w:pPr>
    </w:p>
    <w:p>
      <w:r>
        <w:rPr>
          <w:rFonts w:ascii="Calibri" w:hAnsi="Calibri"/>
          <w:i/>
          <w:color w:val="6B6B6B"/>
          <w:sz w:val="15"/>
        </w:rPr>
        <w:t>{{ lbl_legal }}</w:t>
      </w:r>
    </w:p>
    <w:sectPr w:rsidR="00FC693F" w:rsidRPr="0006063C" w:rsidSect="00034616"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6B6B"/>
        <w:sz w:val="15"/>
      </w:rPr>
      <w:t>Robertet Argentina   |   Ingredients Division   |   www.robertet.com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