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line="480" w:lineRule="auto"/>
        <w:jc w:val="center"/>
      </w:pPr>
      <w:r>
        <w:rPr>
          <w:b/>
          <w:sz w:val="32"/>
        </w:rPr>
        <w:t>Dissertation Topic Candidates: Multi-Agent LLM Software Development</w:t>
      </w:r>
    </w:p>
    <w:p>
      <w:pPr>
        <w:spacing w:line="480" w:lineRule="auto"/>
        <w:jc w:val="center"/>
      </w:pPr>
      <w:r>
        <w:rPr>
          <w:i/>
        </w:rPr>
        <w:t>Submitted for Advisor Review</w:t>
      </w:r>
    </w:p>
    <w:p/>
    <w:p/>
    <w:p/>
    <w:p>
      <w:pPr>
        <w:spacing w:line="480" w:lineRule="auto"/>
        <w:jc w:val="center"/>
      </w:pPr>
      <w:r>
        <w:t>Dave Seepersad</w:t>
      </w:r>
    </w:p>
    <w:p>
      <w:pPr>
        <w:spacing w:line="480" w:lineRule="auto"/>
        <w:jc w:val="center"/>
      </w:pPr>
      <w:r>
        <w:t>Ph.D. in Computer Science</w:t>
      </w:r>
    </w:p>
    <w:p>
      <w:pPr>
        <w:spacing w:line="480" w:lineRule="auto"/>
        <w:jc w:val="center"/>
      </w:pPr>
      <w:r>
        <w:t>Nova Southeastern University</w:t>
      </w:r>
    </w:p>
    <w:p>
      <w:pPr>
        <w:spacing w:line="480" w:lineRule="auto"/>
        <w:jc w:val="center"/>
      </w:pPr>
      <w:r>
        <w:t>2026-08-30</w:t>
      </w:r>
    </w:p>
    <w:p/>
    <w:p>
      <w:pPr>
        <w:spacing w:line="240" w:lineRule="auto"/>
        <w:jc w:val="center"/>
      </w:pPr>
      <w:r>
        <w:rPr>
          <w:b w:val="0"/>
          <w:i/>
        </w:rPr>
        <w:t>The three strongest, evidence-grounded dissertation topics from the completed literature review, structured to feed the NSU Dissertation Idea Paper (Problem Statement → Goal → Relevance &amp; Significance → Approach → Resources → References).</w:t>
      </w:r>
    </w:p>
    <w:p>
      <w:r>
        <w:br w:type="page"/>
      </w:r>
    </w:p>
    <w:p>
      <w:pPr>
        <w:pStyle w:val="Heading1"/>
      </w:pPr>
      <w:r>
        <w:t>How these topics were selected</w:t>
      </w:r>
    </w:p>
    <w:p>
      <w:pPr>
        <w:pStyle w:val="ListBullet"/>
        <w:spacing w:line="240" w:lineRule="auto" w:after="80"/>
      </w:pPr>
      <w:r>
        <w:rPr>
          <w:b/>
          <w:i w:val="0"/>
        </w:rPr>
        <w:t>Corpus:</w:t>
      </w:r>
      <w:r>
        <w:rPr>
          <w:b w:val="0"/>
          <w:i w:val="0"/>
        </w:rPr>
        <w:t xml:space="preserve"> the saturated review run </w:t>
      </w:r>
      <w:r>
        <w:rPr>
          <w:b w:val="0"/>
          <w:i w:val="0"/>
        </w:rPr>
        <w:t>results/20260830-specialized-multi-agent-versus-single-ag/</w:t>
      </w:r>
      <w:r>
        <w:rPr>
          <w:b w:val="0"/>
          <w:i w:val="0"/>
        </w:rPr>
        <w:t xml:space="preserve"> — 522 records screened, 207 selected, </w:t>
      </w:r>
      <w:r>
        <w:rPr>
          <w:b/>
          <w:i w:val="0"/>
        </w:rPr>
        <w:t>48 full texts read</w:t>
      </w:r>
      <w:r>
        <w:rPr>
          <w:b w:val="0"/>
          <w:i w:val="0"/>
        </w:rPr>
        <w:t xml:space="preserve"> (39 core, 9 supporting), stopping by preregistered concept saturation (20 evidence domains, zero new domains across 5 consecutive papers, no pending core papers).</w:t>
      </w:r>
    </w:p>
    <w:p>
      <w:pPr>
        <w:pStyle w:val="ListBullet"/>
        <w:spacing w:line="240" w:lineRule="auto" w:after="80"/>
      </w:pPr>
      <w:r>
        <w:rPr>
          <w:b/>
          <w:i w:val="0"/>
        </w:rPr>
        <w:t>Verification:</w:t>
      </w:r>
      <w:r>
        <w:rPr>
          <w:b w:val="0"/>
          <w:i w:val="0"/>
        </w:rPr>
        <w:t xml:space="preserve"> every quotation below was independently verified as an exact substring of the extracted paper text (</w:t>
      </w:r>
      <w:r>
        <w:rPr>
          <w:b w:val="0"/>
          <w:i w:val="0"/>
        </w:rPr>
        <w:t>text/*.txt</w:t>
      </w:r>
      <w:r>
        <w:rPr>
          <w:b w:val="0"/>
          <w:i w:val="0"/>
        </w:rPr>
        <w:t xml:space="preserve">), every page number checked against the </w:t>
      </w:r>
      <w:r>
        <w:rPr>
          <w:b w:val="0"/>
          <w:i w:val="0"/>
        </w:rPr>
        <w:t>[[page N]]</w:t>
      </w:r>
      <w:r>
        <w:rPr>
          <w:b w:val="0"/>
          <w:i w:val="0"/>
        </w:rPr>
        <w:t xml:space="preserve"> markers, and every citation checked against both the run manifest and the paper's own first page (the manifest's scraped metadata contains known author/venue pollution — see </w:t>
      </w:r>
      <w:r>
        <w:rPr>
          <w:b w:val="0"/>
          <w:i w:val="0"/>
        </w:rPr>
        <w:t>.github/skills/publications-search/REVIEW.md</w:t>
      </w:r>
      <w:r>
        <w:rPr>
          <w:b w:val="0"/>
          <w:i w:val="0"/>
        </w:rPr>
        <w:t>). Quantitative claims were spot-checked against source tables. For readability, quotes are normalized for PDF extraction artifacts (line-break hyphenation, dropped spaces); wording is unchanged.</w:t>
      </w:r>
    </w:p>
    <w:p>
      <w:pPr>
        <w:pStyle w:val="ListBullet"/>
        <w:spacing w:line="240" w:lineRule="auto" w:after="80"/>
      </w:pPr>
      <w:r>
        <w:rPr>
          <w:b/>
          <w:i w:val="0"/>
        </w:rPr>
        <w:t>Ranking:</w:t>
      </w:r>
      <w:r>
        <w:rPr>
          <w:b w:val="0"/>
          <w:i w:val="0"/>
        </w:rPr>
        <w:t xml:space="preserve"> candidates were scored on evidence-gap strength, novelty within the corpus, dissertation-scale tractability, practical importance, and falsifiability. An independent adversarial sweep of all 48 papers' evidence notes confirmed no stronger topic was missed (closest challengers — security containment, evaluation validity, run-to-run variance, memory/context, topology search — are either absorbed by these three or are cross-cutting methodology; see "Runner-up and cross-cutting findings" at the end).</w:t>
      </w:r>
    </w:p>
    <w:p>
      <w:pPr>
        <w:pStyle w:val="ListBullet"/>
        <w:spacing w:line="240" w:lineRule="auto" w:after="80"/>
      </w:pPr>
      <w:r>
        <w:rPr>
          <w:b w:val="0"/>
          <w:i w:val="0"/>
        </w:rPr>
        <w:t xml:space="preserve">Preprint sources are flagged </w:t>
      </w:r>
      <w:r>
        <w:rPr>
          <w:b/>
          <w:i w:val="0"/>
        </w:rPr>
        <w:t>[preprint]</w:t>
      </w:r>
      <w:r>
        <w:rPr>
          <w:b w:val="0"/>
          <w:i w:val="0"/>
        </w:rPr>
        <w:t xml:space="preserve"> — NSU requires the problem to be supported from refereed literature, and each topic below is anchored by peer-reviewed venues (TOSEM, FSE, PROMISE, ASEW, ICST, QRS-C, ACL, Frontiers) with preprints in supporting roles.</w:t>
      </w:r>
    </w:p>
    <w:p>
      <w:r>
        <w:br w:type="page"/>
      </w:r>
    </w:p>
    <w:p>
      <w:pPr>
        <w:pStyle w:val="Heading1"/>
      </w:pPr>
      <w:r>
        <w:t>Topic 1 — Resource-Bounded Adaptive Delegation</w:t>
      </w:r>
    </w:p>
    <w:p>
      <w:pPr>
        <w:spacing w:line="480" w:lineRule="auto" w:after="0"/>
      </w:pPr>
      <w:r>
        <w:rPr>
          <w:b/>
          <w:i w:val="0"/>
        </w:rPr>
        <w:t>Proposed title:</w:t>
      </w:r>
      <w:r>
        <w:rPr>
          <w:b w:val="0"/>
          <w:i w:val="0"/>
        </w:rPr>
        <w:t xml:space="preserve"> </w:t>
      </w:r>
      <w:r>
        <w:rPr>
          <w:b w:val="0"/>
          <w:i/>
        </w:rPr>
        <w:t>Resource-Bounded Adaptive Delegation: Determining When Specialist Multi-Agent Delegation Earns Its Inference Cost in LLM-Based Software Engineering</w:t>
      </w:r>
    </w:p>
    <w:p>
      <w:pPr>
        <w:pStyle w:val="Heading2"/>
      </w:pPr>
      <w:r>
        <w:t>Problem Statement</w:t>
      </w:r>
    </w:p>
    <w:p>
      <w:pPr>
        <w:spacing w:line="480" w:lineRule="auto" w:after="0"/>
        <w:ind w:firstLine="720"/>
      </w:pPr>
      <w:r>
        <w:rPr>
          <w:b w:val="0"/>
          <w:i w:val="0"/>
        </w:rPr>
        <w:t>LLM-based multi-agent systems for software engineering delegate work to role-specialized agents (planner, coder, tester, reviewer) on the premise that decomposition improves outcomes, yet the empirical record is contradictory: a two-agent Developer–Tester workflow beats a single agent with one model but loses with another, and adding a Designer role degrades performance sharply (Zeng et al., 2025); Waterfall-style role pipelines cut class-level pass@1 by roughly 38–40% for two of three backends while helping the third (Shafin et al., 2026); a single agent matched or numerically exceeded a four-specialist orchestration's decision accuracy (differences not statistically significant) while using roughly one-fifth the latency and tokens (Sanabria, 2026); and a single-agent screening configuration outperformed every multi-agent alternative (Radeva et al., 2026).</w:t>
      </w:r>
    </w:p>
    <w:p>
      <w:pPr>
        <w:spacing w:line="480" w:lineRule="auto" w:after="0"/>
        <w:ind w:firstLine="720"/>
      </w:pPr>
      <w:r>
        <w:rPr>
          <w:b w:val="0"/>
          <w:i w:val="0"/>
        </w:rPr>
        <w:t>Critically, these mixed results cannot be adjudicated because existing comparisons confound architecture with resources and implementation: Zeng et al. (2025) name "confounding implementation variables" as the central obstacle to fair architecture comparison; Agha and Miqdad (2026) concede their observed gaps "may reflect how sensitive each pattern is to prompt quality rather than architectural design alone" and report architectures differing 1.2×–4.6× in token spend; Li (2026) runs the corpus's tightest same-model, same-seed ablation yet still gives the full framework three times the single agent's tokens; Orogat, Rostam, and Mansour (2026) show orchestration overhead alone — independent of task or model — is the dominant scalability constraint.</w:t>
      </w:r>
    </w:p>
    <w:p>
      <w:pPr>
        <w:spacing w:line="480" w:lineRule="auto" w:after="0"/>
        <w:ind w:firstLine="720"/>
      </w:pPr>
      <w:r>
        <w:rPr>
          <w:b w:val="0"/>
          <w:i w:val="0"/>
        </w:rPr>
        <w:t xml:space="preserve">The problem has therefore evolved from </w:t>
      </w:r>
      <w:r>
        <w:rPr>
          <w:b w:val="0"/>
          <w:i/>
        </w:rPr>
        <w:t>"are multi-agent systems better?"</w:t>
      </w:r>
      <w:r>
        <w:rPr>
          <w:b w:val="0"/>
          <w:i w:val="0"/>
        </w:rPr>
        <w:t xml:space="preserve"> to a sharper, unanswered question: </w:t>
      </w:r>
      <w:r>
        <w:rPr>
          <w:b/>
          <w:i w:val="0"/>
        </w:rPr>
        <w:t>under a fixed inference budget, when does spawning a specialist earn back its communication and coordination cost?</w:t>
      </w:r>
      <w:r>
        <w:rPr>
          <w:b w:val="0"/>
          <w:i w:val="0"/>
        </w:rPr>
        <w:t xml:space="preserve"> No study in this corpus (i) equalizes token/call budgets across single-agent and multi-agent arms so architecture is the only manipulated variable, or (ii) tests a runtime policy that decides per task, per state, whether delegation's expected marginal benefit exceeds its marginal cost. The field's own authors point at the missing capability — "build adaptive pipelines" (Shafin et al., 2026), informed routing "left for future work" (Huang et al., 2026), diminishing returns implying an optimal allocation point (Yang, Chai, &amp; Zhang, 2025) — but none has built or falsifiably tested one.</w:t>
      </w:r>
    </w:p>
    <w:p>
      <w:pPr>
        <w:pStyle w:val="Heading2"/>
      </w:pPr>
      <w:r>
        <w:t>Evidence That This Is a Problem</w:t>
      </w:r>
    </w:p>
    <w:p>
      <w:pPr>
        <w:keepNext/>
        <w:spacing w:line="480" w:lineRule="auto" w:before="120" w:after="0"/>
      </w:pPr>
      <w:r>
        <w:rPr>
          <w:b/>
          <w:i w:val="0"/>
        </w:rPr>
        <w:t xml:space="preserve">1. </w:t>
      </w:r>
      <w:r>
        <w:rPr>
          <w:b/>
          <w:i w:val="0"/>
        </w:rPr>
        <w:t>Fair architecture comparison is blocked by confounds</w:t>
      </w:r>
      <w:r>
        <w:rPr>
          <w:b/>
          <w:i w:val="0"/>
        </w:rPr>
        <w:t xml:space="preserve"> — the most realistic end-to-end development benchmark states it directly:</w:t>
      </w:r>
    </w:p>
    <w:p>
      <w:pPr>
        <w:keepNext/>
        <w:spacing w:line="240" w:lineRule="auto" w:after="40"/>
        <w:ind w:left="720" w:right="720"/>
      </w:pPr>
      <w:r>
        <w:rPr>
          <w:b w:val="0"/>
          <w:i w:val="0"/>
        </w:rPr>
        <w:t>“the scientific evaluation of these systems is hampered by significant challenges, including overly simplistic benchmarks and the difficulty of conducting fair comparisons between different agent architectures due to confounding implementation variables.”</w:t>
      </w:r>
    </w:p>
    <w:p>
      <w:pPr>
        <w:spacing w:line="240" w:lineRule="auto" w:after="200"/>
        <w:ind w:left="720"/>
      </w:pPr>
      <w:r>
        <w:rPr>
          <w:i/>
        </w:rPr>
        <w:t xml:space="preserve">— </w:t>
      </w:r>
      <w:r>
        <w:rPr>
          <w:b w:val="0"/>
          <w:i/>
        </w:rPr>
        <w:t xml:space="preserve">Zeng et al. (2025), p. 1 </w:t>
      </w:r>
      <w:r>
        <w:rPr>
          <w:b/>
          <w:i/>
        </w:rPr>
        <w:t>[preprint]</w:t>
      </w:r>
    </w:p>
    <w:p>
      <w:pPr>
        <w:keepNext/>
        <w:spacing w:line="480" w:lineRule="auto" w:before="120" w:after="0"/>
      </w:pPr>
      <w:r>
        <w:rPr>
          <w:b/>
          <w:i w:val="0"/>
        </w:rPr>
        <w:t xml:space="preserve">2. </w:t>
      </w:r>
      <w:r>
        <w:rPr>
          <w:b/>
          <w:i w:val="0"/>
        </w:rPr>
        <w:t>Decomposition can be actively harmful, and no static choice is universally right:</w:t>
      </w:r>
    </w:p>
    <w:p>
      <w:pPr>
        <w:keepNext/>
        <w:spacing w:line="240" w:lineRule="auto" w:after="40"/>
        <w:ind w:left="720" w:right="720"/>
      </w:pPr>
      <w:r>
        <w:rPr>
          <w:b w:val="0"/>
          <w:i w:val="0"/>
        </w:rPr>
        <w:t>“A single-agent approach is not necessarily optimal. A well-structured division of tasks and agents can effectively reduce task complexity, whereas an inappropriate decomposition can substantially degrade agent performance.”</w:t>
      </w:r>
    </w:p>
    <w:p>
      <w:pPr>
        <w:spacing w:line="240" w:lineRule="auto" w:after="200"/>
        <w:ind w:left="720"/>
      </w:pPr>
      <w:r>
        <w:rPr>
          <w:i/>
        </w:rPr>
        <w:t xml:space="preserve">— </w:t>
      </w:r>
      <w:r>
        <w:rPr>
          <w:b w:val="0"/>
          <w:i/>
        </w:rPr>
        <w:t xml:space="preserve">Zeng et al. (2025), p. 8 </w:t>
      </w:r>
      <w:r>
        <w:rPr>
          <w:b/>
          <w:i/>
        </w:rPr>
        <w:t>[preprint]</w:t>
      </w:r>
    </w:p>
    <w:p>
      <w:pPr>
        <w:keepNext/>
        <w:spacing w:line="480" w:lineRule="auto" w:before="120" w:after="0"/>
      </w:pPr>
      <w:r>
        <w:rPr>
          <w:b/>
          <w:i w:val="0"/>
        </w:rPr>
        <w:t xml:space="preserve">3. </w:t>
      </w:r>
      <w:r>
        <w:rPr>
          <w:b/>
          <w:i w:val="0"/>
        </w:rPr>
        <w:t>Delegation's cost can buy nothing</w:t>
      </w:r>
      <w:r>
        <w:rPr>
          <w:b/>
          <w:i w:val="0"/>
        </w:rPr>
        <w:t xml:space="preserve"> — peer-reviewed, 100 scenarios, paired statistics with Holm–Bonferroni correction:</w:t>
      </w:r>
    </w:p>
    <w:p>
      <w:pPr>
        <w:keepNext/>
        <w:spacing w:line="240" w:lineRule="auto" w:after="40"/>
        <w:ind w:left="720" w:right="720"/>
      </w:pPr>
      <w:r>
        <w:rPr>
          <w:b w:val="0"/>
          <w:i w:val="0"/>
        </w:rPr>
        <w:t>“The most reliable difference was computational efficiency: the single-agent architecture required substantially lower latency and token usage than the prompt-defined multi-agent orchestration architecture.”</w:t>
      </w:r>
    </w:p>
    <w:p>
      <w:pPr>
        <w:spacing w:line="240" w:lineRule="auto" w:after="200"/>
        <w:ind w:left="720"/>
      </w:pPr>
      <w:r>
        <w:rPr>
          <w:i/>
        </w:rPr>
        <w:t xml:space="preserve">— </w:t>
      </w:r>
      <w:r>
        <w:rPr>
          <w:b w:val="0"/>
          <w:i/>
        </w:rPr>
        <w:t xml:space="preserve">Sanabria (2026), p. 1, </w:t>
      </w:r>
      <w:r>
        <w:rPr>
          <w:b w:val="0"/>
          <w:i/>
        </w:rPr>
        <w:t>Frontiers in Robotics and AI</w:t>
      </w:r>
    </w:p>
    <w:p>
      <w:pPr>
        <w:keepNext/>
        <w:spacing w:line="480" w:lineRule="auto" w:before="120" w:after="0"/>
      </w:pPr>
      <w:r>
        <w:rPr>
          <w:b/>
          <w:i w:val="0"/>
        </w:rPr>
        <w:t xml:space="preserve">4. </w:t>
      </w:r>
      <w:r>
        <w:rPr>
          <w:b/>
          <w:i w:val="0"/>
        </w:rPr>
        <w:t>The payoff is model-dependent and unpredictable from architecture alone</w:t>
      </w:r>
      <w:r>
        <w:rPr>
          <w:b/>
          <w:i w:val="0"/>
        </w:rPr>
        <w:t xml:space="preserve"> — published ablation on 100 ClassEval tasks:</w:t>
      </w:r>
    </w:p>
    <w:p>
      <w:pPr>
        <w:keepNext/>
        <w:spacing w:line="240" w:lineRule="auto" w:after="40"/>
        <w:ind w:left="720" w:right="720"/>
      </w:pPr>
      <w:r>
        <w:rPr>
          <w:b w:val="0"/>
          <w:i w:val="0"/>
        </w:rPr>
        <w:t>“multi-agent LLM workflows do not uniformly enhance class-level code correctness … pass@1 accuracy declines for GPT-4o-Mini (−37.8%) and DeepSeek-Chat (−39.8%), while Claude-3.5-Haiku improves (+9.5%), indicating model-dependent [effects]”</w:t>
      </w:r>
    </w:p>
    <w:p>
      <w:pPr>
        <w:spacing w:line="240" w:lineRule="auto" w:after="200"/>
        <w:ind w:left="720"/>
      </w:pPr>
      <w:r>
        <w:rPr>
          <w:i/>
        </w:rPr>
        <w:t xml:space="preserve">— </w:t>
      </w:r>
      <w:r>
        <w:rPr>
          <w:b w:val="0"/>
          <w:i/>
        </w:rPr>
        <w:t xml:space="preserve">Shafin et al. (2026), p. 2, </w:t>
      </w:r>
      <w:r>
        <w:rPr>
          <w:b w:val="0"/>
          <w:i/>
        </w:rPr>
        <w:t>PROMISE '26</w:t>
      </w:r>
    </w:p>
    <w:p>
      <w:pPr>
        <w:keepNext/>
        <w:spacing w:line="480" w:lineRule="auto" w:before="120" w:after="0"/>
      </w:pPr>
      <w:r>
        <w:rPr>
          <w:b/>
          <w:i w:val="0"/>
        </w:rPr>
        <w:t xml:space="preserve">5. </w:t>
      </w:r>
      <w:r>
        <w:rPr>
          <w:b/>
          <w:i w:val="0"/>
        </w:rPr>
        <w:t>Added agents do not reliably add value:</w:t>
      </w:r>
    </w:p>
    <w:p>
      <w:pPr>
        <w:keepNext/>
        <w:spacing w:line="240" w:lineRule="auto" w:after="40"/>
        <w:ind w:left="720" w:right="720"/>
      </w:pPr>
      <w:r>
        <w:rPr>
          <w:b w:val="0"/>
          <w:i w:val="0"/>
        </w:rPr>
        <w:t>“Model selection was the primary determinant of screening performance, outweighing strategy selection. The single-agent strategy with Qwen 2.5 7B in few-shot mode achieved the best overall performance … outperforming all multi-agent alternatives.”</w:t>
      </w:r>
    </w:p>
    <w:p>
      <w:pPr>
        <w:spacing w:line="240" w:lineRule="auto" w:after="200"/>
        <w:ind w:left="720"/>
      </w:pPr>
      <w:r>
        <w:rPr>
          <w:i/>
        </w:rPr>
        <w:t xml:space="preserve">— </w:t>
      </w:r>
      <w:r>
        <w:rPr>
          <w:b w:val="0"/>
          <w:i/>
        </w:rPr>
        <w:t xml:space="preserve">Radeva et al. (2026), p. 24 </w:t>
      </w:r>
      <w:r>
        <w:rPr>
          <w:b/>
          <w:i/>
        </w:rPr>
        <w:t>[preprint]</w:t>
      </w:r>
    </w:p>
    <w:p>
      <w:pPr>
        <w:keepNext/>
        <w:spacing w:line="480" w:lineRule="auto" w:before="120" w:after="0"/>
      </w:pPr>
      <w:r>
        <w:rPr>
          <w:b/>
          <w:i w:val="0"/>
        </w:rPr>
        <w:t xml:space="preserve">6. </w:t>
      </w:r>
      <w:r>
        <w:rPr>
          <w:b/>
          <w:i w:val="0"/>
        </w:rPr>
        <w:t>Per-token value of delegation varies by an order of magnitude</w:t>
      </w:r>
      <w:r>
        <w:rPr>
          <w:b/>
          <w:i w:val="0"/>
        </w:rPr>
        <w:t xml:space="preserve"> — 270 matched executions:</w:t>
      </w:r>
    </w:p>
    <w:p>
      <w:pPr>
        <w:keepNext/>
        <w:spacing w:line="240" w:lineRule="auto" w:after="40"/>
        <w:ind w:left="720" w:right="720"/>
      </w:pPr>
      <w:r>
        <w:rPr>
          <w:b w:val="0"/>
          <w:i w:val="0"/>
        </w:rPr>
        <w:t>“The cost-quality relationship was strongly asymmetric: sequential's 1.2× token cost relative to single-agent produced a 11.1 percentage-point pass-rate gain, while hierarchical's 4.6× token cost produced a 26.7 percentage-point pass-rate loss.”</w:t>
      </w:r>
    </w:p>
    <w:p>
      <w:pPr>
        <w:spacing w:line="240" w:lineRule="auto" w:after="200"/>
        <w:ind w:left="720"/>
      </w:pPr>
      <w:r>
        <w:rPr>
          <w:i/>
        </w:rPr>
        <w:t xml:space="preserve">— </w:t>
      </w:r>
      <w:r>
        <w:rPr>
          <w:b w:val="0"/>
          <w:i/>
        </w:rPr>
        <w:t>Agha &amp; Miqdad (2026), p. 81</w:t>
      </w:r>
    </w:p>
    <w:p>
      <w:pPr>
        <w:keepNext/>
        <w:spacing w:line="480" w:lineRule="auto" w:before="120" w:after="0"/>
      </w:pPr>
      <w:r>
        <w:rPr>
          <w:b/>
          <w:i w:val="0"/>
        </w:rPr>
        <w:t xml:space="preserve">7. </w:t>
      </w:r>
      <w:r>
        <w:rPr>
          <w:b/>
          <w:i w:val="0"/>
        </w:rPr>
        <w:t>Existing comparisons admit they don't isolate architecture:</w:t>
      </w:r>
    </w:p>
    <w:p>
      <w:pPr>
        <w:keepNext/>
        <w:spacing w:line="240" w:lineRule="auto" w:after="40"/>
        <w:ind w:left="720" w:right="720"/>
      </w:pPr>
      <w:r>
        <w:rPr>
          <w:b w:val="0"/>
          <w:i w:val="0"/>
        </w:rPr>
        <w:t>“the performance gaps we observed may reflect how sensitive each pattern is to prompt quality rather than architectural design alone.”</w:t>
      </w:r>
    </w:p>
    <w:p>
      <w:pPr>
        <w:spacing w:line="240" w:lineRule="auto" w:after="200"/>
        <w:ind w:left="720"/>
      </w:pPr>
      <w:r>
        <w:rPr>
          <w:i/>
        </w:rPr>
        <w:t xml:space="preserve">— </w:t>
      </w:r>
      <w:r>
        <w:rPr>
          <w:b w:val="0"/>
          <w:i/>
        </w:rPr>
        <w:t>Agha &amp; Miqdad (2026), p. 77</w:t>
      </w:r>
    </w:p>
    <w:p>
      <w:pPr>
        <w:keepNext/>
        <w:spacing w:line="480" w:lineRule="auto" w:before="120" w:after="0"/>
      </w:pPr>
      <w:r>
        <w:rPr>
          <w:b/>
          <w:i w:val="0"/>
        </w:rPr>
        <w:t xml:space="preserve">8. </w:t>
      </w:r>
      <w:r>
        <w:rPr>
          <w:b/>
          <w:i w:val="0"/>
        </w:rPr>
        <w:t>Every unnecessary delegation has a measurable price paid by default:</w:t>
      </w:r>
    </w:p>
    <w:p>
      <w:pPr>
        <w:keepNext/>
        <w:spacing w:line="240" w:lineRule="auto" w:after="40"/>
        <w:ind w:left="720" w:right="720"/>
      </w:pPr>
      <w:r>
        <w:rPr>
          <w:b w:val="0"/>
          <w:i w:val="0"/>
        </w:rPr>
        <w:t>“Principle 1: Orchestration overhead is the dominant scalability constraint. Keep orchestration shallow; add coordination only when strictly required.”</w:t>
      </w:r>
    </w:p>
    <w:p>
      <w:pPr>
        <w:spacing w:line="240" w:lineRule="auto" w:after="200"/>
        <w:ind w:left="720"/>
      </w:pPr>
      <w:r>
        <w:rPr>
          <w:i/>
        </w:rPr>
        <w:t xml:space="preserve">— </w:t>
      </w:r>
      <w:r>
        <w:rPr>
          <w:b w:val="0"/>
          <w:i/>
        </w:rPr>
        <w:t xml:space="preserve">Orogat et al. (2026), p. 10 </w:t>
      </w:r>
      <w:r>
        <w:rPr>
          <w:b/>
          <w:i/>
        </w:rPr>
        <w:t>[preprint]</w:t>
      </w:r>
    </w:p>
    <w:p>
      <w:pPr>
        <w:pStyle w:val="Heading2"/>
      </w:pPr>
      <w:r>
        <w:t>Proposed Experiment</w:t>
      </w:r>
    </w:p>
    <w:p>
      <w:pPr>
        <w:spacing w:line="480" w:lineRule="auto" w:after="0"/>
      </w:pPr>
      <w:r>
        <w:rPr>
          <w:b/>
          <w:i w:val="0"/>
        </w:rPr>
        <w:t>Design.</w:t>
      </w:r>
      <w:r>
        <w:rPr>
          <w:b w:val="0"/>
          <w:i w:val="0"/>
        </w:rPr>
        <w:t xml:space="preserve"> A within-task, budget-matched factorial experiment testing whether a resource-bounded adaptive delegation policy Pareto-dominates static architectures. H1: at each fixed total-token budget B, an adaptive controller that delegates to a specialist only when a calibrated estimate of marginal benefit exceeds marginal cost achieves higher task success than every static arm and a random-delegation control.</w:t>
      </w:r>
    </w:p>
    <w:p>
      <w:pPr>
        <w:spacing w:line="480" w:lineRule="auto" w:after="0"/>
      </w:pPr>
      <w:r>
        <w:rPr>
          <w:b/>
          <w:i w:val="0"/>
        </w:rPr>
        <w:t>Conditions</w:t>
      </w:r>
      <w:r>
        <w:rPr>
          <w:b w:val="0"/>
          <w:i w:val="0"/>
        </w:rPr>
        <w:t xml:space="preserve"> (each crossed with three total-token budget tiers, e.g. 16k/64k/256k, and 3–5 fixed seeds):</w:t>
      </w:r>
    </w:p>
    <w:p>
      <w:pPr>
        <w:pStyle w:val="ListBullet"/>
        <w:spacing w:line="240" w:lineRule="auto" w:after="80"/>
      </w:pPr>
      <w:r>
        <w:rPr>
          <w:b w:val="0"/>
          <w:i w:val="0"/>
        </w:rPr>
        <w:t>C1: static single agent (full context, full budget B)</w:t>
      </w:r>
    </w:p>
    <w:p>
      <w:pPr>
        <w:pStyle w:val="ListBullet"/>
        <w:spacing w:line="240" w:lineRule="auto" w:after="80"/>
      </w:pPr>
      <w:r>
        <w:rPr>
          <w:b w:val="0"/>
          <w:i w:val="0"/>
        </w:rPr>
        <w:t>C2: static sequential pipeline (Planner→Coder→Tester, shared budget B)</w:t>
      </w:r>
    </w:p>
    <w:p>
      <w:pPr>
        <w:pStyle w:val="ListBullet"/>
        <w:spacing w:line="240" w:lineRule="auto" w:after="80"/>
      </w:pPr>
      <w:r>
        <w:rPr>
          <w:b w:val="0"/>
          <w:i w:val="0"/>
        </w:rPr>
        <w:t>C3: static hierarchical/supervisor topology (shared budget B)</w:t>
      </w:r>
    </w:p>
    <w:p>
      <w:pPr>
        <w:pStyle w:val="ListBullet"/>
        <w:spacing w:line="240" w:lineRule="auto" w:after="80"/>
      </w:pPr>
      <w:r>
        <w:rPr>
          <w:b w:val="0"/>
          <w:i w:val="0"/>
        </w:rPr>
        <w:t>C4: adaptive delegation — starts single-agent; the controller spawns a specialist mid-task only when estimated marginal benefit &gt; marginal cost given remaining budget</w:t>
      </w:r>
    </w:p>
    <w:p>
      <w:pPr>
        <w:pStyle w:val="ListBullet"/>
        <w:spacing w:line="240" w:lineRule="auto" w:after="80"/>
      </w:pPr>
      <w:r>
        <w:rPr>
          <w:b w:val="0"/>
          <w:i w:val="0"/>
        </w:rPr>
        <w:t xml:space="preserve">C5: random-delegation control at C4's delegation frequency — isolates the value of </w:t>
      </w:r>
      <w:r>
        <w:rPr>
          <w:b w:val="0"/>
          <w:i/>
        </w:rPr>
        <w:t>adaptivity</w:t>
      </w:r>
      <w:r>
        <w:rPr>
          <w:b w:val="0"/>
          <w:i w:val="0"/>
        </w:rPr>
        <w:t xml:space="preserve"> from the value of </w:t>
      </w:r>
      <w:r>
        <w:rPr>
          <w:b w:val="0"/>
          <w:i/>
        </w:rPr>
        <w:t>occasional delegation</w:t>
      </w:r>
    </w:p>
    <w:p>
      <w:pPr>
        <w:spacing w:line="480" w:lineRule="auto" w:after="0"/>
      </w:pPr>
      <w:r>
        <w:rPr>
          <w:b/>
          <w:i w:val="0"/>
        </w:rPr>
        <w:t>Tasks.</w:t>
      </w:r>
      <w:r>
        <w:rPr>
          <w:b w:val="0"/>
          <w:i w:val="0"/>
        </w:rPr>
        <w:t xml:space="preserve"> SWE-bench Lite (repository bug-fixing; stratified 100-task factorial), ClassEval (100 class-level tasks, matching Shafin et al. 2026), and TestEval/QuixBugs (matching Agha &amp; Miqdad 2026 and Li 2026), plus a temporally held-out post-cutoff slice (Zeng et al.'s 2025-Q1 partition method) against contamination.</w:t>
      </w:r>
    </w:p>
    <w:p>
      <w:pPr>
        <w:spacing w:line="480" w:lineRule="auto" w:after="0"/>
      </w:pPr>
      <w:r>
        <w:rPr>
          <w:b/>
          <w:i w:val="0"/>
        </w:rPr>
        <w:t>Controls.</w:t>
      </w:r>
      <w:r>
        <w:rPr>
          <w:b w:val="0"/>
          <w:i w:val="0"/>
        </w:rPr>
        <w:t xml:space="preserve"> One pinned model version, fixed decoding parameters, one tool harness and sandbox, and a </w:t>
      </w:r>
      <w:r>
        <w:rPr>
          <w:b/>
          <w:i w:val="0"/>
        </w:rPr>
        <w:t>hard metered token ceiling across all agents</w:t>
      </w:r>
      <w:r>
        <w:rPr>
          <w:b w:val="0"/>
          <w:i w:val="0"/>
        </w:rPr>
        <w:t xml:space="preserve"> — removing the exact confound named by Zeng et al., Agha &amp; Miqdad, and Li. Prompts share an instruction core with equal-effort role additions published verbatim, plus a prompt-swap ablation. Architecture (and the policy) is the only manipulated variable.</w:t>
      </w:r>
    </w:p>
    <w:p>
      <w:pPr>
        <w:spacing w:line="480" w:lineRule="auto" w:after="0"/>
      </w:pPr>
      <w:r>
        <w:rPr>
          <w:b/>
          <w:i w:val="0"/>
        </w:rPr>
        <w:t>Metrics.</w:t>
      </w:r>
      <w:r>
        <w:rPr>
          <w:b w:val="0"/>
          <w:i w:val="0"/>
        </w:rPr>
        <w:t xml:space="preserve"> Task success at fixed budget per tier; success per 1,000 tokens; area under the budget–performance curve; tokens/calls/latency/cost; delegation precision/recall against counterfactual oracle labels (re-running delegated states without delegation and vice versa); cross-run consistency; paired McNemar/Wilcoxon with Holm correction and bootstrap effect sizes.</w:t>
      </w:r>
    </w:p>
    <w:p>
      <w:pPr>
        <w:spacing w:line="480" w:lineRule="auto" w:after="0"/>
      </w:pPr>
      <w:r>
        <w:rPr>
          <w:b/>
          <w:i w:val="0"/>
        </w:rPr>
        <w:t>Feasibility.</w:t>
      </w:r>
      <w:r>
        <w:rPr>
          <w:b w:val="0"/>
          <w:i w:val="0"/>
        </w:rPr>
        <w:t xml:space="preserve"> No LLM training — the controller is a small logistic/heuristic model over trace features. Corpus cost anchors ($0.0056–$7.05 per task/project; Li 2026, Zeng et al. 2025, Agha &amp; Miqdad 2026) put the full factorial at roughly $3–6k of API spend with hard per-task ceilings bounding worst-case cost. Timeline ≈ 10–13 months (instrumentation/pilot → factorial → analysis).</w:t>
      </w:r>
    </w:p>
    <w:p>
      <w:pPr>
        <w:pStyle w:val="Heading2"/>
      </w:pPr>
      <w:r>
        <w:t>Why the Proposed Approach Is Viable</w:t>
      </w:r>
    </w:p>
    <w:p>
      <w:pPr>
        <w:keepNext/>
        <w:spacing w:line="480" w:lineRule="auto" w:before="120" w:after="0"/>
      </w:pPr>
      <w:r>
        <w:rPr>
          <w:b/>
          <w:i w:val="0"/>
        </w:rPr>
        <w:t xml:space="preserve">1. </w:t>
      </w:r>
      <w:r>
        <w:rPr>
          <w:b/>
          <w:i w:val="0"/>
        </w:rPr>
        <w:t>The controlled methodology is proven practical at single-student scale:</w:t>
      </w:r>
    </w:p>
    <w:p>
      <w:pPr>
        <w:keepNext/>
        <w:spacing w:line="240" w:lineRule="auto" w:after="40"/>
        <w:ind w:left="720" w:right="720"/>
      </w:pPr>
      <w:r>
        <w:rPr>
          <w:b w:val="0"/>
          <w:i w:val="0"/>
        </w:rPr>
        <w:t>“Four conditions were therefore run on the same forty programs with the same model, the same five seeds, and the same iteration bound.”</w:t>
      </w:r>
    </w:p>
    <w:p>
      <w:pPr>
        <w:spacing w:line="240" w:lineRule="auto" w:after="200"/>
        <w:ind w:left="720"/>
      </w:pPr>
      <w:r>
        <w:rPr>
          <w:i/>
        </w:rPr>
        <w:t xml:space="preserve">— </w:t>
      </w:r>
      <w:r>
        <w:rPr>
          <w:b w:val="0"/>
          <w:i/>
        </w:rPr>
        <w:t>Li (2026), p. 17 — the remaining flaw (unmatched token budgets) is exactly what the proposed budget metering fixes.</w:t>
      </w:r>
    </w:p>
    <w:p>
      <w:pPr>
        <w:keepNext/>
        <w:spacing w:line="480" w:lineRule="auto" w:before="120" w:after="0"/>
      </w:pPr>
      <w:r>
        <w:rPr>
          <w:b/>
          <w:i w:val="0"/>
        </w:rPr>
        <w:t xml:space="preserve">2. </w:t>
      </w:r>
      <w:r>
        <w:rPr>
          <w:b/>
          <w:i w:val="0"/>
        </w:rPr>
        <w:t>The core mechanism is an acknowledged, unclaimed gap</w:t>
      </w:r>
      <w:r>
        <w:rPr>
          <w:b/>
          <w:i w:val="0"/>
        </w:rPr>
        <w:t xml:space="preserve"> (TOSEM):</w:t>
      </w:r>
    </w:p>
    <w:p>
      <w:pPr>
        <w:keepNext/>
        <w:spacing w:line="240" w:lineRule="auto" w:after="40"/>
        <w:ind w:left="720" w:right="720"/>
      </w:pPr>
      <w:r>
        <w:rPr>
          <w:b w:val="0"/>
          <w:i w:val="0"/>
        </w:rPr>
        <w:t>“more informed routing strategies based on model specialization or historical performance may further accelerate convergence and improve computational efficiency, which we leave for future work.”</w:t>
      </w:r>
    </w:p>
    <w:p>
      <w:pPr>
        <w:spacing w:line="240" w:lineRule="auto" w:after="200"/>
        <w:ind w:left="720"/>
      </w:pPr>
      <w:r>
        <w:rPr>
          <w:i/>
        </w:rPr>
        <w:t xml:space="preserve">— </w:t>
      </w:r>
      <w:r>
        <w:rPr>
          <w:b w:val="0"/>
          <w:i/>
        </w:rPr>
        <w:t>Huang et al. (2026), p. 8</w:t>
      </w:r>
    </w:p>
    <w:p>
      <w:pPr>
        <w:keepNext/>
        <w:spacing w:line="480" w:lineRule="auto" w:before="120" w:after="0"/>
      </w:pPr>
      <w:r>
        <w:rPr>
          <w:b/>
          <w:i w:val="0"/>
        </w:rPr>
        <w:t xml:space="preserve">3. </w:t>
      </w:r>
      <w:r>
        <w:rPr>
          <w:b/>
          <w:i w:val="0"/>
        </w:rPr>
        <w:t>Direct corpus endorsement of the dissertation's central artifact:</w:t>
      </w:r>
    </w:p>
    <w:p>
      <w:pPr>
        <w:keepNext/>
        <w:spacing w:line="240" w:lineRule="auto" w:after="40"/>
        <w:ind w:left="720" w:right="720"/>
      </w:pPr>
      <w:r>
        <w:rPr>
          <w:b w:val="0"/>
          <w:i w:val="0"/>
        </w:rPr>
        <w:t>“For researchers: build adaptive pipelines, add cross-stage consistency checks, and prioritize benchmark specifications when stages conflict.”</w:t>
      </w:r>
    </w:p>
    <w:p>
      <w:pPr>
        <w:spacing w:line="240" w:lineRule="auto" w:after="200"/>
        <w:ind w:left="720"/>
      </w:pPr>
      <w:r>
        <w:rPr>
          <w:i/>
        </w:rPr>
        <w:t xml:space="preserve">— </w:t>
      </w:r>
      <w:r>
        <w:rPr>
          <w:b w:val="0"/>
          <w:i/>
        </w:rPr>
        <w:t>Shafin et al. (2026), p. 9</w:t>
      </w:r>
    </w:p>
    <w:p>
      <w:pPr>
        <w:keepNext/>
        <w:spacing w:line="480" w:lineRule="auto" w:before="120" w:after="0"/>
      </w:pPr>
      <w:r>
        <w:rPr>
          <w:b/>
          <w:i w:val="0"/>
        </w:rPr>
        <w:t xml:space="preserve">4. </w:t>
      </w:r>
      <w:r>
        <w:rPr>
          <w:b/>
          <w:i w:val="0"/>
        </w:rPr>
        <w:t>An interior optimum exists to find:</w:t>
      </w:r>
    </w:p>
    <w:p>
      <w:pPr>
        <w:keepNext/>
        <w:spacing w:line="240" w:lineRule="auto" w:after="40"/>
        <w:ind w:left="720" w:right="720"/>
      </w:pPr>
      <w:r>
        <w:rPr>
          <w:b w:val="0"/>
          <w:i w:val="0"/>
        </w:rPr>
        <w:t>“However, the improvements are incremental, with diminishing returns as the system scales up.”</w:t>
      </w:r>
    </w:p>
    <w:p>
      <w:pPr>
        <w:spacing w:line="240" w:lineRule="auto" w:after="200"/>
        <w:ind w:left="720"/>
      </w:pPr>
      <w:r>
        <w:rPr>
          <w:i/>
        </w:rPr>
        <w:t xml:space="preserve">— </w:t>
      </w:r>
      <w:r>
        <w:rPr>
          <w:b w:val="0"/>
          <w:i/>
        </w:rPr>
        <w:t xml:space="preserve">Yang et al. (2025), p. 23 </w:t>
      </w:r>
      <w:r>
        <w:rPr>
          <w:b/>
          <w:i/>
        </w:rPr>
        <w:t>[preprint]</w:t>
      </w:r>
    </w:p>
    <w:p>
      <w:pPr>
        <w:keepNext/>
        <w:spacing w:line="480" w:lineRule="auto" w:before="120" w:after="0"/>
      </w:pPr>
      <w:r>
        <w:rPr>
          <w:b/>
          <w:i w:val="0"/>
        </w:rPr>
        <w:t xml:space="preserve">5. </w:t>
      </w:r>
      <w:r>
        <w:rPr>
          <w:b/>
          <w:i w:val="0"/>
        </w:rPr>
        <w:t>Measurable upside and the field's own framing of the open question:</w:t>
      </w:r>
    </w:p>
    <w:p>
      <w:pPr>
        <w:keepNext/>
        <w:spacing w:line="240" w:lineRule="auto" w:after="40"/>
        <w:ind w:left="720" w:right="720"/>
      </w:pPr>
      <w:r>
        <w:rPr>
          <w:b w:val="0"/>
          <w:i w:val="0"/>
        </w:rPr>
        <w:t>“a 'best-of-N' strategy is a feasible path to improving overall performance … given the high computational cost of a full agent run, the cost-effectiveness of such an approach becomes a critical concern that requires careful optimization.”</w:t>
      </w:r>
    </w:p>
    <w:p>
      <w:pPr>
        <w:spacing w:line="240" w:lineRule="auto" w:after="200"/>
        <w:ind w:left="720"/>
      </w:pPr>
      <w:r>
        <w:rPr>
          <w:i/>
        </w:rPr>
        <w:t xml:space="preserve">— </w:t>
      </w:r>
      <w:r>
        <w:rPr>
          <w:b w:val="0"/>
          <w:i/>
        </w:rPr>
        <w:t xml:space="preserve">Zeng et al. (2025), p. 8 </w:t>
      </w:r>
      <w:r>
        <w:rPr>
          <w:b/>
          <w:i/>
        </w:rPr>
        <w:t>[preprint]</w:t>
      </w:r>
    </w:p>
    <w:p>
      <w:pPr>
        <w:pStyle w:val="Heading2"/>
      </w:pPr>
      <w:r>
        <w:t>Assessment</w:t>
      </w:r>
    </w:p>
    <w:p>
      <w:pPr>
        <w:spacing w:line="480" w:lineRule="auto" w:after="0"/>
      </w:pPr>
      <w:r>
        <w:rPr>
          <w:b/>
          <w:i w:val="0"/>
        </w:rPr>
        <w:t>Novelty:</w:t>
      </w:r>
      <w:r>
        <w:rPr>
          <w:b w:val="0"/>
          <w:i w:val="0"/>
        </w:rPr>
        <w:t xml:space="preserve"> no corpus paper performs a budget-equalized single-vs-multi comparison in SE, and none tests a runtime cost-conditioned delegation policy. Both contributions are individually absent from the corpus.</w:t>
      </w:r>
    </w:p>
    <w:p>
      <w:pPr>
        <w:spacing w:line="480" w:lineRule="auto" w:after="0"/>
      </w:pPr>
      <w:r>
        <w:rPr>
          <w:b/>
          <w:i w:val="0"/>
        </w:rPr>
        <w:t>Falsifiability:</w:t>
      </w:r>
      <w:r>
        <w:rPr>
          <w:b w:val="0"/>
          <w:i w:val="0"/>
        </w:rPr>
        <w:t xml:space="preserve"> H1 is rejected if the static single agent matches the adaptive arm at every budget tier (plausible — single agents won in Sanabria 2026, Radeva et al. 2026, and two-thirds of Shafin et al. 2026); if C4 ≤ C5, adaptivity has no value; if delegation precision is at chance, the mechanism is absent. Every outcome is publishable.</w:t>
      </w:r>
    </w:p>
    <w:p>
      <w:pPr>
        <w:spacing w:line="480" w:lineRule="auto" w:after="0"/>
      </w:pPr>
      <w:r>
        <w:rPr>
          <w:b/>
          <w:i w:val="0"/>
        </w:rPr>
        <w:t>Risks &amp; mitigations:</w:t>
      </w:r>
      <w:r>
        <w:rPr>
          <w:b w:val="0"/>
          <w:i w:val="0"/>
        </w:rPr>
        <w:t xml:space="preserve"> budget equalization distorting coordination-heavy arms (three tiers + full curves); model drift (pinning, repetitions, paired analysis); contamination (temporal holdout); weak controller (report the counterfactual oracle upper bound — itself a contribution).</w:t>
      </w:r>
    </w:p>
    <w:p>
      <w:pPr>
        <w:spacing w:line="480" w:lineRule="auto" w:after="0"/>
      </w:pPr>
      <w:r>
        <w:rPr>
          <w:b/>
          <w:i w:val="0"/>
        </w:rPr>
        <w:t>NSU rubric fit:</w:t>
      </w:r>
      <w:r>
        <w:rPr>
          <w:b w:val="0"/>
          <w:i w:val="0"/>
        </w:rPr>
        <w:t xml:space="preserve"> valid problem grounded in refereed contradictions (items 6, 10); measurable goal — Pareto dominance at fixed budgets (item 11); originality established against nearest neighbors (item 12); approach with precedent in similar studies (items 13, 14).</w:t>
      </w:r>
    </w:p>
    <w:p>
      <w:r>
        <w:br w:type="page"/>
      </w:r>
    </w:p>
    <w:p>
      <w:pPr>
        <w:pStyle w:val="Heading1"/>
      </w:pPr>
      <w:r>
        <w:t>Topic 2 — Independent Signals or Expensive Self-Refinement?</w:t>
      </w:r>
    </w:p>
    <w:p>
      <w:pPr>
        <w:spacing w:line="480" w:lineRule="auto" w:after="0"/>
      </w:pPr>
      <w:r>
        <w:rPr>
          <w:b/>
          <w:i w:val="0"/>
        </w:rPr>
        <w:t>Proposed title:</w:t>
      </w:r>
      <w:r>
        <w:rPr>
          <w:b w:val="0"/>
          <w:i w:val="0"/>
        </w:rPr>
        <w:t xml:space="preserve"> </w:t>
      </w:r>
      <w:r>
        <w:rPr>
          <w:b w:val="0"/>
          <w:i/>
        </w:rPr>
        <w:t>Independent Signals or Expensive Self-Refinement? A Budget-Matched Factorial Decomposition of Multi-Agent Verification Gains in LLM-Based Code Review and Testing</w:t>
      </w:r>
    </w:p>
    <w:p>
      <w:pPr>
        <w:pStyle w:val="Heading2"/>
      </w:pPr>
      <w:r>
        <w:t>Problem Statement</w:t>
      </w:r>
    </w:p>
    <w:p>
      <w:pPr>
        <w:spacing w:line="480" w:lineRule="auto" w:after="0"/>
        <w:ind w:firstLine="720"/>
      </w:pPr>
      <w:r>
        <w:rPr>
          <w:b w:val="0"/>
          <w:i w:val="0"/>
        </w:rPr>
        <w:t>Multi-agent LLM systems for software verification — reviewer/critic/tester pipelines layered over a code generator — routinely report accuracy gains, but the literature systematically confounds three distinct causal candidates: (1) the role-play apparatus itself (persona labels plus multi-turn discussion), (2) genuinely independent signals (a different model, an independent context uncontaminated by the generator's reasoning, or executable evidence from tests and compilers), and (3) simple inference-budget inflation.</w:t>
      </w:r>
    </w:p>
    <w:p>
      <w:pPr>
        <w:spacing w:line="480" w:lineRule="auto" w:after="0"/>
        <w:ind w:firstLine="720"/>
      </w:pPr>
      <w:r>
        <w:rPr>
          <w:b w:val="0"/>
          <w:i w:val="0"/>
        </w:rPr>
        <w:t>The flagship multi-role vulnerability-detection study runs every role on instances of the same gpt-3.5-turbo model and concedes its gains cost a 484% token increase with no equal-budget single-agent control (Mao et al., 2024). The most controlled specialization ablation in the corpus finds a 17.5-point detection advantage for role decomposition but calls it "the only controlled evidence in this work," runs entirely within one model at ~3× the single agent's tokens, and states that "a multi-model evaluation would be required to separate framework effects from model effects" (Li, 2026). Decision theory sharpens the worry: without new exogenous signals, any delegated agent network is dominated by a centralized decision maker with the same information (Ao, Gao, &amp; Simchi-Levi, 2026). Same-family self-auditing risks shared blind spots (Calboreanu, 2026), and multi-agent systems can "unexpectedly underperform strong, yet simpler, single-agent baselines" (Barrak, 2025).</w:t>
      </w:r>
    </w:p>
    <w:p>
      <w:pPr>
        <w:spacing w:line="480" w:lineRule="auto" w:after="0"/>
        <w:ind w:firstLine="720"/>
      </w:pPr>
      <w:r>
        <w:rPr>
          <w:b w:val="0"/>
          <w:i w:val="0"/>
        </w:rPr>
        <w:t xml:space="preserve">It is therefore still unknown </w:t>
      </w:r>
      <w:r>
        <w:rPr>
          <w:b/>
          <w:i w:val="0"/>
        </w:rPr>
        <w:t>whether multi-agent verification gains come from role labels and discussion or from independent signals, and whether same-model role-play is anything more than expensive self-refinement.</w:t>
      </w:r>
    </w:p>
    <w:p>
      <w:pPr>
        <w:pStyle w:val="Heading2"/>
      </w:pPr>
      <w:r>
        <w:t>Evidence That This Is a Problem</w:t>
      </w:r>
    </w:p>
    <w:p>
      <w:pPr>
        <w:keepNext/>
        <w:spacing w:line="480" w:lineRule="auto" w:before="120" w:after="0"/>
      </w:pPr>
      <w:r>
        <w:rPr>
          <w:b/>
          <w:i w:val="0"/>
        </w:rPr>
        <w:t xml:space="preserve">1. </w:t>
      </w:r>
      <w:r>
        <w:rPr>
          <w:b/>
          <w:i w:val="0"/>
        </w:rPr>
        <w:t>The theoretical core</w:t>
      </w:r>
      <w:r>
        <w:rPr>
          <w:b/>
          <w:i w:val="0"/>
        </w:rPr>
        <w:t xml:space="preserve"> — formal decision-theoretic result:</w:t>
      </w:r>
    </w:p>
    <w:p>
      <w:pPr>
        <w:keepNext/>
        <w:spacing w:line="240" w:lineRule="auto" w:after="40"/>
        <w:ind w:left="720" w:right="720"/>
      </w:pPr>
      <w:r>
        <w:rPr>
          <w:b w:val="0"/>
          <w:i w:val="0"/>
        </w:rPr>
        <w:t>“We show that, without new exogenous signals, any delegated network is decision-theoretically dominated by a centralized Bayes decision maker with access to the same information.”</w:t>
      </w:r>
    </w:p>
    <w:p>
      <w:pPr>
        <w:spacing w:line="240" w:lineRule="auto" w:after="200"/>
        <w:ind w:left="720"/>
      </w:pPr>
      <w:r>
        <w:rPr>
          <w:i/>
        </w:rPr>
        <w:t xml:space="preserve">— </w:t>
      </w:r>
      <w:r>
        <w:rPr>
          <w:b w:val="0"/>
          <w:i/>
        </w:rPr>
        <w:t xml:space="preserve">Ao, Gao, &amp; Simchi-Levi (2026), p. 1 </w:t>
      </w:r>
      <w:r>
        <w:rPr>
          <w:b/>
          <w:i/>
        </w:rPr>
        <w:t>[preprint]</w:t>
      </w:r>
    </w:p>
    <w:p>
      <w:pPr>
        <w:keepNext/>
        <w:spacing w:line="480" w:lineRule="auto" w:before="120" w:after="0"/>
      </w:pPr>
      <w:r>
        <w:rPr>
          <w:b/>
          <w:i w:val="0"/>
        </w:rPr>
        <w:t xml:space="preserve">2. </w:t>
      </w:r>
      <w:r>
        <w:rPr>
          <w:b/>
          <w:i w:val="0"/>
        </w:rPr>
        <w:t>Deployed architectures add roles without adding information:</w:t>
      </w:r>
    </w:p>
    <w:p>
      <w:pPr>
        <w:keepNext/>
        <w:spacing w:line="240" w:lineRule="auto" w:after="40"/>
        <w:ind w:left="720" w:right="720"/>
      </w:pPr>
      <w:r>
        <w:rPr>
          <w:b w:val="0"/>
          <w:i w:val="0"/>
        </w:rPr>
        <w:t>“Planner, worker, critic, and reviewer modules are often built from the same model family, operate on overlapping retrieved context, and communicate through free-form language. In such cases, the added stages mainly transform and relay shared evidence rather than expand the information available for the terminal decision.”</w:t>
      </w:r>
    </w:p>
    <w:p>
      <w:pPr>
        <w:spacing w:line="240" w:lineRule="auto" w:after="200"/>
        <w:ind w:left="720"/>
      </w:pPr>
      <w:r>
        <w:rPr>
          <w:i/>
        </w:rPr>
        <w:t xml:space="preserve">— </w:t>
      </w:r>
      <w:r>
        <w:rPr>
          <w:b w:val="0"/>
          <w:i/>
        </w:rPr>
        <w:t xml:space="preserve">Ao et al. (2026), p. 2 </w:t>
      </w:r>
      <w:r>
        <w:rPr>
          <w:b/>
          <w:i/>
        </w:rPr>
        <w:t>[preprint]</w:t>
      </w:r>
    </w:p>
    <w:p>
      <w:pPr>
        <w:keepNext/>
        <w:spacing w:line="480" w:lineRule="auto" w:before="120" w:after="0"/>
      </w:pPr>
      <w:r>
        <w:rPr>
          <w:b/>
          <w:i w:val="0"/>
        </w:rPr>
        <w:t xml:space="preserve">3. </w:t>
      </w:r>
      <w:r>
        <w:rPr>
          <w:b/>
          <w:i w:val="0"/>
        </w:rPr>
        <w:t>The canonical multi-role verification study is fully confounded</w:t>
      </w:r>
      <w:r>
        <w:rPr>
          <w:b/>
          <w:i w:val="0"/>
        </w:rPr>
        <w:t xml:space="preserve"> — role discussion, same model, no equal-token control:</w:t>
      </w:r>
    </w:p>
    <w:p>
      <w:pPr>
        <w:keepNext/>
        <w:spacing w:line="240" w:lineRule="auto" w:after="40"/>
        <w:ind w:left="720" w:right="720"/>
      </w:pPr>
      <w:r>
        <w:rPr>
          <w:b w:val="0"/>
          <w:i w:val="0"/>
        </w:rPr>
        <w:t>“In terms of computation costs, due to the need for conversation between different roles, it requires a 484% increase in the number of tokens consumed.”</w:t>
      </w:r>
    </w:p>
    <w:p>
      <w:pPr>
        <w:spacing w:line="240" w:lineRule="auto" w:after="200"/>
        <w:ind w:left="720"/>
      </w:pPr>
      <w:r>
        <w:rPr>
          <w:i/>
        </w:rPr>
        <w:t xml:space="preserve">— </w:t>
      </w:r>
      <w:r>
        <w:rPr>
          <w:b w:val="0"/>
          <w:i/>
        </w:rPr>
        <w:t xml:space="preserve">Mao et al. (2024), p. 2, </w:t>
      </w:r>
      <w:r>
        <w:rPr>
          <w:b w:val="0"/>
          <w:i/>
        </w:rPr>
        <w:t>QRS-C 2024</w:t>
      </w:r>
    </w:p>
    <w:p>
      <w:pPr>
        <w:keepNext/>
        <w:spacing w:line="480" w:lineRule="auto" w:before="120" w:after="0"/>
      </w:pPr>
      <w:r>
        <w:rPr>
          <w:b/>
          <w:i w:val="0"/>
        </w:rPr>
        <w:t xml:space="preserve">4. </w:t>
      </w:r>
      <w:r>
        <w:rPr>
          <w:b/>
          <w:i w:val="0"/>
        </w:rPr>
        <w:t>The tightest ablation still triples the budget and stays within one model</w:t>
      </w:r>
      <w:r>
        <w:rPr>
          <w:b/>
          <w:i w:val="0"/>
        </w:rPr>
        <w:t xml:space="preserve"> (9,348 vs. 3,120 average tokens):</w:t>
      </w:r>
    </w:p>
    <w:p>
      <w:pPr>
        <w:keepNext/>
        <w:spacing w:line="240" w:lineRule="auto" w:after="40"/>
        <w:ind w:left="720" w:right="720"/>
      </w:pPr>
      <w:r>
        <w:rPr>
          <w:b w:val="0"/>
          <w:i w:val="0"/>
        </w:rPr>
        <w:t>“The single-agent condition detects fewer defects than the full framework under every criterion, and the gap of 17.5 points under the differential criterion is the only controlled evidence in this work that role decomposition contributes to detection.”</w:t>
      </w:r>
    </w:p>
    <w:p>
      <w:pPr>
        <w:spacing w:line="240" w:lineRule="auto" w:after="200"/>
        <w:ind w:left="720"/>
      </w:pPr>
      <w:r>
        <w:rPr>
          <w:i/>
        </w:rPr>
        <w:t xml:space="preserve">— </w:t>
      </w:r>
      <w:r>
        <w:rPr>
          <w:b w:val="0"/>
          <w:i/>
        </w:rPr>
        <w:t>Li (2026), p. 17</w:t>
      </w:r>
    </w:p>
    <w:p>
      <w:pPr>
        <w:keepNext/>
        <w:spacing w:line="480" w:lineRule="auto" w:before="120" w:after="0"/>
      </w:pPr>
      <w:r>
        <w:rPr>
          <w:b/>
          <w:i w:val="0"/>
        </w:rPr>
        <w:t xml:space="preserve">5. </w:t>
      </w:r>
      <w:r>
        <w:rPr>
          <w:b/>
          <w:i w:val="0"/>
        </w:rPr>
        <w:t>The isolation experiment is explicitly missing:</w:t>
      </w:r>
    </w:p>
    <w:p>
      <w:pPr>
        <w:keepNext/>
        <w:spacing w:line="240" w:lineRule="auto" w:after="40"/>
        <w:ind w:left="720" w:right="720"/>
      </w:pPr>
      <w:r>
        <w:rPr>
          <w:b w:val="0"/>
          <w:i w:val="0"/>
        </w:rPr>
        <w:t>“All conditions reported in Table 6 use GLM-4-Flash, so the ablation isolates architectural contributions only within that model. … a multi-model evaluation would be required to separate framework effects from model effects.”</w:t>
      </w:r>
    </w:p>
    <w:p>
      <w:pPr>
        <w:spacing w:line="240" w:lineRule="auto" w:after="200"/>
        <w:ind w:left="720"/>
      </w:pPr>
      <w:r>
        <w:rPr>
          <w:i/>
        </w:rPr>
        <w:t xml:space="preserve">— </w:t>
      </w:r>
      <w:r>
        <w:rPr>
          <w:b w:val="0"/>
          <w:i/>
        </w:rPr>
        <w:t>Li (2026), p. 20</w:t>
      </w:r>
    </w:p>
    <w:p>
      <w:pPr>
        <w:keepNext/>
        <w:spacing w:line="480" w:lineRule="auto" w:before="120" w:after="0"/>
      </w:pPr>
      <w:r>
        <w:rPr>
          <w:b/>
          <w:i w:val="0"/>
        </w:rPr>
        <w:t xml:space="preserve">6. </w:t>
      </w:r>
      <w:r>
        <w:rPr>
          <w:b/>
          <w:i w:val="0"/>
        </w:rPr>
        <w:t>Same-model verification proves consistency, not correctness:</w:t>
      </w:r>
    </w:p>
    <w:p>
      <w:pPr>
        <w:keepNext/>
        <w:spacing w:line="240" w:lineRule="auto" w:after="40"/>
        <w:ind w:left="720" w:right="720"/>
      </w:pPr>
      <w:r>
        <w:rPr>
          <w:b w:val="0"/>
          <w:i w:val="0"/>
        </w:rPr>
        <w:t>“The same LLM family (Claude) both authored AEGIS's prompt specifications and ran the audit; the inspector and the author could in principle share blind spots, and a clean round-9 pass demonstrates only internal consistency under that single family's vantage point, not ground-truth correctness.”</w:t>
      </w:r>
    </w:p>
    <w:p>
      <w:pPr>
        <w:spacing w:line="240" w:lineRule="auto" w:after="200"/>
        <w:ind w:left="720"/>
      </w:pPr>
      <w:r>
        <w:rPr>
          <w:i/>
        </w:rPr>
        <w:t xml:space="preserve">— </w:t>
      </w:r>
      <w:r>
        <w:rPr>
          <w:b w:val="0"/>
          <w:i/>
        </w:rPr>
        <w:t xml:space="preserve">Calboreanu (2026), p. 17, </w:t>
      </w:r>
      <w:r>
        <w:rPr>
          <w:b w:val="0"/>
          <w:i/>
        </w:rPr>
        <w:t>Software</w:t>
      </w:r>
      <w:r>
        <w:rPr>
          <w:b w:val="0"/>
          <w:i/>
        </w:rPr>
        <w:t xml:space="preserve"> (MDPI)</w:t>
      </w:r>
    </w:p>
    <w:p>
      <w:pPr>
        <w:keepNext/>
        <w:spacing w:line="480" w:lineRule="auto" w:before="120" w:after="0"/>
      </w:pPr>
      <w:r>
        <w:rPr>
          <w:b/>
          <w:i w:val="0"/>
        </w:rPr>
        <w:t xml:space="preserve">7. </w:t>
      </w:r>
      <w:r>
        <w:rPr>
          <w:b/>
          <w:i w:val="0"/>
        </w:rPr>
        <w:t>The sign of the effect is genuinely uncertain:</w:t>
      </w:r>
    </w:p>
    <w:p>
      <w:pPr>
        <w:keepNext/>
        <w:spacing w:line="240" w:lineRule="auto" w:after="40"/>
        <w:ind w:left="720" w:right="720"/>
      </w:pPr>
      <w:r>
        <w:rPr>
          <w:b w:val="0"/>
          <w:i w:val="0"/>
        </w:rPr>
        <w:t>“recent work has shown that multi-agent systems can unexpectedly underperform strong, yet simpler, single-agent baselines due to coordination overhead and these very cascading errors.”</w:t>
      </w:r>
    </w:p>
    <w:p>
      <w:pPr>
        <w:spacing w:line="240" w:lineRule="auto" w:after="200"/>
        <w:ind w:left="720"/>
      </w:pPr>
      <w:r>
        <w:rPr>
          <w:i/>
        </w:rPr>
        <w:t xml:space="preserve">— </w:t>
      </w:r>
      <w:r>
        <w:rPr>
          <w:b w:val="0"/>
          <w:i/>
        </w:rPr>
        <w:t xml:space="preserve">Barrak (2025), p. 1, </w:t>
      </w:r>
      <w:r>
        <w:rPr>
          <w:b w:val="0"/>
          <w:i/>
        </w:rPr>
        <w:t>ASEW 2025</w:t>
      </w:r>
    </w:p>
    <w:p>
      <w:pPr>
        <w:keepNext/>
        <w:spacing w:line="480" w:lineRule="auto" w:before="120" w:after="0"/>
      </w:pPr>
      <w:r>
        <w:rPr>
          <w:b/>
          <w:i w:val="0"/>
        </w:rPr>
        <w:t xml:space="preserve">8. </w:t>
      </w:r>
      <w:r>
        <w:rPr>
          <w:b/>
          <w:i w:val="0"/>
        </w:rPr>
        <w:t>Independent confirmation from the requirements domain:</w:t>
      </w:r>
    </w:p>
    <w:p>
      <w:pPr>
        <w:keepNext/>
        <w:spacing w:line="240" w:lineRule="auto" w:after="40"/>
        <w:ind w:left="720" w:right="720"/>
      </w:pPr>
      <w:r>
        <w:rPr>
          <w:b w:val="0"/>
          <w:i w:val="0"/>
        </w:rPr>
        <w:t>“Yet, few studies experimentally isolate the marginal effect of model plurality from iterative workflow, or tie interaction patterns … to externally judged requirement value.”</w:t>
      </w:r>
    </w:p>
    <w:p>
      <w:pPr>
        <w:spacing w:line="240" w:lineRule="auto" w:after="200"/>
        <w:ind w:left="720"/>
      </w:pPr>
      <w:r>
        <w:rPr>
          <w:i/>
        </w:rPr>
        <w:t xml:space="preserve">— </w:t>
      </w:r>
      <w:r>
        <w:rPr>
          <w:b w:val="0"/>
          <w:i/>
        </w:rPr>
        <w:t xml:space="preserve">Fan et al. (2026), p. 4, </w:t>
      </w:r>
      <w:r>
        <w:rPr>
          <w:b w:val="0"/>
          <w:i/>
        </w:rPr>
        <w:t>Proc. ACM Softw. Eng. (FSE)</w:t>
      </w:r>
    </w:p>
    <w:p>
      <w:pPr>
        <w:pStyle w:val="Heading2"/>
      </w:pPr>
      <w:r>
        <w:t>Proposed Experiment</w:t>
      </w:r>
    </w:p>
    <w:p>
      <w:pPr>
        <w:spacing w:line="480" w:lineRule="auto" w:after="0"/>
      </w:pPr>
      <w:r>
        <w:rPr>
          <w:b/>
          <w:i w:val="0"/>
        </w:rPr>
        <w:t>Design.</w:t>
      </w:r>
      <w:r>
        <w:rPr>
          <w:b w:val="0"/>
          <w:i w:val="0"/>
        </w:rPr>
        <w:t xml:space="preserve"> A frozen-artifact, budget-matched factorial experiment. Stage 1: one fixed generator produces candidate solutions/patches, frozen and reused identically across all verification arms — arms differ only in </w:t>
      </w:r>
      <w:r>
        <w:rPr>
          <w:b w:val="0"/>
          <w:i/>
        </w:rPr>
        <w:t>how the artifact is verified</w:t>
      </w:r>
      <w:r>
        <w:rPr>
          <w:b w:val="0"/>
          <w:i w:val="0"/>
        </w:rPr>
        <w:t>. Stage 2: a 2×2×2×2 factorial manipulates four binary signal factors:</w:t>
      </w:r>
    </w:p>
    <w:p>
      <w:pPr>
        <w:pStyle w:val="ListBullet"/>
        <w:spacing w:line="240" w:lineRule="auto" w:after="80"/>
      </w:pPr>
      <w:r>
        <w:rPr>
          <w:b/>
          <w:i w:val="0"/>
        </w:rPr>
        <w:t>F1 — reviewer model identity:</w:t>
      </w:r>
      <w:r>
        <w:rPr>
          <w:b w:val="0"/>
          <w:i w:val="0"/>
        </w:rPr>
        <w:t xml:space="preserve"> same model as generator vs. a capability-matched different-family model</w:t>
      </w:r>
    </w:p>
    <w:p>
      <w:pPr>
        <w:pStyle w:val="ListBullet"/>
        <w:spacing w:line="240" w:lineRule="auto" w:after="80"/>
      </w:pPr>
      <w:r>
        <w:rPr>
          <w:b/>
          <w:i w:val="0"/>
        </w:rPr>
        <w:t>F2 — context independence:</w:t>
      </w:r>
      <w:r>
        <w:rPr>
          <w:b w:val="0"/>
          <w:i w:val="0"/>
        </w:rPr>
        <w:t xml:space="preserve"> reviewer sees the generator's full reasoning transcript vs. only the task spec and final artifact</w:t>
      </w:r>
    </w:p>
    <w:p>
      <w:pPr>
        <w:pStyle w:val="ListBullet"/>
        <w:spacing w:line="240" w:lineRule="auto" w:after="80"/>
      </w:pPr>
      <w:r>
        <w:rPr>
          <w:b/>
          <w:i w:val="0"/>
        </w:rPr>
        <w:t>F3 — role framing:</w:t>
      </w:r>
      <w:r>
        <w:rPr>
          <w:b w:val="0"/>
          <w:i w:val="0"/>
        </w:rPr>
        <w:t xml:space="preserve"> role-labeled persona + multi-turn discussion vs. plain unpersonified check prompt</w:t>
      </w:r>
    </w:p>
    <w:p>
      <w:pPr>
        <w:pStyle w:val="ListBullet"/>
        <w:spacing w:line="240" w:lineRule="auto" w:after="80"/>
      </w:pPr>
      <w:r>
        <w:rPr>
          <w:b/>
          <w:i w:val="0"/>
        </w:rPr>
        <w:t>F4 — executable evidence:</w:t>
      </w:r>
      <w:r>
        <w:rPr>
          <w:b w:val="0"/>
          <w:i w:val="0"/>
        </w:rPr>
        <w:t xml:space="preserve"> sandboxed test/compiler output provided vs. none</w:t>
      </w:r>
    </w:p>
    <w:p>
      <w:pPr>
        <w:spacing w:line="480" w:lineRule="auto" w:after="0"/>
        <w:ind w:firstLine="720"/>
      </w:pPr>
      <w:r>
        <w:rPr>
          <w:b w:val="0"/>
          <w:i w:val="0"/>
        </w:rPr>
        <w:t xml:space="preserve">Anchored baselines: </w:t>
      </w:r>
      <w:r>
        <w:rPr>
          <w:b/>
          <w:i w:val="0"/>
        </w:rPr>
        <w:t>B1</w:t>
      </w:r>
      <w:r>
        <w:rPr>
          <w:b w:val="0"/>
          <w:i w:val="0"/>
        </w:rPr>
        <w:t xml:space="preserve"> generator-only (floor) and </w:t>
      </w:r>
      <w:r>
        <w:rPr>
          <w:b/>
          <w:i w:val="0"/>
        </w:rPr>
        <w:t>B2</w:t>
      </w:r>
      <w:r>
        <w:rPr>
          <w:b w:val="0"/>
          <w:i w:val="0"/>
        </w:rPr>
        <w:t xml:space="preserve"> same-model self-refinement at the </w:t>
      </w:r>
      <w:r>
        <w:rPr>
          <w:b w:val="0"/>
          <w:i/>
        </w:rPr>
        <w:t>same total token budget and round cap</w:t>
      </w:r>
      <w:r>
        <w:rPr>
          <w:b w:val="0"/>
          <w:i w:val="0"/>
        </w:rPr>
        <w:t xml:space="preserve"> — the critical equal-budget comparator that Mao et al. (2024) and Li (2026) lack. 19 arms total (18 core + a two-reviewer union arm testing signal complementarity per Calboreanu 2026).</w:t>
      </w:r>
    </w:p>
    <w:p>
      <w:pPr>
        <w:spacing w:line="480" w:lineRule="auto" w:after="0"/>
      </w:pPr>
      <w:r>
        <w:rPr>
          <w:b/>
          <w:i w:val="0"/>
        </w:rPr>
        <w:t>Tasks.</w:t>
      </w:r>
      <w:r>
        <w:rPr>
          <w:b w:val="0"/>
          <w:i w:val="0"/>
        </w:rPr>
        <w:t xml:space="preserve"> HumanEval+/MBPP+ (EvalPlus; 20% visible tests, hidden-suite scoring per Huang et al. 2026), QuixBugs with the two-run differential protocol (Li, 2026), a 50-task SWE-bench Lite subset, plus mutation-injected faults for ground-truth review precision/recall. Model versions pinned, 5 seeds, direction-swapped replication leg.</w:t>
      </w:r>
    </w:p>
    <w:p>
      <w:pPr>
        <w:spacing w:line="480" w:lineRule="auto" w:after="0"/>
      </w:pPr>
      <w:r>
        <w:rPr>
          <w:b/>
          <w:i w:val="0"/>
        </w:rPr>
        <w:t>Metrics.</w:t>
      </w:r>
      <w:r>
        <w:rPr>
          <w:b w:val="0"/>
          <w:i w:val="0"/>
        </w:rPr>
        <w:t xml:space="preserve"> Hidden-suite pass@1; differential and strict defect detection; review precision/recall on injected faults; </w:t>
      </w:r>
      <w:r>
        <w:rPr>
          <w:b/>
          <w:i w:val="0"/>
        </w:rPr>
        <w:t>harm rate</w:t>
      </w:r>
      <w:r>
        <w:rPr>
          <w:b w:val="0"/>
          <w:i w:val="0"/>
        </w:rPr>
        <w:t xml:space="preserve"> (initially-correct artifacts made incorrect by review); tokens/calls/latency/cost (verifying budget matching held); generator–reviewer error-set overlap as a mediator; mixed-effects logistic regression on F1–F4 with Holm-corrected contrasts vs. B2.</w:t>
      </w:r>
    </w:p>
    <w:p>
      <w:pPr>
        <w:spacing w:line="480" w:lineRule="auto" w:after="0"/>
      </w:pPr>
      <w:r>
        <w:rPr>
          <w:b/>
          <w:i w:val="0"/>
        </w:rPr>
        <w:t>Controls.</w:t>
      </w:r>
      <w:r>
        <w:rPr>
          <w:b w:val="0"/>
          <w:i w:val="0"/>
        </w:rPr>
        <w:t xml:space="preserve"> Frozen artifacts, byte-identical prompts except the manipulated factor block, equal round caps and token ceilings, pinned sandbox — the four signal factors are the only free variables.</w:t>
      </w:r>
    </w:p>
    <w:p>
      <w:pPr>
        <w:spacing w:line="480" w:lineRule="auto" w:after="0"/>
      </w:pPr>
      <w:r>
        <w:rPr>
          <w:b/>
          <w:i w:val="0"/>
        </w:rPr>
        <w:t>Feasibility.</w:t>
      </w:r>
      <w:r>
        <w:rPr>
          <w:b w:val="0"/>
          <w:i w:val="0"/>
        </w:rPr>
        <w:t xml:space="preserve"> ~550 tasks × 19 arms × 5 seeds ≈ 500M tokens ≈ $500–2,000 at small-model pricing; the frozen-artifact design amortizes generation across all arms; all harnesses open-source; local-model replication precedented (1,080 runs on quantized local models — Tomic et al., 2025).</w:t>
      </w:r>
    </w:p>
    <w:p>
      <w:pPr>
        <w:pStyle w:val="Heading2"/>
      </w:pPr>
      <w:r>
        <w:t>Why the Proposed Approach Is Viable</w:t>
      </w:r>
    </w:p>
    <w:p>
      <w:pPr>
        <w:keepNext/>
        <w:spacing w:line="480" w:lineRule="auto" w:before="120" w:after="0"/>
      </w:pPr>
      <w:r>
        <w:rPr>
          <w:b/>
          <w:i w:val="0"/>
        </w:rPr>
        <w:t xml:space="preserve">1. </w:t>
      </w:r>
      <w:r>
        <w:rPr>
          <w:b/>
          <w:i w:val="0"/>
        </w:rPr>
        <w:t>The central manipulation is already proven executable</w:t>
      </w:r>
      <w:r>
        <w:rPr>
          <w:b/>
          <w:i w:val="0"/>
        </w:rPr>
        <w:t xml:space="preserve"> (TOSEM):</w:t>
      </w:r>
    </w:p>
    <w:p>
      <w:pPr>
        <w:keepNext/>
        <w:spacing w:line="240" w:lineRule="auto" w:after="40"/>
        <w:ind w:left="720" w:right="720"/>
      </w:pPr>
      <w:r>
        <w:rPr>
          <w:b w:val="0"/>
          <w:i w:val="0"/>
        </w:rPr>
        <w:t>“is this diversity necessary for CMCS's success, or does the improvement stem from the collaborative framework itself rather than model diversity? To answer this question, we conducted a controlled comparison between cross-model and same-model collaboration.”</w:t>
      </w:r>
    </w:p>
    <w:p>
      <w:pPr>
        <w:spacing w:line="240" w:lineRule="auto" w:after="200"/>
        <w:ind w:left="720"/>
      </w:pPr>
      <w:r>
        <w:rPr>
          <w:i/>
        </w:rPr>
        <w:t xml:space="preserve">— </w:t>
      </w:r>
      <w:r>
        <w:rPr>
          <w:b w:val="0"/>
          <w:i/>
        </w:rPr>
        <w:t>Huang et al. (2026), p. 19</w:t>
      </w:r>
    </w:p>
    <w:p>
      <w:pPr>
        <w:keepNext/>
        <w:spacing w:line="480" w:lineRule="auto" w:before="120" w:after="0"/>
      </w:pPr>
      <w:r>
        <w:rPr>
          <w:b/>
          <w:i w:val="0"/>
        </w:rPr>
        <w:t xml:space="preserve">2. </w:t>
      </w:r>
      <w:r>
        <w:rPr>
          <w:b/>
          <w:i w:val="0"/>
        </w:rPr>
        <w:t>The executable-evidence factor has a demonstrated effect</w:t>
      </w:r>
      <w:r>
        <w:rPr>
          <w:b/>
          <w:i w:val="0"/>
        </w:rPr>
        <w:t xml:space="preserve"> (ACL):</w:t>
      </w:r>
    </w:p>
    <w:p>
      <w:pPr>
        <w:keepNext/>
        <w:spacing w:line="240" w:lineRule="auto" w:after="40"/>
        <w:ind w:left="720" w:right="720"/>
      </w:pPr>
      <w:r>
        <w:rPr>
          <w:b w:val="0"/>
          <w:i w:val="0"/>
        </w:rPr>
        <w:t>“Both Error Msgs and CoR thrive on the feedback from code compilers and achieve more than 1.2% improvements than Self-Refine, demonstrating that compilers can provide valuable signals to help LLMs better recognize the code bugs.”</w:t>
      </w:r>
    </w:p>
    <w:p>
      <w:pPr>
        <w:spacing w:line="240" w:lineRule="auto" w:after="200"/>
        <w:ind w:left="720"/>
      </w:pPr>
      <w:r>
        <w:rPr>
          <w:i/>
        </w:rPr>
        <w:t xml:space="preserve">— </w:t>
      </w:r>
      <w:r>
        <w:rPr>
          <w:b w:val="0"/>
          <w:i/>
        </w:rPr>
        <w:t>Wang et al. (2024), p. 6</w:t>
      </w:r>
    </w:p>
    <w:p>
      <w:pPr>
        <w:keepNext/>
        <w:spacing w:line="480" w:lineRule="auto" w:before="120" w:after="0"/>
      </w:pPr>
      <w:r>
        <w:rPr>
          <w:b/>
          <w:i w:val="0"/>
        </w:rPr>
        <w:t xml:space="preserve">3. </w:t>
      </w:r>
      <w:r>
        <w:rPr>
          <w:b/>
          <w:i w:val="0"/>
        </w:rPr>
        <w:t>The statistical machinery transfers directly</w:t>
      </w:r>
      <w:r>
        <w:rPr>
          <w:b/>
          <w:i w:val="0"/>
        </w:rPr>
        <w:t xml:space="preserve"> (FSE):</w:t>
      </w:r>
    </w:p>
    <w:p>
      <w:pPr>
        <w:keepNext/>
        <w:spacing w:line="240" w:lineRule="auto" w:after="40"/>
        <w:ind w:left="720" w:right="720"/>
      </w:pPr>
      <w:r>
        <w:rPr>
          <w:b w:val="0"/>
          <w:i w:val="0"/>
        </w:rPr>
        <w:t>“To separate plurality from provider capability, we estimate a difference-in-differences (DiD) on session-level outcomes using the same-model controls (C1-MV, C3-SM), with BCa bootstrap CIs”</w:t>
      </w:r>
    </w:p>
    <w:p>
      <w:pPr>
        <w:spacing w:line="240" w:lineRule="auto" w:after="200"/>
        <w:ind w:left="720"/>
      </w:pPr>
      <w:r>
        <w:rPr>
          <w:i/>
        </w:rPr>
        <w:t xml:space="preserve">— </w:t>
      </w:r>
      <w:r>
        <w:rPr>
          <w:b w:val="0"/>
          <w:i/>
        </w:rPr>
        <w:t>Fan et al. (2026), p. 12</w:t>
      </w:r>
    </w:p>
    <w:p>
      <w:pPr>
        <w:keepNext/>
        <w:spacing w:line="480" w:lineRule="auto" w:before="120" w:after="0"/>
      </w:pPr>
      <w:r>
        <w:rPr>
          <w:b/>
          <w:i w:val="0"/>
        </w:rPr>
        <w:t xml:space="preserve">4. </w:t>
      </w:r>
      <w:r>
        <w:rPr>
          <w:b/>
          <w:i w:val="0"/>
        </w:rPr>
        <w:t>Model-identity independence is a real, isolable signal:</w:t>
      </w:r>
    </w:p>
    <w:p>
      <w:pPr>
        <w:keepNext/>
        <w:spacing w:line="240" w:lineRule="auto" w:after="40"/>
        <w:ind w:left="720" w:right="720"/>
      </w:pPr>
      <w:r>
        <w:rPr>
          <w:b w:val="0"/>
          <w:i w:val="0"/>
        </w:rPr>
        <w:t>“The two blind spots are vendor-specific and non-overlapping, which is itself the case for a multi-vendor panel: no single model is uniformly best, but the union of the panel detects every defect.”</w:t>
      </w:r>
    </w:p>
    <w:p>
      <w:pPr>
        <w:spacing w:line="240" w:lineRule="auto" w:after="200"/>
        <w:ind w:left="720"/>
      </w:pPr>
      <w:r>
        <w:rPr>
          <w:i/>
        </w:rPr>
        <w:t xml:space="preserve">— </w:t>
      </w:r>
      <w:r>
        <w:rPr>
          <w:b w:val="0"/>
          <w:i/>
        </w:rPr>
        <w:t>Calboreanu (2026), p. 13</w:t>
      </w:r>
    </w:p>
    <w:p>
      <w:pPr>
        <w:keepNext/>
        <w:spacing w:line="480" w:lineRule="auto" w:before="120" w:after="0"/>
      </w:pPr>
      <w:r>
        <w:rPr>
          <w:b/>
          <w:i w:val="0"/>
        </w:rPr>
        <w:t xml:space="preserve">5. </w:t>
      </w:r>
      <w:r>
        <w:rPr>
          <w:b/>
          <w:i w:val="0"/>
        </w:rPr>
        <w:t>Dissertation-scale factorials can produce publishable negative results</w:t>
      </w:r>
      <w:r>
        <w:rPr>
          <w:b/>
          <w:i w:val="0"/>
        </w:rPr>
        <w:t xml:space="preserve"> (ICST):</w:t>
      </w:r>
    </w:p>
    <w:p>
      <w:pPr>
        <w:keepNext/>
        <w:spacing w:line="240" w:lineRule="auto" w:after="40"/>
        <w:ind w:left="720" w:right="720"/>
      </w:pPr>
      <w:r>
        <w:rPr>
          <w:b w:val="0"/>
          <w:i w:val="0"/>
        </w:rPr>
        <w:t>“We cannot accept our hypothesis H1, as one-model MALLMs tend to perform better on specific websites.”</w:t>
      </w:r>
    </w:p>
    <w:p>
      <w:pPr>
        <w:spacing w:line="240" w:lineRule="auto" w:after="200"/>
        <w:ind w:left="720"/>
      </w:pPr>
      <w:r>
        <w:rPr>
          <w:i/>
        </w:rPr>
        <w:t xml:space="preserve">— </w:t>
      </w:r>
      <w:r>
        <w:rPr>
          <w:b w:val="0"/>
          <w:i/>
        </w:rPr>
        <w:t>Tomic, Alégroth, &amp; Isaac (2025), p. 9</w:t>
      </w:r>
    </w:p>
    <w:p>
      <w:pPr>
        <w:pStyle w:val="Heading2"/>
      </w:pPr>
      <w:r>
        <w:t>Assessment</w:t>
      </w:r>
    </w:p>
    <w:p>
      <w:pPr>
        <w:spacing w:line="480" w:lineRule="auto" w:after="0"/>
      </w:pPr>
      <w:r>
        <w:rPr>
          <w:b/>
          <w:i w:val="0"/>
        </w:rPr>
        <w:t>Novelty:</w:t>
      </w:r>
      <w:r>
        <w:rPr>
          <w:b w:val="0"/>
          <w:i w:val="0"/>
        </w:rPr>
        <w:t xml:space="preserve"> no corpus paper crosses the four signal factors, and none matches budgets. Li (2026) defers exactly this study; Huang et al. (2026) isolate one factor without budget-matched single-agent controls; Mao et al. (2024) have no control at all.</w:t>
      </w:r>
    </w:p>
    <w:p>
      <w:pPr>
        <w:spacing w:line="480" w:lineRule="auto" w:after="0"/>
      </w:pPr>
      <w:r>
        <w:rPr>
          <w:b/>
          <w:i w:val="0"/>
        </w:rPr>
        <w:t>Falsifiability:</w:t>
      </w:r>
      <w:r>
        <w:rPr>
          <w:b w:val="0"/>
          <w:i w:val="0"/>
        </w:rPr>
        <w:t xml:space="preserve"> H1 (role framing adds nothing over budget-matched self-refinement once independent signals are controlled) dies if F3 shows a significant positive main effect vs. B2. H2 (gains concentrate in F1/F2/F4) dies on null independent-signal effects. Corpus precedent exists for both outcomes.</w:t>
      </w:r>
    </w:p>
    <w:p>
      <w:pPr>
        <w:spacing w:line="480" w:lineRule="auto" w:after="0"/>
      </w:pPr>
      <w:r>
        <w:rPr>
          <w:b/>
          <w:i w:val="0"/>
        </w:rPr>
        <w:t>Risks &amp; mitigations:</w:t>
      </w:r>
      <w:r>
        <w:rPr>
          <w:b w:val="0"/>
          <w:i w:val="0"/>
        </w:rPr>
        <w:t xml:space="preserve"> small effects vs. seed noise (pilot power analysis, equivalence bounds); tokenizer mismatch across families (match on normalized cost, report both); contamination (QuixBugs differential protocol + mutation faults); capability mismatch masquerading as identity effect (calibration within 3 pass@1 points + direction-swapped replication).</w:t>
      </w:r>
    </w:p>
    <w:p>
      <w:pPr>
        <w:spacing w:line="480" w:lineRule="auto" w:after="0"/>
      </w:pPr>
      <w:r>
        <w:rPr>
          <w:b/>
          <w:i w:val="0"/>
        </w:rPr>
        <w:t>NSU rubric fit:</w:t>
      </w:r>
      <w:r>
        <w:rPr>
          <w:b w:val="0"/>
          <w:i w:val="0"/>
        </w:rPr>
        <w:t xml:space="preserve"> cheapest and fastest to execute of the three topics — strongest for a fixed-timeline dissertation; theory-anchored (Ao et al.'s dominance theorem gives Chapter 2 a formal framework).</w:t>
      </w:r>
    </w:p>
    <w:p>
      <w:r>
        <w:br w:type="page"/>
      </w:r>
    </w:p>
    <w:p>
      <w:pPr>
        <w:pStyle w:val="Heading1"/>
      </w:pPr>
      <w:r>
        <w:t>Topic 3 — Information-Preserving Handoff Contracts</w:t>
      </w:r>
    </w:p>
    <w:p>
      <w:pPr>
        <w:spacing w:line="480" w:lineRule="auto" w:after="0"/>
      </w:pPr>
      <w:r>
        <w:rPr>
          <w:b/>
          <w:i w:val="0"/>
        </w:rPr>
        <w:t>Proposed title:</w:t>
      </w:r>
      <w:r>
        <w:rPr>
          <w:b w:val="0"/>
          <w:i w:val="0"/>
        </w:rPr>
        <w:t xml:space="preserve"> </w:t>
      </w:r>
      <w:r>
        <w:rPr>
          <w:b w:val="0"/>
          <w:i/>
        </w:rPr>
        <w:t>Information-Preserving Handoff Contracts for Multi-Agent LLM Software Workflows: Isolating the Inter-Agent Artifact Format as the Causal Variable in Requirement Preservation and Error Propagation</w:t>
      </w:r>
    </w:p>
    <w:p>
      <w:pPr>
        <w:pStyle w:val="Heading2"/>
      </w:pPr>
      <w:r>
        <w:t>Problem Statement</w:t>
      </w:r>
    </w:p>
    <w:p>
      <w:pPr>
        <w:spacing w:line="480" w:lineRule="auto" w:after="0"/>
        <w:ind w:firstLine="720"/>
      </w:pPr>
      <w:r>
        <w:rPr>
          <w:b w:val="0"/>
          <w:i w:val="0"/>
        </w:rPr>
        <w:t>Role-specialized multi-agent LLM pipelines pass work between stages through ad hoc, mostly free-form prose handoffs, and a converging body of evidence shows that this relay step — not model capability — is where decision-relevant information dies. Controlled mechanism experiments show that inserting prose relay stages between an identical model and its answer collapses accuracy from 90.7% to 41.2% at two stages and 22.5% at five (Ao et al., 2026). In end-to-end software development, 55.8% of failures originate in planning-stage requirement omission and misinterpretation, with a specific handoff pathology: a flawed upstream design artifact is treated as authoritative and its errors propagate faithfully even when the original requirements remain in context (Zeng et al., 2025). In 100% of the 41 observed hierarchical failures in a controlled three-architecture comparison, correct worker reasoning never reached the worker that needed it (Agha &amp; Miqdad, 2026). The problem is now a named production defect class — "Knowledge Transmission Bug" — in a taxonomy of 998 framework issue reports (Zhu et al., 2026), and the field's flagship TOSEM review lists communication bottlenecks and information overload as unresolved scaling barriers (He, Treude, &amp; Lo, 2025).</w:t>
      </w:r>
    </w:p>
    <w:p>
      <w:pPr>
        <w:spacing w:line="480" w:lineRule="auto" w:after="0"/>
        <w:ind w:firstLine="720"/>
      </w:pPr>
      <w:r>
        <w:rPr>
          <w:b w:val="0"/>
          <w:i w:val="0"/>
        </w:rPr>
        <w:t xml:space="preserve">What makes this dissertation-grade is that the design space is demonstrably </w:t>
      </w:r>
      <w:r>
        <w:rPr>
          <w:b/>
          <w:i w:val="0"/>
        </w:rPr>
        <w:t>non-monotonic</w:t>
      </w:r>
      <w:r>
        <w:rPr>
          <w:b w:val="0"/>
          <w:i w:val="0"/>
        </w:rPr>
        <w:t xml:space="preserve"> — structured relays helped in some settings (Ao et al., 2026; +36.22 points in Barrak, 2025) while rigid schemas actively harmed in others, converting correct reasoning into parse failures (Orogat et al., 2026) — and </w:t>
      </w:r>
      <w:r>
        <w:rPr>
          <w:b/>
          <w:i w:val="0"/>
        </w:rPr>
        <w:t>no study has isolated the handoff contract as the sole experimental variable on executable software tasks.</w:t>
      </w:r>
      <w:r>
        <w:rPr>
          <w:b w:val="0"/>
          <w:i w:val="0"/>
        </w:rPr>
        <w:t xml:space="preserve"> Practitioners have no evidence-based guidance on what an inter-agent artifact must contain.</w:t>
      </w:r>
    </w:p>
    <w:p>
      <w:pPr>
        <w:pStyle w:val="Heading2"/>
      </w:pPr>
      <w:r>
        <w:t>Evidence That This Is a Problem</w:t>
      </w:r>
    </w:p>
    <w:p>
      <w:pPr>
        <w:keepNext/>
        <w:spacing w:line="480" w:lineRule="auto" w:before="120" w:after="0"/>
      </w:pPr>
      <w:r>
        <w:rPr>
          <w:b/>
          <w:i w:val="0"/>
        </w:rPr>
        <w:t xml:space="preserve">1. </w:t>
      </w:r>
      <w:r>
        <w:rPr>
          <w:b/>
          <w:i w:val="0"/>
        </w:rPr>
        <w:t>Relay steps destroy information even with identical models:</w:t>
      </w:r>
    </w:p>
    <w:p>
      <w:pPr>
        <w:keepNext/>
        <w:spacing w:line="240" w:lineRule="auto" w:after="40"/>
        <w:ind w:left="720" w:right="720"/>
      </w:pPr>
      <w:r>
        <w:rPr>
          <w:b w:val="0"/>
          <w:i w:val="0"/>
        </w:rPr>
        <w:t>“Relative to the centralized baseline (A), the relay conditions (B2), (B), and (B5) add stages without adding new exogenous signals, and their performance is substantially lower. On gpt-4.1-mini, accuracy falls from 90.7% in (A) to 41.2% in (B2), 43.5% in (B), and 22.5% in (B5).”</w:t>
      </w:r>
    </w:p>
    <w:p>
      <w:pPr>
        <w:spacing w:line="240" w:lineRule="auto" w:after="200"/>
        <w:ind w:left="720"/>
      </w:pPr>
      <w:r>
        <w:rPr>
          <w:i/>
        </w:rPr>
        <w:t xml:space="preserve">— </w:t>
      </w:r>
      <w:r>
        <w:rPr>
          <w:b w:val="0"/>
          <w:i/>
        </w:rPr>
        <w:t xml:space="preserve">Ao et al. (2026), p. 17 </w:t>
      </w:r>
      <w:r>
        <w:rPr>
          <w:b/>
          <w:i/>
        </w:rPr>
        <w:t>[preprint]</w:t>
      </w:r>
    </w:p>
    <w:p>
      <w:pPr>
        <w:keepNext/>
        <w:spacing w:line="480" w:lineRule="auto" w:before="120" w:after="0"/>
      </w:pPr>
      <w:r>
        <w:rPr>
          <w:b/>
          <w:i w:val="0"/>
        </w:rPr>
        <w:t xml:space="preserve">2. </w:t>
      </w:r>
      <w:r>
        <w:rPr>
          <w:b/>
          <w:i w:val="0"/>
        </w:rPr>
        <w:t>Flawed upstream artifacts become authoritative at the handoff:</w:t>
      </w:r>
    </w:p>
    <w:p>
      <w:pPr>
        <w:keepNext/>
        <w:spacing w:line="240" w:lineRule="auto" w:after="40"/>
        <w:ind w:left="720" w:right="720"/>
      </w:pPr>
      <w:r>
        <w:rPr>
          <w:b w:val="0"/>
          <w:i w:val="0"/>
        </w:rPr>
        <w:t>“Once the Dev Agent receives what it perceives as an authoritative implementation plan, it tends to prioritize this plan over direct engagement with the original requirement document, even though the latter is provided as context. If the design plan itself is flawed, such errors are faithfully propagated downstream, resulting in a final product that diverges from the actual requirements.”</w:t>
      </w:r>
    </w:p>
    <w:p>
      <w:pPr>
        <w:spacing w:line="240" w:lineRule="auto" w:after="200"/>
        <w:ind w:left="720"/>
      </w:pPr>
      <w:r>
        <w:rPr>
          <w:i/>
        </w:rPr>
        <w:t xml:space="preserve">— </w:t>
      </w:r>
      <w:r>
        <w:rPr>
          <w:b w:val="0"/>
          <w:i/>
        </w:rPr>
        <w:t xml:space="preserve">Zeng et al. (2025), p. 8 </w:t>
      </w:r>
      <w:r>
        <w:rPr>
          <w:b/>
          <w:i/>
        </w:rPr>
        <w:t>[preprint]</w:t>
      </w:r>
    </w:p>
    <w:p>
      <w:pPr>
        <w:keepNext/>
        <w:spacing w:line="480" w:lineRule="auto" w:before="120" w:after="0"/>
      </w:pPr>
      <w:r>
        <w:rPr>
          <w:b/>
          <w:i w:val="0"/>
        </w:rPr>
        <w:t xml:space="preserve">3. </w:t>
      </w:r>
      <w:r>
        <w:rPr>
          <w:b/>
          <w:i w:val="0"/>
        </w:rPr>
        <w:t>Requirement preservation is the binding constraint:</w:t>
      </w:r>
    </w:p>
    <w:p>
      <w:pPr>
        <w:keepNext/>
        <w:spacing w:line="240" w:lineRule="auto" w:after="40"/>
        <w:ind w:left="720" w:right="720"/>
      </w:pPr>
      <w:r>
        <w:rPr>
          <w:b w:val="0"/>
          <w:i w:val="0"/>
        </w:rPr>
        <w:t>“The results in Table 5, clearly indicate that 'Task Planning' is the primary bottleneck in current agent systems, accounting for 55.8% of all issues.”</w:t>
      </w:r>
    </w:p>
    <w:p>
      <w:pPr>
        <w:spacing w:line="240" w:lineRule="auto" w:after="200"/>
        <w:ind w:left="720"/>
      </w:pPr>
      <w:r>
        <w:rPr>
          <w:i/>
        </w:rPr>
        <w:t xml:space="preserve">— </w:t>
      </w:r>
      <w:r>
        <w:rPr>
          <w:b w:val="0"/>
          <w:i/>
        </w:rPr>
        <w:t xml:space="preserve">Zeng et al. (2025), p. 9 </w:t>
      </w:r>
      <w:r>
        <w:rPr>
          <w:b/>
          <w:i/>
        </w:rPr>
        <w:t>[preprint]</w:t>
      </w:r>
    </w:p>
    <w:p>
      <w:pPr>
        <w:keepNext/>
        <w:spacing w:line="480" w:lineRule="auto" w:before="120" w:after="0"/>
      </w:pPr>
      <w:r>
        <w:rPr>
          <w:b/>
          <w:i w:val="0"/>
        </w:rPr>
        <w:t xml:space="preserve">4. </w:t>
      </w:r>
      <w:r>
        <w:rPr>
          <w:b/>
          <w:i w:val="0"/>
        </w:rPr>
        <w:t>The information bottleneck is total in hierarchical failures:</w:t>
      </w:r>
    </w:p>
    <w:p>
      <w:pPr>
        <w:keepNext/>
        <w:spacing w:line="240" w:lineRule="auto" w:after="40"/>
        <w:ind w:left="720" w:right="720"/>
      </w:pPr>
      <w:r>
        <w:rPr>
          <w:b w:val="0"/>
          <w:i w:val="0"/>
        </w:rPr>
        <w:t>“No direct information flow between workers was observed in any of the 41 hierarchical failures in the complete dataset.”</w:t>
      </w:r>
    </w:p>
    <w:p>
      <w:pPr>
        <w:spacing w:line="240" w:lineRule="auto" w:after="200"/>
        <w:ind w:left="720"/>
      </w:pPr>
      <w:r>
        <w:rPr>
          <w:i/>
        </w:rPr>
        <w:t xml:space="preserve">— </w:t>
      </w:r>
      <w:r>
        <w:rPr>
          <w:b w:val="0"/>
          <w:i/>
        </w:rPr>
        <w:t>Agha &amp; Miqdad (2026), p. 72</w:t>
      </w:r>
    </w:p>
    <w:p>
      <w:pPr>
        <w:keepNext/>
        <w:spacing w:line="480" w:lineRule="auto" w:before="120" w:after="0"/>
      </w:pPr>
      <w:r>
        <w:rPr>
          <w:b/>
          <w:i w:val="0"/>
        </w:rPr>
        <w:t xml:space="preserve">5. </w:t>
      </w:r>
      <w:r>
        <w:rPr>
          <w:b/>
          <w:i w:val="0"/>
        </w:rPr>
        <w:t>Errors cascade without provenance:</w:t>
      </w:r>
    </w:p>
    <w:p>
      <w:pPr>
        <w:keepNext/>
        <w:spacing w:line="240" w:lineRule="auto" w:after="40"/>
        <w:ind w:left="720" w:right="720"/>
      </w:pPr>
      <w:r>
        <w:rPr>
          <w:b w:val="0"/>
          <w:i w:val="0"/>
        </w:rPr>
        <w:t>“When agents are chained together, an error introduced by an early agent can silently cascade, corrupting the entire workflow and leading to a final output that is incorrect for reasons that are difficult to diagnose.”</w:t>
      </w:r>
    </w:p>
    <w:p>
      <w:pPr>
        <w:spacing w:line="240" w:lineRule="auto" w:after="200"/>
        <w:ind w:left="720"/>
      </w:pPr>
      <w:r>
        <w:rPr>
          <w:i/>
        </w:rPr>
        <w:t xml:space="preserve">— </w:t>
      </w:r>
      <w:r>
        <w:rPr>
          <w:b w:val="0"/>
          <w:i/>
        </w:rPr>
        <w:t xml:space="preserve">Barrak (2025), p. 1, </w:t>
      </w:r>
      <w:r>
        <w:rPr>
          <w:b w:val="0"/>
          <w:i/>
        </w:rPr>
        <w:t>ASEW 2025</w:t>
      </w:r>
    </w:p>
    <w:p>
      <w:pPr>
        <w:keepNext/>
        <w:spacing w:line="480" w:lineRule="auto" w:before="120" w:after="0"/>
      </w:pPr>
      <w:r>
        <w:rPr>
          <w:b/>
          <w:i w:val="0"/>
        </w:rPr>
        <w:t xml:space="preserve">6. </w:t>
      </w:r>
      <w:r>
        <w:rPr>
          <w:b/>
          <w:i w:val="0"/>
        </w:rPr>
        <w:t>It is a named production defect class</w:t>
      </w:r>
      <w:r>
        <w:rPr>
          <w:b/>
          <w:i w:val="0"/>
        </w:rPr>
        <w:t xml:space="preserve"> (998 issue reports):</w:t>
      </w:r>
    </w:p>
    <w:p>
      <w:pPr>
        <w:keepNext/>
        <w:spacing w:line="240" w:lineRule="auto" w:after="40"/>
        <w:ind w:left="720" w:right="720"/>
      </w:pPr>
      <w:r>
        <w:rPr>
          <w:b w:val="0"/>
          <w:i w:val="0"/>
        </w:rPr>
        <w:t>“R11. Knowledge Transmission Bug (2.10%). It emerges in multi-agent settings when the framework fails to correctly propagate context, task specifications, or role-specific information across agents.”</w:t>
      </w:r>
    </w:p>
    <w:p>
      <w:pPr>
        <w:spacing w:line="240" w:lineRule="auto" w:after="200"/>
        <w:ind w:left="720"/>
      </w:pPr>
      <w:r>
        <w:rPr>
          <w:i/>
        </w:rPr>
        <w:t xml:space="preserve">— </w:t>
      </w:r>
      <w:r>
        <w:rPr>
          <w:b w:val="0"/>
          <w:i/>
        </w:rPr>
        <w:t xml:space="preserve">Zhu et al. (2026), p. 3, </w:t>
      </w:r>
      <w:r>
        <w:rPr>
          <w:b w:val="0"/>
          <w:i/>
        </w:rPr>
        <w:t>FSE Companion '26</w:t>
      </w:r>
    </w:p>
    <w:p>
      <w:pPr>
        <w:keepNext/>
        <w:spacing w:line="480" w:lineRule="auto" w:before="120" w:after="0"/>
      </w:pPr>
      <w:r>
        <w:rPr>
          <w:b/>
          <w:i w:val="0"/>
        </w:rPr>
        <w:t xml:space="preserve">7. </w:t>
      </w:r>
      <w:r>
        <w:rPr>
          <w:b/>
          <w:i w:val="0"/>
        </w:rPr>
        <w:t>The field's flagship review names it unresolved</w:t>
      </w:r>
      <w:r>
        <w:rPr>
          <w:b/>
          <w:i w:val="0"/>
        </w:rPr>
        <w:t xml:space="preserve"> (TOSEM):</w:t>
      </w:r>
    </w:p>
    <w:p>
      <w:pPr>
        <w:keepNext/>
        <w:spacing w:line="240" w:lineRule="auto" w:after="40"/>
        <w:ind w:left="720" w:right="720"/>
      </w:pPr>
      <w:r>
        <w:rPr>
          <w:b w:val="0"/>
          <w:i w:val="0"/>
        </w:rPr>
        <w:t>“Second, as the number of agents increases, so does the complexity of communication. Coordinating multiple agents can lead to communication bottlenecks and information overload.”</w:t>
      </w:r>
    </w:p>
    <w:p>
      <w:pPr>
        <w:spacing w:line="240" w:lineRule="auto" w:after="200"/>
        <w:ind w:left="720"/>
      </w:pPr>
      <w:r>
        <w:rPr>
          <w:i/>
        </w:rPr>
        <w:t xml:space="preserve">— </w:t>
      </w:r>
      <w:r>
        <w:rPr>
          <w:b w:val="0"/>
          <w:i/>
        </w:rPr>
        <w:t>He, Treude, &amp; Lo (2025), p. 19</w:t>
      </w:r>
    </w:p>
    <w:p>
      <w:pPr>
        <w:pStyle w:val="Heading2"/>
      </w:pPr>
      <w:r>
        <w:t>Proposed Experiment</w:t>
      </w:r>
    </w:p>
    <w:p>
      <w:pPr>
        <w:spacing w:line="480" w:lineRule="auto" w:after="0"/>
      </w:pPr>
      <w:r>
        <w:rPr>
          <w:b/>
          <w:i w:val="0"/>
        </w:rPr>
        <w:t>Design.</w:t>
      </w:r>
      <w:r>
        <w:rPr>
          <w:b w:val="0"/>
          <w:i w:val="0"/>
        </w:rPr>
        <w:t xml:space="preserve"> A preregistered, randomized factorial experiment in which the </w:t>
      </w:r>
      <w:r>
        <w:rPr>
          <w:b/>
          <w:i w:val="0"/>
        </w:rPr>
        <w:t>only</w:t>
      </w:r>
      <w:r>
        <w:rPr>
          <w:b w:val="0"/>
          <w:i w:val="0"/>
        </w:rPr>
        <w:t xml:space="preserve"> manipulated variable is the inter-agent handoff contract inside a fixed sequential pipeline (Planner→Coder→Tester primary; Developer→Tester replication). All conditions share one pinned model, byte-identical role prompts except the artifact-definition paragraph, identical per-stage step and token ceilings, and — critically — an </w:t>
      </w:r>
      <w:r>
        <w:rPr>
          <w:b/>
          <w:i w:val="0"/>
        </w:rPr>
        <w:t>identical token cap on the handoff artifact itself</w:t>
      </w:r>
      <w:r>
        <w:rPr>
          <w:b w:val="0"/>
          <w:i w:val="0"/>
        </w:rPr>
        <w:t>, so conditions differ in what the artifact contains and how it is organized, not how much can be said.</w:t>
      </w:r>
    </w:p>
    <w:p>
      <w:pPr>
        <w:spacing w:line="480" w:lineRule="auto" w:after="0"/>
      </w:pPr>
      <w:r>
        <w:rPr>
          <w:b/>
          <w:i w:val="0"/>
        </w:rPr>
        <w:t>Conditions:</w:t>
      </w:r>
    </w:p>
    <w:p>
      <w:pPr>
        <w:pStyle w:val="ListBullet"/>
        <w:spacing w:line="240" w:lineRule="auto" w:after="80"/>
      </w:pPr>
      <w:r>
        <w:rPr>
          <w:b w:val="0"/>
          <w:i w:val="0"/>
        </w:rPr>
        <w:t>C0: budget-matched single agent (no handoff — the pipeline can lose outright)</w:t>
      </w:r>
    </w:p>
    <w:p>
      <w:pPr>
        <w:pStyle w:val="ListBullet"/>
        <w:spacing w:line="240" w:lineRule="auto" w:after="80"/>
      </w:pPr>
      <w:r>
        <w:rPr>
          <w:b w:val="0"/>
          <w:i w:val="0"/>
        </w:rPr>
        <w:t>C1: free-form prose relay (status quo)</w:t>
      </w:r>
    </w:p>
    <w:p>
      <w:pPr>
        <w:pStyle w:val="ListBullet"/>
        <w:spacing w:line="240" w:lineRule="auto" w:after="80"/>
      </w:pPr>
      <w:r>
        <w:rPr>
          <w:b w:val="0"/>
          <w:i w:val="0"/>
        </w:rPr>
        <w:t>C2: raw-transcript relay truncated to the same cap (curation vs. volume)</w:t>
      </w:r>
    </w:p>
    <w:p>
      <w:pPr>
        <w:pStyle w:val="ListBullet"/>
        <w:spacing w:line="240" w:lineRule="auto" w:after="80"/>
      </w:pPr>
      <w:r>
        <w:rPr>
          <w:b w:val="0"/>
          <w:i w:val="0"/>
        </w:rPr>
        <w:t>C3: full structured contract — requirement checklist with IDs and verbatim requirement text (provenance anchors), design decisions with rationale, acceptance criteria with input/expected-output pairs, verification-performed log, open-questions/uncertainty flags; schema-validated with one repair retry</w:t>
      </w:r>
    </w:p>
    <w:p>
      <w:pPr>
        <w:pStyle w:val="ListBullet"/>
        <w:spacing w:line="240" w:lineRule="auto" w:after="80"/>
      </w:pPr>
      <w:r>
        <w:rPr>
          <w:b w:val="0"/>
          <w:i w:val="0"/>
        </w:rPr>
        <w:t>C4: C3 minus provenance (isolates the provenance field)</w:t>
      </w:r>
    </w:p>
    <w:p>
      <w:pPr>
        <w:pStyle w:val="ListBullet"/>
        <w:spacing w:line="240" w:lineRule="auto" w:after="80"/>
      </w:pPr>
      <w:r>
        <w:rPr>
          <w:b w:val="0"/>
          <w:i w:val="0"/>
        </w:rPr>
        <w:t>C5: C3 minus uncertainty flags (isolates doubt signaling)</w:t>
      </w:r>
    </w:p>
    <w:p>
      <w:pPr>
        <w:pStyle w:val="ListBullet"/>
        <w:spacing w:line="240" w:lineRule="auto" w:after="80"/>
      </w:pPr>
      <w:r>
        <w:rPr>
          <w:b w:val="0"/>
          <w:i w:val="0"/>
        </w:rPr>
        <w:t>C6: C3 format without schema validation (format vs. enforcement — resolves the confound in Barrak 2025)</w:t>
      </w:r>
    </w:p>
    <w:p>
      <w:pPr>
        <w:pStyle w:val="ListBullet"/>
        <w:spacing w:line="240" w:lineRule="auto" w:after="80"/>
      </w:pPr>
      <w:r>
        <w:rPr>
          <w:b w:val="0"/>
          <w:i w:val="0"/>
        </w:rPr>
        <w:t>Crossed factor: original requirements passed downstream alongside the artifact vs. replaced by it — the first direct test of Zeng et al.'s authoritative-plan mechanism</w:t>
      </w:r>
    </w:p>
    <w:p>
      <w:pPr>
        <w:pStyle w:val="ListBullet"/>
        <w:spacing w:line="240" w:lineRule="auto" w:after="80"/>
      </w:pPr>
      <w:r>
        <w:rPr>
          <w:b w:val="0"/>
          <w:i w:val="0"/>
        </w:rPr>
        <w:t>Seeded-flaw sub-experiment: a controlled defect injected into the handoff artifact; outcome is downstream detection vs. propagation</w:t>
      </w:r>
    </w:p>
    <w:p>
      <w:pPr>
        <w:spacing w:line="480" w:lineRule="auto" w:after="0"/>
      </w:pPr>
      <w:r>
        <w:rPr>
          <w:b/>
          <w:i w:val="0"/>
        </w:rPr>
        <w:t>Tasks.</w:t>
      </w:r>
      <w:r>
        <w:rPr>
          <w:b w:val="0"/>
          <w:i w:val="0"/>
        </w:rPr>
        <w:t xml:space="preserve"> 40–50 requirement-dense project-generation tasks per the E2EDevBench protocol (post-cutoff PyPI packages, atomic requirement checklists, migrated original test suites), with ClassEval and TestEval replication families. Local pytest sandbox.</w:t>
      </w:r>
    </w:p>
    <w:p>
      <w:pPr>
        <w:spacing w:line="480" w:lineRule="auto" w:after="0"/>
      </w:pPr>
      <w:r>
        <w:rPr>
          <w:b/>
          <w:i w:val="0"/>
        </w:rPr>
        <w:t>Metrics.</w:t>
      </w:r>
      <w:r>
        <w:rPr>
          <w:b w:val="0"/>
          <w:i w:val="0"/>
        </w:rPr>
        <w:t xml:space="preserve"> Per-requirement implementation rate (migrated tests + 3-judge unanimous LLM verification + 10% human audit); failure-mode distribution (Zeng et al. taxonomy); </w:t>
      </w:r>
      <w:r>
        <w:rPr>
          <w:b/>
          <w:i w:val="0"/>
        </w:rPr>
        <w:t>handoff information-retention score</w:t>
      </w:r>
      <w:r>
        <w:rPr>
          <w:b w:val="0"/>
          <w:i w:val="0"/>
        </w:rPr>
        <w:t xml:space="preserve"> (a blinded probe model reconstructs the requirement checklist from the artifact alone); seeded-flaw detection/propagation; parse-failure rate; full cost accounting. Mixed-effects logistic regression, Holm–Bonferroni, preregistered power analysis (~50 tasks × 5 runs detects ~10-point differences).</w:t>
      </w:r>
    </w:p>
    <w:p>
      <w:pPr>
        <w:spacing w:line="480" w:lineRule="auto" w:after="0"/>
      </w:pPr>
      <w:r>
        <w:rPr>
          <w:b/>
          <w:i w:val="0"/>
        </w:rPr>
        <w:t>Feasibility.</w:t>
      </w:r>
      <w:r>
        <w:rPr>
          <w:b w:val="0"/>
          <w:i w:val="0"/>
        </w:rPr>
        <w:t xml:space="preserve"> Entirely programmatic; public or reconstructible benchmarks; $3,000–6,000 API spend (corpus anchors: ~$7/project worst case, $0.08–0.31/task typical); harness buildable by one student in a semester; runs parallel and resumable.</w:t>
      </w:r>
    </w:p>
    <w:p>
      <w:pPr>
        <w:pStyle w:val="Heading2"/>
      </w:pPr>
      <w:r>
        <w:t>Why the Proposed Approach Is Viable</w:t>
      </w:r>
    </w:p>
    <w:p>
      <w:pPr>
        <w:keepNext/>
        <w:spacing w:line="480" w:lineRule="auto" w:before="120" w:after="0"/>
      </w:pPr>
      <w:r>
        <w:rPr>
          <w:b/>
          <w:i w:val="0"/>
        </w:rPr>
        <w:t xml:space="preserve">1. </w:t>
      </w:r>
      <w:r>
        <w:rPr>
          <w:b/>
          <w:i w:val="0"/>
        </w:rPr>
        <w:t>The handoff format is causally manipulable with large, detectable effects:</w:t>
      </w:r>
    </w:p>
    <w:p>
      <w:pPr>
        <w:keepNext/>
        <w:spacing w:line="240" w:lineRule="auto" w:after="40"/>
        <w:ind w:left="720" w:right="720"/>
      </w:pPr>
      <w:r>
        <w:rPr>
          <w:b w:val="0"/>
          <w:i w:val="0"/>
        </w:rPr>
        <w:t>“Condition (B post), which uses a more structured posterior-style message format, performs better than condition (B), which uses free-form prose, reaching 75.2% rather than 58.1% at three stages (on 50 questions; see Figure 3).”</w:t>
      </w:r>
    </w:p>
    <w:p>
      <w:pPr>
        <w:spacing w:line="240" w:lineRule="auto" w:after="200"/>
        <w:ind w:left="720"/>
      </w:pPr>
      <w:r>
        <w:rPr>
          <w:i/>
        </w:rPr>
        <w:t xml:space="preserve">— </w:t>
      </w:r>
      <w:r>
        <w:rPr>
          <w:b w:val="0"/>
          <w:i/>
        </w:rPr>
        <w:t xml:space="preserve">Ao et al. (2026), p. 17 </w:t>
      </w:r>
      <w:r>
        <w:rPr>
          <w:b/>
          <w:i/>
        </w:rPr>
        <w:t>[preprint]</w:t>
      </w:r>
    </w:p>
    <w:p>
      <w:pPr>
        <w:keepNext/>
        <w:spacing w:line="480" w:lineRule="auto" w:before="120" w:after="0"/>
      </w:pPr>
      <w:r>
        <w:rPr>
          <w:b/>
          <w:i w:val="0"/>
        </w:rPr>
        <w:t xml:space="preserve">2. </w:t>
      </w:r>
      <w:r>
        <w:rPr>
          <w:b/>
          <w:i w:val="0"/>
        </w:rPr>
        <w:t>The intervention class works at published scale:</w:t>
      </w:r>
    </w:p>
    <w:p>
      <w:pPr>
        <w:keepNext/>
        <w:spacing w:line="240" w:lineRule="auto" w:after="40"/>
        <w:ind w:left="720" w:right="720"/>
      </w:pPr>
      <w:r>
        <w:rPr>
          <w:b w:val="0"/>
          <w:i w:val="0"/>
        </w:rPr>
        <w:t>“On the PythonIO benchmark, the accuracy gains were even more substantial for several configurations. The BBB configuration's accuracy increased by 36.22 percentage points, from 61.42% to 97.64%.”</w:t>
      </w:r>
    </w:p>
    <w:p>
      <w:pPr>
        <w:spacing w:line="240" w:lineRule="auto" w:after="200"/>
        <w:ind w:left="720"/>
      </w:pPr>
      <w:r>
        <w:rPr>
          <w:i/>
        </w:rPr>
        <w:t xml:space="preserve">— </w:t>
      </w:r>
      <w:r>
        <w:rPr>
          <w:b w:val="0"/>
          <w:i/>
        </w:rPr>
        <w:t xml:space="preserve">Barrak (2025), p. 5, </w:t>
      </w:r>
      <w:r>
        <w:rPr>
          <w:b w:val="0"/>
          <w:i/>
        </w:rPr>
        <w:t>ASEW 2025</w:t>
      </w:r>
      <w:r>
        <w:rPr>
          <w:b w:val="0"/>
          <w:i/>
        </w:rPr>
        <w:t xml:space="preserve"> — and that study's confounds (prompts changed with protocol, MCQ-only, no repeated runs) define exactly what this design isolates.</w:t>
      </w:r>
    </w:p>
    <w:p>
      <w:pPr>
        <w:keepNext/>
        <w:spacing w:line="480" w:lineRule="auto" w:before="120" w:after="0"/>
      </w:pPr>
      <w:r>
        <w:rPr>
          <w:b/>
          <w:i w:val="0"/>
        </w:rPr>
        <w:t xml:space="preserve">3. </w:t>
      </w:r>
      <w:r>
        <w:rPr>
          <w:b/>
          <w:i w:val="0"/>
        </w:rPr>
        <w:t>Agents reliably produce and consume such contracts already:</w:t>
      </w:r>
    </w:p>
    <w:p>
      <w:pPr>
        <w:keepNext/>
        <w:spacing w:line="240" w:lineRule="auto" w:after="40"/>
        <w:ind w:left="720" w:right="720"/>
      </w:pPr>
      <w:r>
        <w:rPr>
          <w:b w:val="0"/>
          <w:i w:val="0"/>
        </w:rPr>
        <w:t>“In 87 of 90 runs across the entire dataset, the planner agent produced a structured test specification that included explicit input values, expected outputs, and the specific code paths each test case targeted.”</w:t>
      </w:r>
    </w:p>
    <w:p>
      <w:pPr>
        <w:spacing w:line="240" w:lineRule="auto" w:after="200"/>
        <w:ind w:left="720"/>
      </w:pPr>
      <w:r>
        <w:rPr>
          <w:i/>
        </w:rPr>
        <w:t xml:space="preserve">— </w:t>
      </w:r>
      <w:r>
        <w:rPr>
          <w:b w:val="0"/>
          <w:i/>
        </w:rPr>
        <w:t>Agha &amp; Miqdad (2026), p. 63</w:t>
      </w:r>
    </w:p>
    <w:p>
      <w:pPr>
        <w:keepNext/>
        <w:spacing w:line="480" w:lineRule="auto" w:before="120" w:after="0"/>
      </w:pPr>
      <w:r>
        <w:rPr>
          <w:b/>
          <w:i w:val="0"/>
        </w:rPr>
        <w:t xml:space="preserve">4. </w:t>
      </w:r>
      <w:r>
        <w:rPr>
          <w:b/>
          <w:i w:val="0"/>
        </w:rPr>
        <w:t>The controlled-comparison template exists:</w:t>
      </w:r>
    </w:p>
    <w:p>
      <w:pPr>
        <w:keepNext/>
        <w:spacing w:line="240" w:lineRule="auto" w:after="40"/>
        <w:ind w:left="720" w:right="720"/>
      </w:pPr>
      <w:r>
        <w:rPr>
          <w:b w:val="0"/>
          <w:i w:val="0"/>
        </w:rPr>
        <w:t>“Using this framework, we conduct a controlled empirical study on three representative agent architectures implemented upon a unified foundation to isolate the impact of workflow design.”</w:t>
      </w:r>
    </w:p>
    <w:p>
      <w:pPr>
        <w:spacing w:line="240" w:lineRule="auto" w:after="200"/>
        <w:ind w:left="720"/>
      </w:pPr>
      <w:r>
        <w:rPr>
          <w:i/>
        </w:rPr>
        <w:t xml:space="preserve">— </w:t>
      </w:r>
      <w:r>
        <w:rPr>
          <w:b w:val="0"/>
          <w:i/>
        </w:rPr>
        <w:t xml:space="preserve">Zeng et al. (2025), p. 1 </w:t>
      </w:r>
      <w:r>
        <w:rPr>
          <w:b/>
          <w:i/>
        </w:rPr>
        <w:t>[preprint]</w:t>
      </w:r>
    </w:p>
    <w:p>
      <w:pPr>
        <w:keepNext/>
        <w:spacing w:line="480" w:lineRule="auto" w:before="120" w:after="0"/>
      </w:pPr>
      <w:r>
        <w:rPr>
          <w:b/>
          <w:i w:val="0"/>
        </w:rPr>
        <w:t xml:space="preserve">5. </w:t>
      </w:r>
      <w:r>
        <w:rPr>
          <w:b/>
          <w:i w:val="0"/>
        </w:rPr>
        <w:t>The outcome is genuinely uncertain in both directions (falsifiable):</w:t>
      </w:r>
    </w:p>
    <w:p>
      <w:pPr>
        <w:keepNext/>
        <w:spacing w:line="240" w:lineRule="auto" w:after="40"/>
        <w:ind w:left="720" w:right="720"/>
      </w:pPr>
      <w:r>
        <w:rPr>
          <w:b w:val="0"/>
          <w:i w:val="0"/>
        </w:rPr>
        <w:t>“Table 9 shows that schema-constrained planning reduces accuracy across datasets and models, while free-form planning preserves or improves accuracy in most settings.”</w:t>
      </w:r>
    </w:p>
    <w:p>
      <w:pPr>
        <w:spacing w:line="240" w:lineRule="auto" w:after="200"/>
        <w:ind w:left="720"/>
      </w:pPr>
      <w:r>
        <w:rPr>
          <w:i/>
        </w:rPr>
        <w:t xml:space="preserve">— </w:t>
      </w:r>
      <w:r>
        <w:rPr>
          <w:b w:val="0"/>
          <w:i/>
        </w:rPr>
        <w:t xml:space="preserve">Orogat et al. (2026), p. 8 </w:t>
      </w:r>
      <w:r>
        <w:rPr>
          <w:b/>
          <w:i/>
        </w:rPr>
        <w:t>[preprint]</w:t>
      </w:r>
    </w:p>
    <w:p>
      <w:pPr>
        <w:pStyle w:val="Heading2"/>
      </w:pPr>
      <w:r>
        <w:t>Assessment</w:t>
      </w:r>
    </w:p>
    <w:p>
      <w:pPr>
        <w:spacing w:line="480" w:lineRule="auto" w:after="0"/>
      </w:pPr>
      <w:r>
        <w:rPr>
          <w:b/>
          <w:i w:val="0"/>
        </w:rPr>
        <w:t>Novelty:</w:t>
      </w:r>
      <w:r>
        <w:rPr>
          <w:b w:val="0"/>
          <w:i w:val="0"/>
        </w:rPr>
        <w:t xml:space="preserve"> no corpus paper isolates the handoff contract as the sole variable on executable software tasks, ablates contract fields (provenance, uncertainty, validation), token-matches the artifact across formats, or measures information retention and seeded-flaw propagation as outcomes. Zeng et al.'s authoritative-plan mechanism is an untested hypothesis this design tests directly.</w:t>
      </w:r>
    </w:p>
    <w:p>
      <w:pPr>
        <w:spacing w:line="480" w:lineRule="auto" w:after="0"/>
      </w:pPr>
      <w:r>
        <w:rPr>
          <w:b/>
          <w:i w:val="0"/>
        </w:rPr>
        <w:t>Falsifiability:</w:t>
      </w:r>
      <w:r>
        <w:rPr>
          <w:b w:val="0"/>
          <w:i w:val="0"/>
        </w:rPr>
        <w:t xml:space="preserve"> H1 fails if token-matched structured contracts don't beat prose (real possibility — Orogat et al. document schema-induced collapse); H2 fails if the provenance ablation shows nothing; C0 lets the pipeline lose outright.</w:t>
      </w:r>
    </w:p>
    <w:p>
      <w:pPr>
        <w:spacing w:line="480" w:lineRule="auto" w:after="0"/>
      </w:pPr>
      <w:r>
        <w:rPr>
          <w:b/>
          <w:i w:val="0"/>
        </w:rPr>
        <w:t>Risks &amp; mitigations:</w:t>
      </w:r>
      <w:r>
        <w:rPr>
          <w:b w:val="0"/>
          <w:i w:val="0"/>
        </w:rPr>
        <w:t xml:space="preserve"> LLM-judge validity (migrated original tests primary, unanimous judges, human audit); contamination (post-cutoff PyPI); drift (pinned snapshots, second-family replication); schema-encodes-task- knowledge circularity (token cap + raw-transcript control C2).</w:t>
      </w:r>
    </w:p>
    <w:p>
      <w:pPr>
        <w:spacing w:line="480" w:lineRule="auto" w:after="0"/>
      </w:pPr>
      <w:r>
        <w:rPr>
          <w:b/>
          <w:i w:val="0"/>
        </w:rPr>
        <w:t>NSU rubric fit:</w:t>
      </w:r>
      <w:r>
        <w:rPr>
          <w:b w:val="0"/>
          <w:i w:val="0"/>
        </w:rPr>
        <w:t xml:space="preserve"> the strongest theoretical mechanism story of the three (information theory of relays) and a distinctive engineering artifact (a validated contract schema) as the practical contribution.</w:t>
      </w:r>
    </w:p>
    <w:p>
      <w:r>
        <w:br w:type="page"/>
      </w:r>
    </w:p>
    <w:p>
      <w:pPr>
        <w:pStyle w:val="Heading1"/>
      </w:pPr>
      <w:r>
        <w:t>Runner-up and cross-cutting findings</w:t>
      </w:r>
    </w:p>
    <w:p>
      <w:pPr>
        <w:spacing w:line="480" w:lineRule="auto" w:after="0"/>
      </w:pPr>
      <w:r>
        <w:rPr>
          <w:b/>
          <w:i w:val="0"/>
        </w:rPr>
        <w:t>Runner-up — Semantic fault containment under matched architectures</w:t>
      </w:r>
      <w:r>
        <w:rPr>
          <w:b w:val="0"/>
          <w:i w:val="0"/>
        </w:rPr>
        <w:t xml:space="preserve"> (does specialist coordination create net resilience or a larger cascade surface when upstream messages are fluent but wrong?). Grounded in the fault-injection line (observability/fault-injection studies, failure taxonomies) but ranked fourth: existing work already establishes the harness pattern, and its cleanest formulation overlaps Topic 3's seeded-flaw sub-experiment. The adversarial sweep recommended that </w:t>
      </w:r>
      <w:r>
        <w:rPr>
          <w:b w:val="0"/>
          <w:i/>
        </w:rPr>
        <w:t>if</w:t>
      </w:r>
      <w:r>
        <w:rPr>
          <w:b w:val="0"/>
          <w:i w:val="0"/>
        </w:rPr>
        <w:t xml:space="preserve"> pursued, it be extended with an explicit adversarial arm (prompt-injection and corrupted-delegation faults on the same matched harness) — security is the corpus's largest verified absence: 0 of 15 major agent benchmarks score security, and hierarchical coordination uniquely produced 11 delegation-leak outputs (vs. 0 for single-agent and sequential) in Agha &amp; Miqdad's comparison.</w:t>
      </w:r>
    </w:p>
    <w:p>
      <w:pPr>
        <w:spacing w:line="480" w:lineRule="auto" w:after="0"/>
      </w:pPr>
      <w:r>
        <w:rPr>
          <w:b/>
          <w:i w:val="0"/>
        </w:rPr>
        <w:t>Cross-cutting methodology (applies to whichever topic is chosen):</w:t>
      </w:r>
    </w:p>
    <w:p>
      <w:pPr>
        <w:pStyle w:val="ListBullet"/>
        <w:spacing w:line="240" w:lineRule="auto" w:after="80"/>
      </w:pPr>
      <w:r>
        <w:rPr>
          <w:b w:val="0"/>
          <w:i/>
        </w:rPr>
        <w:t>Evaluation validity:</w:t>
      </w:r>
      <w:r>
        <w:rPr>
          <w:b w:val="0"/>
          <w:i w:val="0"/>
        </w:rPr>
        <w:t xml:space="preserve"> headline success metrics inflate 2×–18× under stricter criteria in this corpus (e.g., detection rates collapsing from 90% → 55% → 5% as criteria tighten; ~30% of unit-test-passing solutions failing property tests). Use tiered success criteria, migrated/property-based tests, and hidden suites.</w:t>
      </w:r>
    </w:p>
    <w:p>
      <w:pPr>
        <w:pStyle w:val="ListBullet"/>
        <w:spacing w:line="240" w:lineRule="auto" w:after="80"/>
      </w:pPr>
      <w:r>
        <w:rPr>
          <w:b w:val="0"/>
          <w:i/>
        </w:rPr>
        <w:t>Run-to-run variance:</w:t>
      </w:r>
      <w:r>
        <w:rPr>
          <w:b w:val="0"/>
          <w:i w:val="0"/>
        </w:rPr>
        <w:t xml:space="preserve"> most primary studies run 1–5 trials without intervals; architecture shifts the outcome </w:t>
      </w:r>
      <w:r>
        <w:rPr>
          <w:b w:val="0"/>
          <w:i/>
        </w:rPr>
        <w:t>distribution</w:t>
      </w:r>
      <w:r>
        <w:rPr>
          <w:b w:val="0"/>
          <w:i w:val="0"/>
        </w:rPr>
        <w:t>, not just its mean (cross-run consistency 83% sequential vs. 47% hierarchical in Agha &amp; Miqdad). Preregister repeated runs and paired task-level inference.</w:t>
      </w:r>
    </w:p>
    <w:p>
      <w:pPr>
        <w:pStyle w:val="ListBullet"/>
        <w:spacing w:line="240" w:lineRule="auto" w:after="80"/>
      </w:pPr>
      <w:r>
        <w:rPr>
          <w:b w:val="0"/>
          <w:i w:val="0"/>
        </w:rPr>
        <w:t>Both practices are also what a committee will probe first.</w:t>
      </w:r>
    </w:p>
    <w:p>
      <w:r>
        <w:br w:type="page"/>
      </w:r>
    </w:p>
    <w:p>
      <w:pPr>
        <w:pStyle w:val="Heading1"/>
      </w:pPr>
      <w:r>
        <w:t>References</w:t>
      </w:r>
    </w:p>
    <w:p>
      <w:pPr>
        <w:spacing w:line="480" w:lineRule="auto" w:after="0"/>
        <w:ind w:firstLine="720"/>
      </w:pPr>
      <w:r>
        <w:rPr>
          <w:b w:val="0"/>
          <w:i w:val="0"/>
        </w:rPr>
        <w:t xml:space="preserve">Entries marked </w:t>
      </w:r>
      <w:r>
        <w:rPr>
          <w:b w:val="0"/>
          <w:i/>
        </w:rPr>
        <w:t>[preprint]</w:t>
      </w:r>
      <w:r>
        <w:rPr>
          <w:b w:val="0"/>
          <w:i w:val="0"/>
        </w:rPr>
        <w:t xml:space="preserve"> are not yet peer-reviewed; per NSU guidance each topic's problem statement is anchored by refereed venues, with preprints in supporting roles. All sources were read in full text; citations verified against paper first pages (run manifest metadata contains known scraping defects — see the skill REVIEW.md).</w:t>
      </w:r>
    </w:p>
    <w:p>
      <w:pPr>
        <w:spacing w:line="240" w:lineRule="auto" w:after="240"/>
        <w:ind w:left="720" w:hanging="720"/>
      </w:pPr>
      <w:r>
        <w:rPr>
          <w:b w:val="0"/>
          <w:i w:val="0"/>
        </w:rPr>
        <w:t xml:space="preserve">Agha, M., &amp; Miqdad, A. (2026). </w:t>
      </w:r>
      <w:r>
        <w:rPr>
          <w:b w:val="0"/>
          <w:i/>
        </w:rPr>
        <w:t>An empirical comparison of multi-agent LLM architectural patterns for automated unit test generation</w:t>
      </w:r>
      <w:r>
        <w:rPr>
          <w:b w:val="0"/>
          <w:i w:val="0"/>
        </w:rPr>
        <w:t xml:space="preserve"> [Master's thesis, Chalmers University of Technology and University of Gothenburg].</w:t>
      </w:r>
    </w:p>
    <w:p>
      <w:pPr>
        <w:spacing w:line="240" w:lineRule="auto" w:after="240"/>
        <w:ind w:left="720" w:hanging="720"/>
      </w:pPr>
      <w:r>
        <w:rPr>
          <w:b w:val="0"/>
          <w:i w:val="0"/>
        </w:rPr>
        <w:t xml:space="preserve">Ao, R., Gao, S., &amp; Simchi-Levi, D. (2026). On the reliability limits of LLM-based multi-agent planning. </w:t>
      </w:r>
      <w:r>
        <w:rPr>
          <w:b w:val="0"/>
          <w:i/>
        </w:rPr>
        <w:t>arXiv/SSRN preprint</w:t>
      </w:r>
      <w:r>
        <w:rPr>
          <w:b w:val="0"/>
          <w:i w:val="0"/>
        </w:rPr>
        <w:t xml:space="preserve">. https://doi.org/10.2139/ssrn.6490578 </w:t>
      </w:r>
      <w:r>
        <w:rPr>
          <w:b w:val="0"/>
          <w:i/>
        </w:rPr>
        <w:t>[preprint]</w:t>
      </w:r>
    </w:p>
    <w:p>
      <w:pPr>
        <w:spacing w:line="240" w:lineRule="auto" w:after="240"/>
        <w:ind w:left="720" w:hanging="720"/>
      </w:pPr>
      <w:r>
        <w:rPr>
          <w:b w:val="0"/>
          <w:i w:val="0"/>
        </w:rPr>
        <w:t xml:space="preserve">Barrak, A. (2025). Traceability and accountability in role-specialized multi-agent LLM pipelines. </w:t>
      </w:r>
      <w:r>
        <w:rPr>
          <w:b w:val="0"/>
          <w:i/>
        </w:rPr>
        <w:t>2025 40th IEEE/ACM International Conference on Automated Software Engineering Workshops (ASEW)</w:t>
      </w:r>
      <w:r>
        <w:rPr>
          <w:b w:val="0"/>
          <w:i w:val="0"/>
        </w:rPr>
        <w:t>. https://doi.org/10.1109/asew67777.2025.00064</w:t>
      </w:r>
    </w:p>
    <w:p>
      <w:pPr>
        <w:spacing w:line="240" w:lineRule="auto" w:after="240"/>
        <w:ind w:left="720" w:hanging="720"/>
      </w:pPr>
      <w:r>
        <w:rPr>
          <w:b w:val="0"/>
          <w:i w:val="0"/>
        </w:rPr>
        <w:t xml:space="preserve">Calboreanu, E. (2026). Iterative audit convergence in LLM-managed multi-agent systems: A case study in prompt-engineering quality assurance. </w:t>
      </w:r>
      <w:r>
        <w:rPr>
          <w:b w:val="0"/>
          <w:i/>
        </w:rPr>
        <w:t>Software</w:t>
      </w:r>
      <w:r>
        <w:rPr>
          <w:b w:val="0"/>
          <w:i w:val="0"/>
        </w:rPr>
        <w:t xml:space="preserve">, </w:t>
      </w:r>
      <w:r>
        <w:rPr>
          <w:b w:val="0"/>
          <w:i/>
        </w:rPr>
        <w:t>5</w:t>
      </w:r>
      <w:r>
        <w:rPr>
          <w:b w:val="0"/>
          <w:i w:val="0"/>
        </w:rPr>
        <w:t>(2). https://doi.org/10.3390/software5020026</w:t>
      </w:r>
    </w:p>
    <w:p>
      <w:pPr>
        <w:spacing w:line="240" w:lineRule="auto" w:after="240"/>
        <w:ind w:left="720" w:hanging="720"/>
      </w:pPr>
      <w:r>
        <w:rPr>
          <w:b w:val="0"/>
          <w:i w:val="0"/>
        </w:rPr>
        <w:t xml:space="preserve">Fan, G., Liu, D., Pan, L., Zhang, R., &amp; Guo, Q. (2026). Multi-LLM persona generation for virtual focus groups in software engineering: A controlled, multi-domain study of emotional requirements elicitation. </w:t>
      </w:r>
      <w:r>
        <w:rPr>
          <w:b w:val="0"/>
          <w:i/>
        </w:rPr>
        <w:t>Proceedings of the ACM on Software Engineering, 3</w:t>
      </w:r>
      <w:r>
        <w:rPr>
          <w:b w:val="0"/>
          <w:i w:val="0"/>
        </w:rPr>
        <w:t xml:space="preserve"> (FSE). https://doi.org/10.1145/3808098</w:t>
      </w:r>
    </w:p>
    <w:p>
      <w:pPr>
        <w:spacing w:line="240" w:lineRule="auto" w:after="240"/>
        <w:ind w:left="720" w:hanging="720"/>
      </w:pPr>
      <w:r>
        <w:rPr>
          <w:b w:val="0"/>
          <w:i w:val="0"/>
        </w:rPr>
        <w:t xml:space="preserve">He, J., Treude, C., &amp; Lo, D. (2025). LLM-based multi-agent systems for software engineering: Literature review, vision, and the road ahead. </w:t>
      </w:r>
      <w:r>
        <w:rPr>
          <w:b w:val="0"/>
          <w:i/>
        </w:rPr>
        <w:t>ACM Transactions on Software Engineering and Methodology</w:t>
      </w:r>
      <w:r>
        <w:rPr>
          <w:b w:val="0"/>
          <w:i w:val="0"/>
        </w:rPr>
        <w:t>. https://doi.org/10.1145/3712003</w:t>
      </w:r>
    </w:p>
    <w:p>
      <w:pPr>
        <w:spacing w:line="240" w:lineRule="auto" w:after="240"/>
        <w:ind w:left="720" w:hanging="720"/>
      </w:pPr>
      <w:r>
        <w:rPr>
          <w:b w:val="0"/>
          <w:i w:val="0"/>
        </w:rPr>
        <w:t xml:space="preserve">Huang, J., Ye, W., Sun, W., Feng, Y., &amp; Liu, Y. (2026). Cross-model collaboration for enhancing LLM-based code generation. </w:t>
      </w:r>
      <w:r>
        <w:rPr>
          <w:b w:val="0"/>
          <w:i/>
        </w:rPr>
        <w:t>ACM Transactions on Software Engineering and Methodology</w:t>
      </w:r>
      <w:r>
        <w:rPr>
          <w:b w:val="0"/>
          <w:i w:val="0"/>
        </w:rPr>
        <w:t>. https://doi.org/10.1145/3840382</w:t>
      </w:r>
    </w:p>
    <w:p>
      <w:pPr>
        <w:spacing w:line="240" w:lineRule="auto" w:after="240"/>
        <w:ind w:left="720" w:hanging="720"/>
      </w:pPr>
      <w:r>
        <w:rPr>
          <w:b w:val="0"/>
          <w:i w:val="0"/>
        </w:rPr>
        <w:t xml:space="preserve">Li, Y. (2026). A multi-agent LLM framework for automated software testing. </w:t>
      </w:r>
      <w:r>
        <w:rPr>
          <w:b w:val="0"/>
          <w:i/>
        </w:rPr>
        <w:t>Transactions on Computing Science, 2</w:t>
      </w:r>
      <w:r>
        <w:rPr>
          <w:b w:val="0"/>
          <w:i w:val="0"/>
        </w:rPr>
        <w:t>(2). https://doi.org/10.63808/tcs.v2i2.447</w:t>
      </w:r>
    </w:p>
    <w:p>
      <w:pPr>
        <w:spacing w:line="240" w:lineRule="auto" w:after="240"/>
        <w:ind w:left="720" w:hanging="720"/>
      </w:pPr>
      <w:r>
        <w:rPr>
          <w:b w:val="0"/>
          <w:i w:val="0"/>
        </w:rPr>
        <w:t xml:space="preserve">Mao, Z., Li, J., Jin, D., Li, M., &amp; Tei, K. (2024). Multi-role consensus through LLMs discussions for vulnerability detection. </w:t>
      </w:r>
      <w:r>
        <w:rPr>
          <w:b w:val="0"/>
          <w:i/>
        </w:rPr>
        <w:t>2024 IEEE International Conference on Software Quality, Reliability, and Security Companion (QRS-C)</w:t>
      </w:r>
      <w:r>
        <w:rPr>
          <w:b w:val="0"/>
          <w:i w:val="0"/>
        </w:rPr>
        <w:t>. https://doi.org/10.1109/qrs-c63300.2024.00173</w:t>
      </w:r>
    </w:p>
    <w:p>
      <w:pPr>
        <w:spacing w:line="240" w:lineRule="auto" w:after="240"/>
        <w:ind w:left="720" w:hanging="720"/>
      </w:pPr>
      <w:r>
        <w:rPr>
          <w:b w:val="0"/>
          <w:i w:val="0"/>
        </w:rPr>
        <w:t xml:space="preserve">Orogat, A., Rostam, A., &amp; Mansour, E. (2026). Understanding multi-agent LLM frameworks: A unified benchmark and experimental analysis. </w:t>
      </w:r>
      <w:r>
        <w:rPr>
          <w:b w:val="0"/>
          <w:i/>
        </w:rPr>
        <w:t>arXiv preprint</w:t>
      </w:r>
      <w:r>
        <w:rPr>
          <w:b w:val="0"/>
          <w:i w:val="0"/>
        </w:rPr>
        <w:t xml:space="preserve"> arXiv:2602.03128. </w:t>
      </w:r>
      <w:r>
        <w:rPr>
          <w:b w:val="0"/>
          <w:i/>
        </w:rPr>
        <w:t>[preprint]</w:t>
      </w:r>
    </w:p>
    <w:p>
      <w:pPr>
        <w:spacing w:line="240" w:lineRule="auto" w:after="240"/>
        <w:ind w:left="720" w:hanging="720"/>
      </w:pPr>
      <w:r>
        <w:rPr>
          <w:b w:val="0"/>
          <w:i w:val="0"/>
        </w:rPr>
        <w:t xml:space="preserve">Radeva, I., Noncheva, T., Doukovska, L., &amp; Popchev, I. (2026). Comparing single-agent and multi-agent strategies in LLM-based title-abstract screening. </w:t>
      </w:r>
      <w:r>
        <w:rPr>
          <w:b w:val="0"/>
          <w:i/>
        </w:rPr>
        <w:t>Preprints.org</w:t>
      </w:r>
      <w:r>
        <w:rPr>
          <w:b w:val="0"/>
          <w:i w:val="0"/>
        </w:rPr>
        <w:t xml:space="preserve">. https://doi.org/10.20944/preprints202603.2107.v1 </w:t>
      </w:r>
      <w:r>
        <w:rPr>
          <w:b w:val="0"/>
          <w:i/>
        </w:rPr>
        <w:t>[preprint]</w:t>
      </w:r>
    </w:p>
    <w:p>
      <w:pPr>
        <w:spacing w:line="240" w:lineRule="auto" w:after="240"/>
        <w:ind w:left="720" w:hanging="720"/>
      </w:pPr>
      <w:r>
        <w:rPr>
          <w:b w:val="0"/>
          <w:i w:val="0"/>
        </w:rPr>
        <w:t xml:space="preserve">Sanabria, D. (2026). OpenAI single-agent LLM architecture reduces computational overhead relative to multi-agent orchestration in a simulated Mars rover decision-support benchmark. </w:t>
      </w:r>
      <w:r>
        <w:rPr>
          <w:b w:val="0"/>
          <w:i/>
        </w:rPr>
        <w:t>Frontiers in Robotics and AI</w:t>
      </w:r>
      <w:r>
        <w:rPr>
          <w:b w:val="0"/>
          <w:i w:val="0"/>
        </w:rPr>
        <w:t>. https://doi.org/10.3389/frobt.2026.1877762</w:t>
      </w:r>
    </w:p>
    <w:p>
      <w:pPr>
        <w:spacing w:line="240" w:lineRule="auto" w:after="240"/>
        <w:ind w:left="720" w:hanging="720"/>
      </w:pPr>
      <w:r>
        <w:rPr>
          <w:b w:val="0"/>
          <w:i w:val="0"/>
        </w:rPr>
        <w:t xml:space="preserve">Shafin, W. I., Rafi, M. N., Li, Z., &amp; Chen, T.-H. (2026). An empirical study of Waterfall-style multi-agent workflows for class-level code generation. </w:t>
      </w:r>
      <w:r>
        <w:rPr>
          <w:b w:val="0"/>
          <w:i/>
        </w:rPr>
        <w:t>PROMISE '26: Proceedings of the 22nd International Conference on Predictive Models and Data Analytics in Software Engineering</w:t>
      </w:r>
      <w:r>
        <w:rPr>
          <w:b w:val="0"/>
          <w:i w:val="0"/>
        </w:rPr>
        <w:t>. https://doi.org/10.1145/3803846.3807461</w:t>
      </w:r>
    </w:p>
    <w:p>
      <w:pPr>
        <w:spacing w:line="240" w:lineRule="auto" w:after="240"/>
        <w:ind w:left="720" w:hanging="720"/>
      </w:pPr>
      <w:r>
        <w:rPr>
          <w:b w:val="0"/>
          <w:i w:val="0"/>
        </w:rPr>
        <w:t xml:space="preserve">Tomic, S., Alégroth, E., &amp; Isaac, M. (2025). Evaluation of the choice of LLM in a multi-agent solution for GUI-test generation. </w:t>
      </w:r>
      <w:r>
        <w:rPr>
          <w:b w:val="0"/>
          <w:i/>
        </w:rPr>
        <w:t>2025 IEEE Conference on Software Testing, Verification and Validation (ICST)</w:t>
      </w:r>
      <w:r>
        <w:rPr>
          <w:b w:val="0"/>
          <w:i w:val="0"/>
        </w:rPr>
        <w:t>. https://doi.org/10.1109/icst62969.2025.10989038</w:t>
      </w:r>
    </w:p>
    <w:p>
      <w:pPr>
        <w:spacing w:line="240" w:lineRule="auto" w:after="240"/>
        <w:ind w:left="720" w:hanging="720"/>
      </w:pPr>
      <w:r>
        <w:rPr>
          <w:b w:val="0"/>
          <w:i w:val="0"/>
        </w:rPr>
        <w:t xml:space="preserve">Wang, H., Liu, Z., Wang, S., Cui, G., Ding, N., Liu, Z., &amp; Yu, G. (2024). INTERVENOR: Prompting the coding ability of large language models with the interactive chain of repair. </w:t>
      </w:r>
      <w:r>
        <w:rPr>
          <w:b w:val="0"/>
          <w:i/>
        </w:rPr>
        <w:t>Findings of the Association for Computational Linguistics: ACL 2024</w:t>
      </w:r>
      <w:r>
        <w:rPr>
          <w:b w:val="0"/>
          <w:i w:val="0"/>
        </w:rPr>
        <w:t>. https://doi.org/10.18653/v1/2024.findings-acl.124</w:t>
      </w:r>
    </w:p>
    <w:p>
      <w:pPr>
        <w:spacing w:line="240" w:lineRule="auto" w:after="240"/>
        <w:ind w:left="720" w:hanging="720"/>
      </w:pPr>
      <w:r>
        <w:rPr>
          <w:b w:val="0"/>
          <w:i w:val="0"/>
        </w:rPr>
        <w:t xml:space="preserve">Yang, Y., Chai, H., &amp; Zhang, W. (2025). AgentNet: Decentralized evolutionary coordination for LLM-based multi-agent systems. </w:t>
      </w:r>
      <w:r>
        <w:rPr>
          <w:b w:val="0"/>
          <w:i/>
        </w:rPr>
        <w:t>Qeios</w:t>
      </w:r>
      <w:r>
        <w:rPr>
          <w:b w:val="0"/>
          <w:i w:val="0"/>
        </w:rPr>
        <w:t xml:space="preserve">. https://doi.org/10.32388/ws0vim </w:t>
      </w:r>
      <w:r>
        <w:rPr>
          <w:b w:val="0"/>
          <w:i/>
        </w:rPr>
        <w:t>[preprint]</w:t>
      </w:r>
    </w:p>
    <w:p>
      <w:pPr>
        <w:spacing w:line="240" w:lineRule="auto" w:after="240"/>
        <w:ind w:left="720" w:hanging="720"/>
      </w:pPr>
      <w:r>
        <w:rPr>
          <w:b w:val="0"/>
          <w:i w:val="0"/>
        </w:rPr>
        <w:t xml:space="preserve">Zeng, Z., Li, Y., Xie, R., Ye, W., &amp; Zhang, S. (2025). Benchmarking and studying the LLM-based agent system in end-to-end software development. </w:t>
      </w:r>
      <w:r>
        <w:rPr>
          <w:b w:val="0"/>
          <w:i/>
        </w:rPr>
        <w:t>arXiv preprint</w:t>
      </w:r>
      <w:r>
        <w:rPr>
          <w:b w:val="0"/>
          <w:i w:val="0"/>
        </w:rPr>
        <w:t xml:space="preserve"> arXiv:2511.04064. </w:t>
      </w:r>
      <w:r>
        <w:rPr>
          <w:b w:val="0"/>
          <w:i/>
        </w:rPr>
        <w:t>[preprint]</w:t>
      </w:r>
    </w:p>
    <w:p>
      <w:pPr>
        <w:spacing w:line="240" w:lineRule="auto" w:after="240"/>
        <w:ind w:left="720" w:hanging="720"/>
      </w:pPr>
      <w:r>
        <w:rPr>
          <w:b w:val="0"/>
          <w:i w:val="0"/>
        </w:rPr>
        <w:t xml:space="preserve">Zhu, X., Wu, J., Zhang, X., Li, T., Mu, Y., Zhai, J., Shen, C., Fang, C., &amp; Liu, Y. (2026). Bugs in modern LLM agent frameworks: An empirical study. </w:t>
      </w:r>
      <w:r>
        <w:rPr>
          <w:b w:val="0"/>
          <w:i/>
        </w:rPr>
        <w:t>FSE Companion '26: Proceedings of the 34th ACM International Conference on the Foundations of Software Engineering</w:t>
      </w:r>
      <w:r>
        <w:rPr>
          <w:b w:val="0"/>
          <w:i w:val="0"/>
        </w:rPr>
        <w:t>. https://doi.org/10.1145/3803437.3805536</w:t>
      </w:r>
    </w:p>
    <w:p>
      <w:pPr>
        <w:spacing w:line="480" w:lineRule="auto" w:after="0"/>
        <w:ind w:firstLine="720"/>
      </w:pPr>
      <w:r>
        <w:rPr>
          <w:b w:val="0"/>
          <w:i/>
        </w:rPr>
        <w:t xml:space="preserve">Working document generated with AI assistance (Claude, publications-search skill pipeline + multi-agent verification, 2026-08-30). Under NSU's Certification of Authorship, this assistance must be disclosed and all submitted prose rewritten in the student's own words. Quotations were machine-verified against the full-text corpus in </w:t>
      </w:r>
      <w:r>
        <w:rPr>
          <w:b w:val="0"/>
          <w:i/>
        </w:rPr>
        <w:t>results/20260830-specialized-multi-agent-versus-single-ag/text/</w:t>
      </w:r>
      <w:r>
        <w:rPr>
          <w:b w:val="0"/>
          <w:i/>
        </w:rPr>
        <w:t>; page numbers reference the extracted PDFs' pagination.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