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 xml:space="preserve">ScaleIO Plugin 2.1-2.1.0-1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8.0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1015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0"/>
        <w:gridCol w:w="1455"/>
        <w:gridCol w:w="4035"/>
        <w:gridCol w:w="3525"/>
      </w:tblGrid>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2.1-2.1.0-1</w:t>
      </w:r>
      <w:r>
        <w:rPr>
          <w:rFonts w:ascii="PT Sans" w:hAnsi="PT Sans"/>
          <w:rtl w:val="0"/>
          <w:lang w:val="en-US"/>
        </w:rPr>
        <w:t xml:space="preserve"> on Mirantis OpenStack </w:t>
      </w:r>
      <w:r>
        <w:rPr>
          <w:rFonts w:ascii="PT Sans" w:hAnsi="PT Sans"/>
          <w:i w:val="1"/>
          <w:iCs w:val="1"/>
          <w:rtl w:val="0"/>
          <w:lang w:val="en-US"/>
        </w:rPr>
        <w:t>8.0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rPr>
              <w:t>scaleio-2.1-2.1.0-1.noarch.rpm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0ac42714312637b3bc634f91c7fbcd78</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