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gilc4yyhz2n" w:id="0"/>
      <w:bookmarkEnd w:id="0"/>
      <w:r w:rsidDel="00000000" w:rsidR="00000000" w:rsidRPr="00000000">
        <w:rPr>
          <w:b w:val="1"/>
          <w:color w:val="000000"/>
          <w:sz w:val="26"/>
          <w:szCs w:val="26"/>
          <w:rtl w:val="0"/>
        </w:rPr>
        <w:t xml:space="preserve">Stargate Framework: A Unified Theory for Wormhole Energy, FTL Propulsion, and Temporal Navigation Systems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jpwvfhyxtju" w:id="1"/>
      <w:bookmarkEnd w:id="1"/>
      <w:r w:rsidDel="00000000" w:rsidR="00000000" w:rsidRPr="00000000">
        <w:rPr>
          <w:b w:val="1"/>
          <w:color w:val="000000"/>
          <w:sz w:val="22"/>
          <w:szCs w:val="22"/>
          <w:rtl w:val="0"/>
        </w:rPr>
        <w:t xml:space="preserve">Page 3: Materials, Construction, and Traveler Safety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v076v9f1c3u" w:id="2"/>
      <w:bookmarkEnd w:id="2"/>
      <w:r w:rsidDel="00000000" w:rsidR="00000000" w:rsidRPr="00000000">
        <w:rPr>
          <w:b w:val="1"/>
          <w:color w:val="000000"/>
          <w:sz w:val="26"/>
          <w:szCs w:val="26"/>
          <w:rtl w:val="0"/>
        </w:rPr>
        <w:t xml:space="preserve">I. Stargate and Spacecraft Construction</w:t>
      </w:r>
    </w:p>
    <w:p w:rsidR="00000000" w:rsidDel="00000000" w:rsidP="00000000" w:rsidRDefault="00000000" w:rsidRPr="00000000" w14:paraId="00000006">
      <w:pPr>
        <w:spacing w:after="240" w:before="240" w:lineRule="auto"/>
        <w:rPr/>
      </w:pPr>
      <w:r w:rsidDel="00000000" w:rsidR="00000000" w:rsidRPr="00000000">
        <w:rPr>
          <w:rtl w:val="0"/>
        </w:rPr>
        <w:t xml:space="preserve">The construction of a </w:t>
      </w:r>
      <w:r w:rsidDel="00000000" w:rsidR="00000000" w:rsidRPr="00000000">
        <w:rPr>
          <w:b w:val="1"/>
          <w:rtl w:val="0"/>
        </w:rPr>
        <w:t xml:space="preserve">stargate</w:t>
      </w:r>
      <w:r w:rsidDel="00000000" w:rsidR="00000000" w:rsidRPr="00000000">
        <w:rPr>
          <w:rtl w:val="0"/>
        </w:rPr>
        <w:t xml:space="preserve">, </w:t>
      </w:r>
      <w:r w:rsidDel="00000000" w:rsidR="00000000" w:rsidRPr="00000000">
        <w:rPr>
          <w:b w:val="1"/>
          <w:rtl w:val="0"/>
        </w:rPr>
        <w:t xml:space="preserve">interstellar spacecraft</w:t>
      </w:r>
      <w:r w:rsidDel="00000000" w:rsidR="00000000" w:rsidRPr="00000000">
        <w:rPr>
          <w:rtl w:val="0"/>
        </w:rPr>
        <w:t xml:space="preserve">, and </w:t>
      </w:r>
      <w:r w:rsidDel="00000000" w:rsidR="00000000" w:rsidRPr="00000000">
        <w:rPr>
          <w:b w:val="1"/>
          <w:rtl w:val="0"/>
        </w:rPr>
        <w:t xml:space="preserve">UAV/XDRONE scouting vehicles</w:t>
      </w:r>
      <w:r w:rsidDel="00000000" w:rsidR="00000000" w:rsidRPr="00000000">
        <w:rPr>
          <w:rtl w:val="0"/>
        </w:rPr>
        <w:t xml:space="preserve"> requires advanced materials capable of withstanding extreme conditions, such as high-energy radiation, gravitational shear, and quantum feedback. Here, we outline the materials and design principles required for each component, as well as safety measures for human travelers.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s71623ov9spt" w:id="3"/>
      <w:bookmarkEnd w:id="3"/>
      <w:r w:rsidDel="00000000" w:rsidR="00000000" w:rsidRPr="00000000">
        <w:rPr>
          <w:b w:val="1"/>
          <w:color w:val="000000"/>
          <w:sz w:val="22"/>
          <w:szCs w:val="22"/>
          <w:rtl w:val="0"/>
        </w:rPr>
        <w:t xml:space="preserve">A. Essential Materials for Construction</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Graphene</w:t>
      </w:r>
      <w:r w:rsidDel="00000000" w:rsidR="00000000" w:rsidRPr="00000000">
        <w:rPr>
          <w:rtl w:val="0"/>
        </w:rPr>
        <w:t xml:space="preserve">:</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Exceptional tensile strength, thermal conductivity, and electrical conductivity.</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0C">
      <w:pPr>
        <w:numPr>
          <w:ilvl w:val="2"/>
          <w:numId w:val="8"/>
        </w:numPr>
        <w:spacing w:after="0" w:afterAutospacing="0" w:before="0" w:beforeAutospacing="0" w:lineRule="auto"/>
        <w:ind w:left="2160" w:hanging="360"/>
      </w:pPr>
      <w:r w:rsidDel="00000000" w:rsidR="00000000" w:rsidRPr="00000000">
        <w:rPr>
          <w:rtl w:val="0"/>
        </w:rPr>
        <w:t xml:space="preserve">Electromagnetic shielding for the wormhole throat and propulsion systems.</w:t>
      </w:r>
    </w:p>
    <w:p w:rsidR="00000000" w:rsidDel="00000000" w:rsidP="00000000" w:rsidRDefault="00000000" w:rsidRPr="00000000" w14:paraId="0000000D">
      <w:pPr>
        <w:numPr>
          <w:ilvl w:val="2"/>
          <w:numId w:val="8"/>
        </w:numPr>
        <w:spacing w:after="0" w:afterAutospacing="0" w:before="0" w:beforeAutospacing="0" w:lineRule="auto"/>
        <w:ind w:left="2160" w:hanging="360"/>
      </w:pPr>
      <w:r w:rsidDel="00000000" w:rsidR="00000000" w:rsidRPr="00000000">
        <w:rPr>
          <w:rtl w:val="0"/>
        </w:rPr>
        <w:t xml:space="preserve">Structural reinforcement for spacecraft hulls.</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Platinum</w:t>
      </w:r>
      <w:r w:rsidDel="00000000" w:rsidR="00000000" w:rsidRPr="00000000">
        <w:rPr>
          <w:rtl w:val="0"/>
        </w:rPr>
        <w:t xml:space="preserve">:</w:t>
        <w:br w:type="textWrapping"/>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Corrosion resistance, thermal stability, and catalytic properties.</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11">
      <w:pPr>
        <w:numPr>
          <w:ilvl w:val="2"/>
          <w:numId w:val="8"/>
        </w:numPr>
        <w:spacing w:after="0" w:afterAutospacing="0" w:before="0" w:beforeAutospacing="0" w:lineRule="auto"/>
        <w:ind w:left="2160" w:hanging="360"/>
      </w:pPr>
      <w:r w:rsidDel="00000000" w:rsidR="00000000" w:rsidRPr="00000000">
        <w:rPr>
          <w:rtl w:val="0"/>
        </w:rPr>
        <w:t xml:space="preserve">Reactor components for Base-3 ternary fission systems.</w:t>
      </w:r>
    </w:p>
    <w:p w:rsidR="00000000" w:rsidDel="00000000" w:rsidP="00000000" w:rsidRDefault="00000000" w:rsidRPr="00000000" w14:paraId="00000012">
      <w:pPr>
        <w:numPr>
          <w:ilvl w:val="2"/>
          <w:numId w:val="8"/>
        </w:numPr>
        <w:spacing w:after="0" w:afterAutospacing="0" w:before="0" w:beforeAutospacing="0" w:lineRule="auto"/>
        <w:ind w:left="2160" w:hanging="360"/>
      </w:pPr>
      <w:r w:rsidDel="00000000" w:rsidR="00000000" w:rsidRPr="00000000">
        <w:rPr>
          <w:rtl w:val="0"/>
        </w:rPr>
        <w:t xml:space="preserve">Electrodes for magnetic field generation in Base-8 systems.</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Thorium-Based Alloys</w:t>
      </w:r>
      <w:r w:rsidDel="00000000" w:rsidR="00000000" w:rsidRPr="00000000">
        <w:rPr>
          <w:rtl w:val="0"/>
        </w:rPr>
        <w:t xml:space="preserve">:</w:t>
        <w:br w:type="textWrapping"/>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Radiation resistance and high melting point.</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tl w:val="0"/>
        </w:rPr>
        <w:t xml:space="preserve">Reactor cores for sustained energy output.</w:t>
      </w:r>
    </w:p>
    <w:p w:rsidR="00000000" w:rsidDel="00000000" w:rsidP="00000000" w:rsidRDefault="00000000" w:rsidRPr="00000000" w14:paraId="00000017">
      <w:pPr>
        <w:numPr>
          <w:ilvl w:val="2"/>
          <w:numId w:val="8"/>
        </w:numPr>
        <w:spacing w:after="0" w:afterAutospacing="0" w:before="0" w:beforeAutospacing="0" w:lineRule="auto"/>
        <w:ind w:left="2160" w:hanging="360"/>
      </w:pPr>
      <w:r w:rsidDel="00000000" w:rsidR="00000000" w:rsidRPr="00000000">
        <w:rPr>
          <w:rtl w:val="0"/>
        </w:rPr>
        <w:t xml:space="preserve">Containment vessels for exotic matter.</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Neutronium Composites</w:t>
      </w:r>
      <w:r w:rsidDel="00000000" w:rsidR="00000000" w:rsidRPr="00000000">
        <w:rPr>
          <w:rtl w:val="0"/>
        </w:rPr>
        <w:t xml:space="preserve">:</w:t>
        <w:br w:type="textWrapping"/>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Extreme density and resilience against gravitational forces.</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tl w:val="0"/>
        </w:rPr>
        <w:t xml:space="preserve">Wormhole containment chambers.</w:t>
      </w:r>
    </w:p>
    <w:p w:rsidR="00000000" w:rsidDel="00000000" w:rsidP="00000000" w:rsidRDefault="00000000" w:rsidRPr="00000000" w14:paraId="0000001C">
      <w:pPr>
        <w:numPr>
          <w:ilvl w:val="2"/>
          <w:numId w:val="8"/>
        </w:numPr>
        <w:spacing w:after="0" w:afterAutospacing="0" w:before="0" w:beforeAutospacing="0" w:lineRule="auto"/>
        <w:ind w:left="2160" w:hanging="360"/>
      </w:pPr>
      <w:r w:rsidDel="00000000" w:rsidR="00000000" w:rsidRPr="00000000">
        <w:rPr>
          <w:rtl w:val="0"/>
        </w:rPr>
        <w:t xml:space="preserve">Reinforced layers in the stargate structure.</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Boron Carbide</w:t>
      </w:r>
      <w:r w:rsidDel="00000000" w:rsidR="00000000" w:rsidRPr="00000000">
        <w:rPr>
          <w:rtl w:val="0"/>
        </w:rPr>
        <w:t xml:space="preserve">:</w:t>
        <w:br w:type="textWrapping"/>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High hardness, neutron absorption, and lightweight properties.</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20">
      <w:pPr>
        <w:numPr>
          <w:ilvl w:val="2"/>
          <w:numId w:val="8"/>
        </w:numPr>
        <w:spacing w:after="0" w:afterAutospacing="0" w:before="0" w:beforeAutospacing="0" w:lineRule="auto"/>
        <w:ind w:left="2160" w:hanging="360"/>
      </w:pPr>
      <w:r w:rsidDel="00000000" w:rsidR="00000000" w:rsidRPr="00000000">
        <w:rPr>
          <w:rtl w:val="0"/>
        </w:rPr>
        <w:t xml:space="preserve">Shielding against radiation and energy surges.</w:t>
      </w:r>
    </w:p>
    <w:p w:rsidR="00000000" w:rsidDel="00000000" w:rsidP="00000000" w:rsidRDefault="00000000" w:rsidRPr="00000000" w14:paraId="00000021">
      <w:pPr>
        <w:numPr>
          <w:ilvl w:val="2"/>
          <w:numId w:val="8"/>
        </w:numPr>
        <w:spacing w:after="0" w:afterAutospacing="0" w:before="0" w:beforeAutospacing="0" w:lineRule="auto"/>
        <w:ind w:left="2160" w:hanging="360"/>
      </w:pPr>
      <w:r w:rsidDel="00000000" w:rsidR="00000000" w:rsidRPr="00000000">
        <w:rPr>
          <w:rtl w:val="0"/>
        </w:rPr>
        <w:t xml:space="preserve">Protective coatings for spacecraft and stargate interiors.</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Selenite Crystals</w:t>
      </w:r>
      <w:r w:rsidDel="00000000" w:rsidR="00000000" w:rsidRPr="00000000">
        <w:rPr>
          <w:rtl w:val="0"/>
        </w:rPr>
        <w:t xml:space="preserve">:</w:t>
        <w:br w:type="textWrapping"/>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Amplifies electromagnetic fields and stabilizes energy flows.</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25">
      <w:pPr>
        <w:numPr>
          <w:ilvl w:val="2"/>
          <w:numId w:val="8"/>
        </w:numPr>
        <w:spacing w:after="0" w:afterAutospacing="0" w:before="0" w:beforeAutospacing="0" w:lineRule="auto"/>
        <w:ind w:left="2160" w:hanging="360"/>
      </w:pPr>
      <w:r w:rsidDel="00000000" w:rsidR="00000000" w:rsidRPr="00000000">
        <w:rPr>
          <w:rtl w:val="0"/>
        </w:rPr>
        <w:t xml:space="preserve">Calibration tools for electromagnetic fields.</w:t>
      </w:r>
    </w:p>
    <w:p w:rsidR="00000000" w:rsidDel="00000000" w:rsidP="00000000" w:rsidRDefault="00000000" w:rsidRPr="00000000" w14:paraId="00000026">
      <w:pPr>
        <w:numPr>
          <w:ilvl w:val="2"/>
          <w:numId w:val="8"/>
        </w:numPr>
        <w:spacing w:after="240" w:before="0" w:beforeAutospacing="0" w:lineRule="auto"/>
        <w:ind w:left="2160" w:hanging="360"/>
      </w:pPr>
      <w:r w:rsidDel="00000000" w:rsidR="00000000" w:rsidRPr="00000000">
        <w:rPr>
          <w:rtl w:val="0"/>
        </w:rPr>
        <w:t xml:space="preserve">Alignment of wormhole entry points.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1xzqvkfq3jdc" w:id="4"/>
      <w:bookmarkEnd w:id="4"/>
      <w:r w:rsidDel="00000000" w:rsidR="00000000" w:rsidRPr="00000000">
        <w:rPr>
          <w:b w:val="1"/>
          <w:color w:val="000000"/>
          <w:sz w:val="22"/>
          <w:szCs w:val="22"/>
          <w:rtl w:val="0"/>
        </w:rPr>
        <w:t xml:space="preserve">B. Structural Design of the Stargate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Core Dimensions</w:t>
      </w:r>
      <w:r w:rsidDel="00000000" w:rsidR="00000000" w:rsidRPr="00000000">
        <w:rPr>
          <w:rtl w:val="0"/>
        </w:rPr>
        <w:t xml:space="preserve">:</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Diameter: Approximately 50 meters to allow large equipment (e.g., terraforming machines, spacecraft) to pass through.</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Material Composition: Multi-layered structure combining neutronium, graphene, and thorium alloys.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Energy Generation and Containment</w:t>
      </w:r>
      <w:r w:rsidDel="00000000" w:rsidR="00000000" w:rsidRPr="00000000">
        <w:rPr>
          <w:rtl w:val="0"/>
        </w:rPr>
        <w:t xml:space="preserve">:</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Reactor Core</w:t>
      </w:r>
      <w:r w:rsidDel="00000000" w:rsidR="00000000" w:rsidRPr="00000000">
        <w:rPr>
          <w:rtl w:val="0"/>
        </w:rPr>
        <w:t xml:space="preserve">: Powered by Base-3 ternary fission for sustained energy output.</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Electromagnetic Shielding</w:t>
      </w:r>
      <w:r w:rsidDel="00000000" w:rsidR="00000000" w:rsidRPr="00000000">
        <w:rPr>
          <w:rtl w:val="0"/>
        </w:rPr>
        <w:t xml:space="preserve">: Eight-layer Base-8 magnetic fields stabilize the wormhole during activation.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Control Systems</w:t>
      </w:r>
      <w:r w:rsidDel="00000000" w:rsidR="00000000" w:rsidRPr="00000000">
        <w:rPr>
          <w:rtl w:val="0"/>
        </w:rPr>
        <w:t xml:space="preserve">:</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Base-5 Navigation</w:t>
      </w:r>
      <w:r w:rsidDel="00000000" w:rsidR="00000000" w:rsidRPr="00000000">
        <w:rPr>
          <w:rtl w:val="0"/>
        </w:rPr>
        <w:t xml:space="preserve">: Ensures accurate geospatial targeting for wormhole endpoints.</w:t>
      </w:r>
    </w:p>
    <w:p w:rsidR="00000000" w:rsidDel="00000000" w:rsidP="00000000" w:rsidRDefault="00000000" w:rsidRPr="00000000" w14:paraId="00000031">
      <w:pPr>
        <w:numPr>
          <w:ilvl w:val="1"/>
          <w:numId w:val="1"/>
        </w:numPr>
        <w:spacing w:after="240" w:before="0" w:beforeAutospacing="0" w:lineRule="auto"/>
        <w:ind w:left="1440" w:hanging="360"/>
      </w:pPr>
      <w:r w:rsidDel="00000000" w:rsidR="00000000" w:rsidRPr="00000000">
        <w:rPr>
          <w:b w:val="1"/>
          <w:rtl w:val="0"/>
        </w:rPr>
        <w:t xml:space="preserve">Base-17 Temporal System</w:t>
      </w:r>
      <w:r w:rsidDel="00000000" w:rsidR="00000000" w:rsidRPr="00000000">
        <w:rPr>
          <w:rtl w:val="0"/>
        </w:rPr>
        <w:t xml:space="preserve">: Adjusts for temporal drift and multiverse alignment.</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wq3y9y16wkp0" w:id="5"/>
      <w:bookmarkEnd w:id="5"/>
      <w:r w:rsidDel="00000000" w:rsidR="00000000" w:rsidRPr="00000000">
        <w:rPr>
          <w:b w:val="1"/>
          <w:color w:val="000000"/>
          <w:sz w:val="22"/>
          <w:szCs w:val="22"/>
          <w:rtl w:val="0"/>
        </w:rPr>
        <w:t xml:space="preserve">C. XDRONE Vehicles for Pre-Travel Destination Scouting</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UAV/XDRONE vehicles scout wormhole endpoints to ensure safe arrival conditions and verify planetary habitability.</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Materials</w:t>
      </w:r>
      <w:r w:rsidDel="00000000" w:rsidR="00000000" w:rsidRPr="00000000">
        <w:rPr>
          <w:rtl w:val="0"/>
        </w:rPr>
        <w:t xml:space="preserve">:</w:t>
        <w:br w:type="textWrapping"/>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Graphene-coated frames for lightweight durability.</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Thorium-alloy shielding to protect against radiation and quantum interference.</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Autonomous Navigation</w:t>
      </w:r>
      <w:r w:rsidDel="00000000" w:rsidR="00000000" w:rsidRPr="00000000">
        <w:rPr>
          <w:rtl w:val="0"/>
        </w:rPr>
        <w:t xml:space="preserve">: AI-driven systems calculate real-time data for safe scouting.</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Sensors</w:t>
      </w:r>
      <w:r w:rsidDel="00000000" w:rsidR="00000000" w:rsidRPr="00000000">
        <w:rPr>
          <w:rtl w:val="0"/>
        </w:rPr>
        <w:t xml:space="preserve">:</w:t>
      </w:r>
    </w:p>
    <w:p w:rsidR="00000000" w:rsidDel="00000000" w:rsidP="00000000" w:rsidRDefault="00000000" w:rsidRPr="00000000" w14:paraId="0000003C">
      <w:pPr>
        <w:numPr>
          <w:ilvl w:val="2"/>
          <w:numId w:val="5"/>
        </w:numPr>
        <w:spacing w:after="0" w:afterAutospacing="0" w:before="0" w:beforeAutospacing="0" w:lineRule="auto"/>
        <w:ind w:left="2160" w:hanging="360"/>
      </w:pPr>
      <w:r w:rsidDel="00000000" w:rsidR="00000000" w:rsidRPr="00000000">
        <w:rPr>
          <w:rtl w:val="0"/>
        </w:rPr>
        <w:t xml:space="preserve">EMF, RF, and quantum fluctuation detectors for measuring endpoint stability.</w:t>
      </w:r>
    </w:p>
    <w:p w:rsidR="00000000" w:rsidDel="00000000" w:rsidP="00000000" w:rsidRDefault="00000000" w:rsidRPr="00000000" w14:paraId="0000003D">
      <w:pPr>
        <w:numPr>
          <w:ilvl w:val="2"/>
          <w:numId w:val="5"/>
        </w:numPr>
        <w:spacing w:after="240" w:before="0" w:beforeAutospacing="0" w:lineRule="auto"/>
        <w:ind w:left="2160" w:hanging="360"/>
      </w:pPr>
      <w:r w:rsidDel="00000000" w:rsidR="00000000" w:rsidRPr="00000000">
        <w:rPr>
          <w:rtl w:val="0"/>
        </w:rPr>
        <w:t xml:space="preserve">Atmospheric analyzers to verify air composition and pressure.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zbawll9nd0gm" w:id="6"/>
      <w:bookmarkEnd w:id="6"/>
      <w:r w:rsidDel="00000000" w:rsidR="00000000" w:rsidRPr="00000000">
        <w:rPr>
          <w:b w:val="1"/>
          <w:color w:val="000000"/>
          <w:sz w:val="26"/>
          <w:szCs w:val="26"/>
          <w:rtl w:val="0"/>
        </w:rPr>
        <w:t xml:space="preserve">II. Traveler Safety: Protecting the Human Body</w:t>
      </w:r>
    </w:p>
    <w:p w:rsidR="00000000" w:rsidDel="00000000" w:rsidP="00000000" w:rsidRDefault="00000000" w:rsidRPr="00000000" w14:paraId="00000040">
      <w:pPr>
        <w:spacing w:after="240" w:before="240" w:lineRule="auto"/>
        <w:rPr/>
      </w:pPr>
      <w:r w:rsidDel="00000000" w:rsidR="00000000" w:rsidRPr="00000000">
        <w:rPr>
          <w:rtl w:val="0"/>
        </w:rPr>
        <w:t xml:space="preserve">The impact of wormhole travel on the human body is not yet fully understood. While instantaneous or near-instantaneous travel minimizes exposure to adverse effects, precautionary measures are essential for ensuring traveler safety.</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2gpagtkpa11" w:id="7"/>
      <w:bookmarkEnd w:id="7"/>
      <w:r w:rsidDel="00000000" w:rsidR="00000000" w:rsidRPr="00000000">
        <w:rPr>
          <w:b w:val="1"/>
          <w:color w:val="000000"/>
          <w:sz w:val="22"/>
          <w:szCs w:val="22"/>
          <w:rtl w:val="0"/>
        </w:rPr>
        <w:t xml:space="preserve">A. Potential Risks of Wormhole Travel</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Gravitational Shear</w:t>
      </w:r>
      <w:r w:rsidDel="00000000" w:rsidR="00000000" w:rsidRPr="00000000">
        <w:rPr>
          <w:rtl w:val="0"/>
        </w:rPr>
        <w:t xml:space="preserve">:</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Sudden changes in gravitational forces could strain the body.</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Radiation Exposure</w:t>
      </w:r>
      <w:r w:rsidDel="00000000" w:rsidR="00000000" w:rsidRPr="00000000">
        <w:rPr>
          <w:rtl w:val="0"/>
        </w:rPr>
        <w:t xml:space="preserve">:</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High-energy environments near the wormhole throat may emit ionizing radiation.</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Quantum Feedback</w:t>
      </w:r>
      <w:r w:rsidDel="00000000" w:rsidR="00000000" w:rsidRPr="00000000">
        <w:rPr>
          <w:rtl w:val="0"/>
        </w:rPr>
        <w:t xml:space="preserve">:</w:t>
      </w:r>
    </w:p>
    <w:p w:rsidR="00000000" w:rsidDel="00000000" w:rsidP="00000000" w:rsidRDefault="00000000" w:rsidRPr="00000000" w14:paraId="00000047">
      <w:pPr>
        <w:numPr>
          <w:ilvl w:val="1"/>
          <w:numId w:val="7"/>
        </w:numPr>
        <w:spacing w:after="240" w:before="0" w:beforeAutospacing="0" w:lineRule="auto"/>
        <w:ind w:left="1440" w:hanging="360"/>
      </w:pPr>
      <w:r w:rsidDel="00000000" w:rsidR="00000000" w:rsidRPr="00000000">
        <w:rPr>
          <w:rtl w:val="0"/>
        </w:rPr>
        <w:t xml:space="preserve">Unstable quantum fields could disrupt cellular structures.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g1u7ji6su8uz" w:id="8"/>
      <w:bookmarkEnd w:id="8"/>
      <w:r w:rsidDel="00000000" w:rsidR="00000000" w:rsidRPr="00000000">
        <w:rPr>
          <w:b w:val="1"/>
          <w:color w:val="000000"/>
          <w:sz w:val="22"/>
          <w:szCs w:val="22"/>
          <w:rtl w:val="0"/>
        </w:rPr>
        <w:t xml:space="preserve">B. Traveler Protection Measures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Protective Suits</w:t>
      </w:r>
      <w:r w:rsidDel="00000000" w:rsidR="00000000" w:rsidRPr="00000000">
        <w:rPr>
          <w:rtl w:val="0"/>
        </w:rPr>
        <w:t xml:space="preserve">:</w:t>
        <w:br w:type="textWrapping"/>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b w:val="1"/>
          <w:rtl w:val="0"/>
        </w:rPr>
        <w:t xml:space="preserve">Material Composition</w:t>
      </w:r>
      <w:r w:rsidDel="00000000" w:rsidR="00000000" w:rsidRPr="00000000">
        <w:rPr>
          <w:rtl w:val="0"/>
        </w:rPr>
        <w:t xml:space="preserve">:</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rtl w:val="0"/>
        </w:rPr>
        <w:t xml:space="preserve">Outer Layer: Boron carbide for radiation shielding.</w:t>
      </w:r>
    </w:p>
    <w:p w:rsidR="00000000" w:rsidDel="00000000" w:rsidP="00000000" w:rsidRDefault="00000000" w:rsidRPr="00000000" w14:paraId="0000004D">
      <w:pPr>
        <w:numPr>
          <w:ilvl w:val="2"/>
          <w:numId w:val="3"/>
        </w:numPr>
        <w:spacing w:after="0" w:afterAutospacing="0" w:before="0" w:beforeAutospacing="0" w:lineRule="auto"/>
        <w:ind w:left="2160" w:hanging="360"/>
      </w:pPr>
      <w:r w:rsidDel="00000000" w:rsidR="00000000" w:rsidRPr="00000000">
        <w:rPr>
          <w:rtl w:val="0"/>
        </w:rPr>
        <w:t xml:space="preserve">Middle Layer: Graphene composites for flexibility and thermal regulation.</w:t>
      </w:r>
    </w:p>
    <w:p w:rsidR="00000000" w:rsidDel="00000000" w:rsidP="00000000" w:rsidRDefault="00000000" w:rsidRPr="00000000" w14:paraId="0000004E">
      <w:pPr>
        <w:numPr>
          <w:ilvl w:val="2"/>
          <w:numId w:val="3"/>
        </w:numPr>
        <w:spacing w:after="0" w:afterAutospacing="0" w:before="0" w:beforeAutospacing="0" w:lineRule="auto"/>
        <w:ind w:left="2160" w:hanging="360"/>
      </w:pPr>
      <w:r w:rsidDel="00000000" w:rsidR="00000000" w:rsidRPr="00000000">
        <w:rPr>
          <w:rtl w:val="0"/>
        </w:rPr>
        <w:t xml:space="preserve">Inner Layer: Bio-responsive polymers to monitor and stabilize vital signs.</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0">
      <w:pPr>
        <w:numPr>
          <w:ilvl w:val="2"/>
          <w:numId w:val="3"/>
        </w:numPr>
        <w:spacing w:after="0" w:afterAutospacing="0" w:before="0" w:beforeAutospacing="0" w:lineRule="auto"/>
        <w:ind w:left="2160" w:hanging="360"/>
      </w:pPr>
      <w:r w:rsidDel="00000000" w:rsidR="00000000" w:rsidRPr="00000000">
        <w:rPr>
          <w:rtl w:val="0"/>
        </w:rPr>
        <w:t xml:space="preserve">Integrated EMF shielding to block quantum interference.</w:t>
      </w:r>
    </w:p>
    <w:p w:rsidR="00000000" w:rsidDel="00000000" w:rsidP="00000000" w:rsidRDefault="00000000" w:rsidRPr="00000000" w14:paraId="00000051">
      <w:pPr>
        <w:numPr>
          <w:ilvl w:val="2"/>
          <w:numId w:val="3"/>
        </w:numPr>
        <w:spacing w:after="0" w:afterAutospacing="0" w:before="0" w:beforeAutospacing="0" w:lineRule="auto"/>
        <w:ind w:left="2160" w:hanging="360"/>
      </w:pPr>
      <w:r w:rsidDel="00000000" w:rsidR="00000000" w:rsidRPr="00000000">
        <w:rPr>
          <w:rtl w:val="0"/>
        </w:rPr>
        <w:t xml:space="preserve">Oxygen supply systems for use in non-breathable atmospheres.</w:t>
      </w:r>
    </w:p>
    <w:p w:rsidR="00000000" w:rsidDel="00000000" w:rsidP="00000000" w:rsidRDefault="00000000" w:rsidRPr="00000000" w14:paraId="00000052">
      <w:pPr>
        <w:numPr>
          <w:ilvl w:val="2"/>
          <w:numId w:val="3"/>
        </w:numPr>
        <w:spacing w:after="0" w:afterAutospacing="0" w:before="0" w:beforeAutospacing="0" w:lineRule="auto"/>
        <w:ind w:left="2160" w:hanging="360"/>
      </w:pPr>
      <w:r w:rsidDel="00000000" w:rsidR="00000000" w:rsidRPr="00000000">
        <w:rPr>
          <w:rtl w:val="0"/>
        </w:rPr>
        <w:t xml:space="preserve">Sensors to monitor gravitational and radiation exposure.</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Environmental Pods</w:t>
      </w:r>
      <w:r w:rsidDel="00000000" w:rsidR="00000000" w:rsidRPr="00000000">
        <w:rPr>
          <w:rtl w:val="0"/>
        </w:rPr>
        <w:t xml:space="preserve">:</w:t>
        <w:br w:type="textWrapping"/>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Individual pods provide an additional layer of protection during travel:</w:t>
      </w:r>
    </w:p>
    <w:p w:rsidR="00000000" w:rsidDel="00000000" w:rsidP="00000000" w:rsidRDefault="00000000" w:rsidRPr="00000000" w14:paraId="00000055">
      <w:pPr>
        <w:numPr>
          <w:ilvl w:val="2"/>
          <w:numId w:val="3"/>
        </w:numPr>
        <w:spacing w:after="0" w:afterAutospacing="0" w:before="0" w:beforeAutospacing="0" w:lineRule="auto"/>
        <w:ind w:left="2160" w:hanging="360"/>
      </w:pPr>
      <w:r w:rsidDel="00000000" w:rsidR="00000000" w:rsidRPr="00000000">
        <w:rPr>
          <w:b w:val="1"/>
          <w:rtl w:val="0"/>
        </w:rPr>
        <w:t xml:space="preserve">Magnetic Field Isolation</w:t>
      </w:r>
      <w:r w:rsidDel="00000000" w:rsidR="00000000" w:rsidRPr="00000000">
        <w:rPr>
          <w:rtl w:val="0"/>
        </w:rPr>
        <w:t xml:space="preserve">: Pods are insulated within the stargate’s Base-8 electromagnetic fields.</w:t>
      </w:r>
    </w:p>
    <w:p w:rsidR="00000000" w:rsidDel="00000000" w:rsidP="00000000" w:rsidRDefault="00000000" w:rsidRPr="00000000" w14:paraId="00000056">
      <w:pPr>
        <w:numPr>
          <w:ilvl w:val="2"/>
          <w:numId w:val="3"/>
        </w:numPr>
        <w:spacing w:after="240" w:before="0" w:beforeAutospacing="0" w:lineRule="auto"/>
        <w:ind w:left="2160" w:hanging="360"/>
      </w:pPr>
      <w:r w:rsidDel="00000000" w:rsidR="00000000" w:rsidRPr="00000000">
        <w:rPr>
          <w:b w:val="1"/>
          <w:rtl w:val="0"/>
        </w:rPr>
        <w:t xml:space="preserve">Life Support Systems</w:t>
      </w:r>
      <w:r w:rsidDel="00000000" w:rsidR="00000000" w:rsidRPr="00000000">
        <w:rPr>
          <w:rtl w:val="0"/>
        </w:rPr>
        <w:t xml:space="preserve">: Include oxygenation, temperature control, and medical diagnostics.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6vgdvp2e95lp" w:id="9"/>
      <w:bookmarkEnd w:id="9"/>
      <w:r w:rsidDel="00000000" w:rsidR="00000000" w:rsidRPr="00000000">
        <w:rPr>
          <w:b w:val="1"/>
          <w:color w:val="000000"/>
          <w:sz w:val="22"/>
          <w:szCs w:val="22"/>
          <w:rtl w:val="0"/>
        </w:rPr>
        <w:t xml:space="preserve">C. Instantaneous Travel Hypothesis</w:t>
      </w:r>
    </w:p>
    <w:p w:rsidR="00000000" w:rsidDel="00000000" w:rsidP="00000000" w:rsidRDefault="00000000" w:rsidRPr="00000000" w14:paraId="00000059">
      <w:pPr>
        <w:spacing w:after="240" w:before="240" w:lineRule="auto"/>
        <w:rPr/>
      </w:pPr>
      <w:r w:rsidDel="00000000" w:rsidR="00000000" w:rsidRPr="00000000">
        <w:rPr>
          <w:rtl w:val="0"/>
        </w:rPr>
        <w:t xml:space="preserve">For near-instantaneous wormhole travel:</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The short duration may prevent prolonged exposure to harmful forces, reducing the need for extreme protective measures.</w:t>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rtl w:val="0"/>
        </w:rPr>
        <w:t xml:space="preserve">Travelers may still benefit from lightweight graphene-infused suits as a precaution.</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q4towkqky788" w:id="10"/>
      <w:bookmarkEnd w:id="10"/>
      <w:r w:rsidDel="00000000" w:rsidR="00000000" w:rsidRPr="00000000">
        <w:rPr>
          <w:b w:val="1"/>
          <w:color w:val="000000"/>
          <w:sz w:val="26"/>
          <w:szCs w:val="26"/>
          <w:rtl w:val="0"/>
        </w:rPr>
        <w:t xml:space="preserve">III. Collaboration for Construction and Deployment</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za0tzwlwt6q" w:id="11"/>
      <w:bookmarkEnd w:id="11"/>
      <w:r w:rsidDel="00000000" w:rsidR="00000000" w:rsidRPr="00000000">
        <w:rPr>
          <w:b w:val="1"/>
          <w:color w:val="000000"/>
          <w:sz w:val="22"/>
          <w:szCs w:val="22"/>
          <w:rtl w:val="0"/>
        </w:rPr>
        <w:t xml:space="preserve">A. Engineering and Testing</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Key Partners</w:t>
      </w:r>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b w:val="1"/>
          <w:rtl w:val="0"/>
        </w:rPr>
        <w:t xml:space="preserve">SpaceX</w:t>
      </w:r>
      <w:r w:rsidDel="00000000" w:rsidR="00000000" w:rsidRPr="00000000">
        <w:rPr>
          <w:rtl w:val="0"/>
        </w:rPr>
        <w:t xml:space="preserve">: Advanced manufacturing of stargate components and spacecraft.</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NASA JPL</w:t>
      </w:r>
      <w:r w:rsidDel="00000000" w:rsidR="00000000" w:rsidRPr="00000000">
        <w:rPr>
          <w:rtl w:val="0"/>
        </w:rPr>
        <w:t xml:space="preserve">: Development of navigation and propulsion systems.</w:t>
      </w:r>
    </w:p>
    <w:p w:rsidR="00000000" w:rsidDel="00000000" w:rsidP="00000000" w:rsidRDefault="00000000" w:rsidRPr="00000000" w14:paraId="00000062">
      <w:pPr>
        <w:numPr>
          <w:ilvl w:val="1"/>
          <w:numId w:val="4"/>
        </w:numPr>
        <w:spacing w:after="240" w:before="0" w:beforeAutospacing="0" w:lineRule="auto"/>
        <w:ind w:left="1440" w:hanging="360"/>
      </w:pPr>
      <w:r w:rsidDel="00000000" w:rsidR="00000000" w:rsidRPr="00000000">
        <w:rPr>
          <w:b w:val="1"/>
          <w:rtl w:val="0"/>
        </w:rPr>
        <w:t xml:space="preserve">U.S. Space Force</w:t>
      </w:r>
      <w:r w:rsidDel="00000000" w:rsidR="00000000" w:rsidRPr="00000000">
        <w:rPr>
          <w:rtl w:val="0"/>
        </w:rPr>
        <w:t xml:space="preserve">: Oversee security and deployment of stargate systems.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7qrmdnrg7lhd" w:id="12"/>
      <w:bookmarkEnd w:id="12"/>
      <w:r w:rsidDel="00000000" w:rsidR="00000000" w:rsidRPr="00000000">
        <w:rPr>
          <w:b w:val="1"/>
          <w:color w:val="000000"/>
          <w:sz w:val="22"/>
          <w:szCs w:val="22"/>
          <w:rtl w:val="0"/>
        </w:rPr>
        <w:t xml:space="preserve">B. Global Collaboration</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Funding</w:t>
      </w:r>
      <w:r w:rsidDel="00000000" w:rsidR="00000000" w:rsidRPr="00000000">
        <w:rPr>
          <w:rtl w:val="0"/>
        </w:rPr>
        <w:t xml:space="preserve">:</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tl w:val="0"/>
        </w:rPr>
        <w:t xml:space="preserve">Multinational investment led by the United States, with support from Europe, China, and India.</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Shared Resources</w:t>
      </w:r>
      <w:r w:rsidDel="00000000" w:rsidR="00000000" w:rsidRPr="00000000">
        <w:rPr>
          <w:rtl w:val="0"/>
        </w:rPr>
        <w:t xml:space="preserve">:</w:t>
      </w:r>
    </w:p>
    <w:p w:rsidR="00000000" w:rsidDel="00000000" w:rsidP="00000000" w:rsidRDefault="00000000" w:rsidRPr="00000000" w14:paraId="00000067">
      <w:pPr>
        <w:numPr>
          <w:ilvl w:val="1"/>
          <w:numId w:val="6"/>
        </w:numPr>
        <w:spacing w:after="240" w:before="0" w:beforeAutospacing="0" w:lineRule="auto"/>
        <w:ind w:left="1440" w:hanging="360"/>
      </w:pPr>
      <w:r w:rsidDel="00000000" w:rsidR="00000000" w:rsidRPr="00000000">
        <w:rPr>
          <w:rtl w:val="0"/>
        </w:rPr>
        <w:t xml:space="preserve">Joint research initiatives to pool expertise in materials science, theoretical physics, and engineering.</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8kvu5d28gqv6" w:id="13"/>
      <w:bookmarkEnd w:id="13"/>
      <w:r w:rsidDel="00000000" w:rsidR="00000000" w:rsidRPr="00000000">
        <w:rPr>
          <w:b w:val="1"/>
          <w:color w:val="000000"/>
          <w:sz w:val="26"/>
          <w:szCs w:val="26"/>
          <w:rtl w:val="0"/>
        </w:rPr>
        <w:t xml:space="preserve">IV. The Path Forward</w:t>
      </w:r>
    </w:p>
    <w:p w:rsidR="00000000" w:rsidDel="00000000" w:rsidP="00000000" w:rsidRDefault="00000000" w:rsidRPr="00000000" w14:paraId="0000006A">
      <w:pPr>
        <w:spacing w:after="240" w:before="240" w:lineRule="auto"/>
        <w:rPr/>
      </w:pPr>
      <w:r w:rsidDel="00000000" w:rsidR="00000000" w:rsidRPr="00000000">
        <w:rPr>
          <w:rtl w:val="0"/>
        </w:rPr>
        <w:t xml:space="preserve">The construction of the stargate and its supporting technologies represents a monumental leap in human progress. By utilizing advanced materials and integrating safety protocols, humanity can achieve safe and efficient interstellar travel. Through collaboration and innovation, the Stargate Framework will pave the way for exploration, colonization, and the betterment of humankind.</w:t>
      </w:r>
    </w:p>
    <w:p w:rsidR="00000000" w:rsidDel="00000000" w:rsidP="00000000" w:rsidRDefault="00000000" w:rsidRPr="00000000" w14:paraId="0000006B">
      <w:pPr>
        <w:spacing w:after="240" w:before="240" w:lineRule="auto"/>
        <w:rPr/>
      </w:pPr>
      <w:r w:rsidDel="00000000" w:rsidR="00000000" w:rsidRPr="00000000">
        <w:rPr>
          <w:rtl w:val="0"/>
        </w:rPr>
        <w:t xml:space="preserve">https://orcid.org/0009-0000-5077-9751</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