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Medicus Suite — Feature List</w:t>
      </w:r>
    </w:p>
    <w:p>
      <w:r>
        <w:rPr>
          <w:b/>
        </w:rPr>
        <w:t>Version:</w:t>
      </w:r>
      <w:r>
        <w:t xml:space="preserve"> v3.17.2</w:t>
      </w:r>
    </w:p>
    <w:p>
      <w:r>
        <w:rPr>
          <w:b/>
        </w:rPr>
        <w:t>Generated:</w:t>
      </w:r>
      <w:r>
        <w:t xml:space="preserve"> 2026-05-31 (automated)</w:t>
      </w:r>
    </w:p>
    <w:p>
      <w:pPr>
        <w:pStyle w:val="Heading1"/>
      </w:pPr>
      <w:r>
        <w:t>What it is</w:t>
      </w:r>
    </w:p>
    <w:p>
      <w:r>
        <w:t>Medicus Suite is a Chrome side-panel companion for the Medicus electronic</w:t>
      </w:r>
    </w:p>
    <w:p>
      <w:r>
        <w:t>patient record (EPR). It sits alongside the clinical system and surfaces</w:t>
      </w:r>
    </w:p>
    <w:p>
      <w:r>
        <w:t>practice demand, capacity, and activity at a glance, adds clinical-context</w:t>
      </w:r>
    </w:p>
    <w:p>
      <w:r>
        <w:t>overlays on patient records and triage queues, and lets the practice track</w:t>
      </w:r>
    </w:p>
    <w:p>
      <w:r>
        <w:t>referrals and daily submissions — all drawn from API data the clinician is</w:t>
      </w:r>
    </w:p>
    <w:p>
      <w:r>
        <w:t>already authorised to see. It is a passive display and memory aid: it never</w:t>
      </w:r>
    </w:p>
    <w:p>
      <w:r>
        <w:t>writes to the record, never makes clinical decisions, and keeps all data inside</w:t>
      </w:r>
    </w:p>
    <w:p>
      <w:r>
        <w:t>the browser.</w:t>
      </w:r>
    </w:p>
    <w:p>
      <w:pPr>
        <w:pStyle w:val="Heading1"/>
      </w:pPr>
      <w:r>
        <w:t>At a glance</w:t>
      </w:r>
    </w:p>
    <w:p>
      <w:pPr>
        <w:pStyle w:val="ListBullet"/>
      </w:pPr>
      <w:r>
        <w:rPr>
          <w:b/>
        </w:rPr>
        <w:t>6 side-panel modules</w:t>
      </w:r>
      <w:r>
        <w:t xml:space="preserve"> — Slot Counter, Capacity Forecast, Submissions Tracker, Sentinel, Activity Report, Referrals Tracker</w:t>
      </w:r>
    </w:p>
    <w:p>
      <w:pPr>
        <w:pStyle w:val="ListBullet"/>
      </w:pPr>
      <w:r>
        <w:rPr>
          <w:b/>
        </w:rPr>
        <w:t>4 in-page features</w:t>
      </w:r>
      <w:r>
        <w:t xml:space="preserve"> — Triage Lens, Sentinel HUD, Referrals discovery, live Pusher updates</w:t>
      </w:r>
    </w:p>
    <w:p>
      <w:pPr>
        <w:pStyle w:val="ListBullet"/>
      </w:pPr>
      <w:r>
        <w:rPr>
          <w:b/>
        </w:rPr>
        <w:t>7 rule types</w:t>
      </w:r>
      <w:r>
        <w:t xml:space="preserve"> in the alert engine</w:t>
      </w:r>
    </w:p>
    <w:p>
      <w:pPr>
        <w:pStyle w:val="ListBullet"/>
      </w:pPr>
      <w:r>
        <w:rPr>
          <w:b/>
        </w:rPr>
        <w:t>22 bundled starter alerts</w:t>
      </w:r>
      <w:r>
        <w:t xml:space="preserve"> in the library (19 prescribing-safety, 3 clinical-review)</w:t>
      </w:r>
    </w:p>
    <w:p>
      <w:pPr>
        <w:pStyle w:val="Heading1"/>
      </w:pPr>
      <w:r>
        <w:t>Side-panel modules</w:t>
      </w:r>
    </w:p>
    <w:p>
      <w:pPr>
        <w:pStyle w:val="Heading2"/>
      </w:pPr>
      <w:r>
        <w:t>Slot Counter v2.2</w:t>
      </w:r>
    </w:p>
    <w:p>
      <w:r>
        <w:t>Shows available appointment slots by type for any date, direct from the</w:t>
      </w:r>
    </w:p>
    <w:p>
      <w:r>
        <w:t>scheduling API — no need to open the appointment book. Updates live via Pusher</w:t>
      </w:r>
    </w:p>
    <w:p>
      <w:r>
        <w:t>whenever a Medicus tab is open.</w:t>
      </w:r>
    </w:p>
    <w:p>
      <w:pPr>
        <w:pStyle w:val="ListBullet"/>
      </w:pPr>
      <w:r>
        <w:t>Per-type slot counts for any chosen date</w:t>
      </w:r>
    </w:p>
    <w:p>
      <w:pPr>
        <w:pStyle w:val="ListBullet"/>
      </w:pPr>
      <w:r>
        <w:t>Live refresh triggered by scheduling changes</w:t>
      </w:r>
    </w:p>
    <w:p>
      <w:pPr>
        <w:pStyle w:val="ListBullet"/>
      </w:pPr>
      <w:r>
        <w:t>Hide slot types you don't want counted; choices are saved</w:t>
      </w:r>
    </w:p>
    <w:p>
      <w:pPr>
        <w:pStyle w:val="ListBullet"/>
      </w:pPr>
      <w:r>
        <w:t>Configurable per-type alert thresholds with a nav-strip badge</w:t>
      </w:r>
    </w:p>
    <w:p>
      <w:pPr>
        <w:pStyle w:val="Heading2"/>
      </w:pPr>
      <w:r>
        <w:t>Capacity Forecast</w:t>
      </w:r>
    </w:p>
    <w:p>
      <w:r>
        <w:t>Turns the live slot picture into a forward view of capacity against</w:t>
      </w:r>
    </w:p>
    <w:p>
      <w:r>
        <w:t>practice-defined daily targets, so you can see where the week is tight before</w:t>
      </w:r>
    </w:p>
    <w:p>
      <w:r>
        <w:t>it bites.</w:t>
      </w:r>
    </w:p>
    <w:p>
      <w:pPr>
        <w:pStyle w:val="ListBullet"/>
      </w:pPr>
      <w:r>
        <w:t>Reusable named presets — each bundles a set of appointment types and a daily minimum</w:t>
      </w:r>
    </w:p>
    <w:p>
      <w:pPr>
        <w:pStyle w:val="ListBullet"/>
      </w:pPr>
      <w:r>
        <w:t>Colour-coded RAG status per day and per preset</w:t>
      </w:r>
    </w:p>
    <w:p>
      <w:pPr>
        <w:pStyle w:val="ListBullet"/>
      </w:pPr>
      <w:r>
        <w:t>Week and month calendar views; weekend suppression option</w:t>
      </w:r>
    </w:p>
    <w:p>
      <w:pPr>
        <w:pStyle w:val="ListBullet"/>
      </w:pPr>
      <w:r>
        <w:t>Multiple presets for different staff groups or session types</w:t>
      </w:r>
    </w:p>
    <w:p>
      <w:pPr>
        <w:pStyle w:val="Heading2"/>
      </w:pPr>
      <w:r>
        <w:t>Submissions Tracker v1.0</w:t>
      </w:r>
    </w:p>
    <w:p>
      <w:r>
        <w:t>Daily inbound task counts across medical, admin, investigation, and</w:t>
      </w:r>
    </w:p>
    <w:p>
      <w:r>
        <w:t>prescription-request categories.</w:t>
      </w:r>
    </w:p>
    <w:p>
      <w:pPr>
        <w:pStyle w:val="ListBullet"/>
      </w:pPr>
      <w:r>
        <w:t>Today view, custom date range, and same-day-last-week comparison</w:t>
      </w:r>
    </w:p>
    <w:p>
      <w:pPr>
        <w:pStyle w:val="ListBullet"/>
      </w:pPr>
      <w:r>
        <w:t>Stacked bar chart for week-on-week pattern recognition</w:t>
      </w:r>
    </w:p>
    <w:p>
      <w:pPr>
        <w:pStyle w:val="ListBullet"/>
      </w:pPr>
      <w:r>
        <w:t>Optional RAG thresholds (amber / red) per task type; breaches shown as a persistent global strip at the top of the panel</w:t>
      </w:r>
    </w:p>
    <w:p>
      <w:pPr>
        <w:pStyle w:val="Heading2"/>
      </w:pPr>
      <w:r>
        <w:t>Sentinel</w:t>
      </w:r>
    </w:p>
    <w:p>
      <w:r>
        <w:t>Clinical-context display for the open patient record, covering drug monitoring,</w:t>
      </w:r>
    </w:p>
    <w:p>
      <w:r>
        <w:t>QOF 2025/26 indicators, and the practice waiting room. Chips are colour-coded</w:t>
      </w:r>
    </w:p>
    <w:p>
      <w:r>
        <w:t>(red / amber / green / grey) and sorted worst-first; each chip links through to</w:t>
      </w:r>
    </w:p>
    <w:p>
      <w:r>
        <w:t>the exact evidence the engine matched — the medication, test, value, date, and</w:t>
      </w:r>
    </w:p>
    <w:p>
      <w:r>
        <w:t>threshold.</w:t>
      </w:r>
    </w:p>
    <w:p>
      <w:pPr>
        <w:pStyle w:val="ListBullet"/>
      </w:pPr>
      <w:r>
        <w:t>Drug-monitoring recall: shows whether each high-risk medication's monitoring tests are in date, due soon, overdue, or absent</w:t>
      </w:r>
    </w:p>
    <w:p>
      <w:pPr>
        <w:pStyle w:val="ListBullet"/>
      </w:pPr>
      <w:r>
        <w:t>QOF indicator status: checks whether targets are met for the current QOF year against the patient's registers and observations</w:t>
      </w:r>
    </w:p>
    <w:p>
      <w:pPr>
        <w:pStyle w:val="ListBullet"/>
      </w:pPr>
      <w:r>
        <w:t>Register membership: identifies which QOF registers the patient's coded problems place them on</w:t>
      </w:r>
    </w:p>
    <w:p>
      <w:pPr>
        <w:pStyle w:val="ListBullet"/>
      </w:pPr>
      <w:r>
        <w:t>Inline evidence panel: click any chip to see the matched value, date, reference range, and which part of the rule fired</w:t>
      </w:r>
    </w:p>
    <w:p>
      <w:pPr>
        <w:pStyle w:val="ListBullet"/>
      </w:pPr>
      <w:r>
        <w:t>Waiting-room list: patients currently checked in, polled every 30 seconds in real time</w:t>
      </w:r>
    </w:p>
    <w:p>
      <w:pPr>
        <w:pStyle w:val="ListBullet"/>
      </w:pPr>
      <w:r>
        <w:t>Extraction-health warning: if the page layout has drifted and no patient data can be read, shows a prominent warning rather than a misleading empty state</w:t>
      </w:r>
    </w:p>
    <w:p>
      <w:pPr>
        <w:pStyle w:val="ListBullet"/>
      </w:pPr>
      <w:r>
        <w:t>Filter by action-needed vs clear; refresh on demand or automatically on tab navigation</w:t>
      </w:r>
    </w:p>
    <w:p>
      <w:pPr>
        <w:pStyle w:val="Heading2"/>
      </w:pPr>
      <w:r>
        <w:t>Activity Report v1.0</w:t>
      </w:r>
    </w:p>
    <w:p>
      <w:r>
        <w:t>Practice activity data per staff member across a configurable date range.</w:t>
      </w:r>
    </w:p>
    <w:p>
      <w:pPr>
        <w:pStyle w:val="ListBullet"/>
      </w:pPr>
      <w:r>
        <w:t>Period totals and a stacked horizontal bar chart by consultations, prescription requests, medication reviews, document tasks, and investigation results</w:t>
      </w:r>
    </w:p>
    <w:p>
      <w:pPr>
        <w:pStyle w:val="ListBullet"/>
      </w:pPr>
      <w:r>
        <w:t>Configurable date presets (today, this week, custom range)</w:t>
      </w:r>
    </w:p>
    <w:p>
      <w:pPr>
        <w:pStyle w:val="ListBullet"/>
      </w:pPr>
      <w:r>
        <w:t>Auto-refreshes when the configured practice code changes</w:t>
      </w:r>
    </w:p>
    <w:p>
      <w:pPr>
        <w:pStyle w:val="Heading2"/>
      </w:pPr>
      <w:r>
        <w:t>Referrals Tracker v1.0</w:t>
      </w:r>
    </w:p>
    <w:p>
      <w:r>
        <w:t>Referral audit data across a configurable date range, sourced from the</w:t>
      </w:r>
    </w:p>
    <w:p>
      <w:r>
        <w:t>practice's Medicus referrals endpoint.</w:t>
      </w:r>
    </w:p>
    <w:p>
      <w:pPr>
        <w:pStyle w:val="ListBullet"/>
      </w:pPr>
      <w:r>
        <w:t>Total referral count with Routine / Urgent / Two-Week-Wait priority and Completed / Incomplete / Cancelled status breakdowns</w:t>
      </w:r>
    </w:p>
    <w:p>
      <w:pPr>
        <w:pStyle w:val="ListBullet"/>
      </w:pPr>
      <w:r>
        <w:t>Bar charts by referring clinician, specialty, and hospital (top 15 per view)</w:t>
      </w:r>
    </w:p>
    <w:p>
      <w:pPr>
        <w:pStyle w:val="ListBullet"/>
      </w:pPr>
      <w:r>
        <w:t>Referral rate per clinician (referrals ÷ consultations) when activity data is also available</w:t>
      </w:r>
    </w:p>
    <w:p>
      <w:pPr>
        <w:pStyle w:val="ListBullet"/>
      </w:pPr>
      <w:r>
        <w:t>Filter by priority and status chips; staleness warning after 30 minutes</w:t>
      </w:r>
    </w:p>
    <w:p>
      <w:pPr>
        <w:pStyle w:val="Heading1"/>
      </w:pPr>
      <w:r>
        <w:t>In-page features (content scripts)</w:t>
      </w:r>
    </w:p>
    <w:p>
      <w:r>
        <w:t>These run automatically on Medicus pages (*.medicus.health) when the</w:t>
      </w:r>
    </w:p>
    <w:p>
      <w:r>
        <w:t>extension is installed:</w:t>
      </w:r>
    </w:p>
    <w:p>
      <w:r>
        <w:rPr>
          <w:b/>
        </w:rPr>
        <w:t>Triage Lens</w:t>
      </w:r>
      <w:r>
        <w:t xml:space="preserve"> — an overlay on the triage queue and patient records that</w:t>
      </w:r>
    </w:p>
    <w:p>
      <w:r>
        <w:t>applies up to 20 configurable detection rules to incoming patient request text</w:t>
      </w:r>
    </w:p>
    <w:p>
      <w:r>
        <w:t>and surfaces severity chips directly in the task row:</w:t>
      </w:r>
    </w:p>
    <w:p>
      <w:pPr>
        <w:pStyle w:val="ListBullet"/>
      </w:pPr>
      <w:r>
        <w:t>20 built-in rules covering chest pain, red-flag headache, GI bleed, sepsis, mental-health crisis, medication reviews, and more; 620+ detection patterns covering lay, clinical, and abbreviated phrasings</w:t>
      </w:r>
    </w:p>
    <w:p>
      <w:pPr>
        <w:pStyle w:val="ListBullet"/>
      </w:pPr>
      <w:r>
        <w:t>NHS Pharmacy First signposting for all 7 national pathways (UTI, sore throat, otitis media, sinusitis, insect bite, impetigo, shingles): eligibility notes and safety-netting displayed per pathway</w:t>
      </w:r>
    </w:p>
    <w:p>
      <w:pPr>
        <w:pStyle w:val="ListBullet"/>
      </w:pPr>
      <w:r>
        <w:t>STOPP/START-style prescribing-safety flags on individual patient records: NSAID + anticoagulant, triple whammy (NSAID + ACEi/ARB + diuretic), benzodiazepine or Z-drug in patients aged ≥80</w:t>
      </w:r>
    </w:p>
    <w:p>
      <w:pPr>
        <w:pStyle w:val="ListBullet"/>
      </w:pPr>
      <w:r>
        <w:t>Risk-tool signpost chip (adults ≥25) with links to QRISK3, QCancer, and eFI calculators</w:t>
      </w:r>
    </w:p>
    <w:p>
      <w:pPr>
        <w:pStyle w:val="ListBullet"/>
      </w:pPr>
      <w:r>
        <w:t>Configurable match thresholds, rule priorities, and per-rule enable/disable</w:t>
      </w:r>
    </w:p>
    <w:p>
      <w:pPr>
        <w:pStyle w:val="ListBullet"/>
      </w:pPr>
      <w:r>
        <w:t>Draggable HUD overlay; position is remembered per session</w:t>
      </w:r>
    </w:p>
    <w:p>
      <w:r>
        <w:rPr>
          <w:b/>
        </w:rPr>
        <w:t>Sentinel HUD</w:t>
      </w:r>
      <w:r>
        <w:t xml:space="preserve"> — the same drug-monitoring and QOF chip display rendered</w:t>
      </w:r>
    </w:p>
    <w:p>
      <w:r>
        <w:t>directly in the page, alongside the patient record, without opening the side</w:t>
      </w:r>
    </w:p>
    <w:p>
      <w:r>
        <w:t>panel.</w:t>
      </w:r>
    </w:p>
    <w:p>
      <w:r>
        <w:rPr>
          <w:b/>
        </w:rPr>
        <w:t>Referrals discovery</w:t>
      </w:r>
      <w:r>
        <w:t xml:space="preserve"> — listens for referral data loaded during normal</w:t>
      </w:r>
    </w:p>
    <w:p>
      <w:r>
        <w:t>Medicus navigation and forwards it to the Referrals Tracker.</w:t>
      </w:r>
    </w:p>
    <w:p>
      <w:r>
        <w:rPr>
          <w:b/>
        </w:rPr>
        <w:t>Live updates (Pusher relay)</w:t>
      </w:r>
      <w:r>
        <w:t xml:space="preserve"> — intercepts Medicus scheduling events and</w:t>
      </w:r>
    </w:p>
    <w:p>
      <w:r>
        <w:t>forwards them so the Slot Counter and demand strips refresh without a manual</w:t>
      </w:r>
    </w:p>
    <w:p>
      <w:r>
        <w:t>reload.</w:t>
      </w:r>
    </w:p>
    <w:p>
      <w:pPr>
        <w:pStyle w:val="Heading1"/>
      </w:pPr>
      <w:r>
        <w:t>Alert engine</w:t>
      </w:r>
    </w:p>
    <w:p>
      <w:r>
        <w:t>The Sentinel display and the custom-alert builder are both driven by the same</w:t>
      </w:r>
    </w:p>
    <w:p>
      <w:r>
        <w:t>rules engine, which supports seven rule types. Each type can be used standalone</w:t>
      </w:r>
    </w:p>
    <w:p>
      <w:r>
        <w:t>or mixed in a single ruleset:</w:t>
      </w:r>
    </w:p>
    <w:p>
      <w:pPr>
        <w:pStyle w:val="ListBullet"/>
      </w:pPr>
      <w:r>
        <w:rPr>
          <w:b/>
        </w:rPr>
        <w:t>Drug monitoring</w:t>
      </w:r>
      <w:r>
        <w:t xml:space="preserve"> — a medication triggers a recall requirement; the engine checks whether the required test was recorded within the configured interval. Fires as overdue, due soon, severely overdue, recently-initiated (grace period), or no data found.</w:t>
      </w:r>
    </w:p>
    <w:p>
      <w:pPr>
        <w:pStyle w:val="ListBullet"/>
      </w:pPr>
      <w:r>
        <w:rPr>
          <w:b/>
        </w:rPr>
        <w:t>QOF register</w:t>
      </w:r>
      <w:r>
        <w:t xml:space="preserve"> — confirms whether the patient belongs to a QOF register based on their active coded problems. Supports all major QOF 2025/26 registers including Dementia (DEM).</w:t>
      </w:r>
    </w:p>
    <w:p>
      <w:pPr>
        <w:pStyle w:val="ListBullet"/>
      </w:pPr>
      <w:r>
        <w:rPr>
          <w:b/>
        </w:rPr>
        <w:t>QOF indicator</w:t>
      </w:r>
      <w:r>
        <w:t xml:space="preserve"> — checks whether an observation or medication meets the QOF target threshold within the current QOF year or a rolling window, with register-membership preconditions.</w:t>
      </w:r>
    </w:p>
    <w:p>
      <w:pPr>
        <w:pStyle w:val="ListBullet"/>
      </w:pPr>
      <w:r>
        <w:rPr>
          <w:b/>
        </w:rPr>
        <w:t>Drug combo</w:t>
      </w:r>
      <w:r>
        <w:t xml:space="preserve"> — detects combinations of two or more drug classes (optionally gated on age range, sex, or problem list). Used for prescribing-safety patterns such as PINCER, interaction risks, and STOPP/START criteria. Supports exclusion lists (e.g. topical NSAIDs, co-prescribed gastroprotection).</w:t>
      </w:r>
    </w:p>
    <w:p>
      <w:pPr>
        <w:pStyle w:val="ListBullet"/>
      </w:pPr>
      <w:r>
        <w:rPr>
          <w:b/>
        </w:rPr>
        <w:t>Event count</w:t>
      </w:r>
      <w:r>
        <w:t xml:space="preserve"> — counts occurrences of matching observations or coded events within a time window and fires above a configurable threshold (e.g. three or more UTIs in 12 months).</w:t>
      </w:r>
    </w:p>
    <w:p>
      <w:pPr>
        <w:pStyle w:val="ListBullet"/>
      </w:pPr>
      <w:r>
        <w:rPr>
          <w:b/>
        </w:rPr>
        <w:t>Composite</w:t>
      </w:r>
      <w:r>
        <w:t xml:space="preserve"> — combines any number of other rules with AND / OR logic. Each component rule's own evidence remains drillable in the evidence panel.</w:t>
      </w:r>
    </w:p>
    <w:p>
      <w:pPr>
        <w:pStyle w:val="ListBullet"/>
      </w:pPr>
      <w:r>
        <w:rPr>
          <w:b/>
        </w:rPr>
        <w:t>Observation trend</w:t>
      </w:r>
      <w:r>
        <w:t xml:space="preserve"> — evaluates the direction and magnitude of change across a series of observations within a configurable window.</w:t>
      </w:r>
    </w:p>
    <w:p>
      <w:r>
        <w:t xml:space="preserve">The bundled </w:t>
      </w:r>
      <w:r>
        <w:rPr>
          <w:b/>
        </w:rPr>
        <w:t>alert library</w:t>
      </w:r>
      <w:r>
        <w:t xml:space="preserve"> ships 22 starter alerts based on PINCER (BMJ</w:t>
      </w:r>
    </w:p>
    <w:p>
      <w:r>
        <w:t>2012) and standard UK prescribing-safety guidelines, designed as editable</w:t>
      </w:r>
    </w:p>
    <w:p>
      <w:r>
        <w:t>starting points for local review: 19 prescribing-safety alerts (GI bleed risk,</w:t>
      </w:r>
    </w:p>
    <w:p>
      <w:r>
        <w:t>anticoagulation interactions, cardiac and renal drug combinations, NSAIDs in the</w:t>
      </w:r>
    </w:p>
    <w:p>
      <w:r>
        <w:t>elderly, valproate monitoring, and others) and 3 clinical-review alerts.</w:t>
      </w:r>
    </w:p>
    <w:p>
      <w:r>
        <w:t xml:space="preserve">Practices can extend the ruleset with the </w:t>
      </w:r>
      <w:r>
        <w:rPr>
          <w:b/>
        </w:rPr>
        <w:t>Custom Alert Builder</w:t>
      </w:r>
      <w:r>
        <w:t xml:space="preserve"> in Settings,</w:t>
      </w:r>
    </w:p>
    <w:p>
      <w:r>
        <w:t>which provides an engine-backed "would this fire?" live preview across all five</w:t>
      </w:r>
    </w:p>
    <w:p>
      <w:r>
        <w:t>non-composite rule types, driven by an editable mock patient. An Auto-fill</w:t>
      </w:r>
    </w:p>
    <w:p>
      <w:r>
        <w:t>button seeds a firing example from the rule under construction.</w:t>
      </w:r>
    </w:p>
    <w:p>
      <w:pPr>
        <w:pStyle w:val="Heading1"/>
      </w:pPr>
      <w:r>
        <w:t>Settings &amp; customisation</w:t>
      </w:r>
    </w:p>
    <w:p>
      <w:pPr>
        <w:pStyle w:val="ListBullet"/>
      </w:pPr>
      <w:r>
        <w:rPr>
          <w:b/>
        </w:rPr>
        <w:t>Practice Profile</w:t>
      </w:r>
      <w:r>
        <w:t xml:space="preserve"> — shared-folder managed deployment of practice-wide settings (rules, Triage Lens config, thresholds), so the suite admin can push a consistent configuration to all staff</w:t>
      </w:r>
    </w:p>
    <w:p>
      <w:pPr>
        <w:pStyle w:val="ListBullet"/>
      </w:pPr>
      <w:r>
        <w:rPr>
          <w:b/>
        </w:rPr>
        <w:t>Backup / restore</w:t>
      </w:r>
      <w:r>
        <w:t xml:space="preserve"> — a single suite-wide backup envelope or per-module export; covers all storage keys including custom rules, capacity presets, and display preferences</w:t>
      </w:r>
    </w:p>
    <w:p>
      <w:pPr>
        <w:pStyle w:val="ListBullet"/>
      </w:pPr>
      <w:r>
        <w:rPr>
          <w:b/>
        </w:rPr>
        <w:t>Display preferences</w:t>
      </w:r>
      <w:r>
        <w:t xml:space="preserve"> — theme (light / dark / system), density, and a colourblind-friendly palette</w:t>
      </w:r>
    </w:p>
    <w:p>
      <w:pPr>
        <w:pStyle w:val="ListBullet"/>
      </w:pPr>
      <w:r>
        <w:rPr>
          <w:b/>
        </w:rPr>
        <w:t>Custom Alert Builder</w:t>
      </w:r>
      <w:r>
        <w:t xml:space="preserve"> — create and edit Sentinel alerts for all seven rule types with live engine preview and validation</w:t>
      </w:r>
    </w:p>
    <w:p>
      <w:pPr>
        <w:pStyle w:val="ListBullet"/>
      </w:pPr>
      <w:r>
        <w:rPr>
          <w:b/>
        </w:rPr>
        <w:t>Feedback</w:t>
      </w:r>
      <w:r>
        <w:t xml:space="preserve"> — an in-panel feedback and bug-report button (About tab)</w:t>
      </w:r>
    </w:p>
    <w:p>
      <w:pPr>
        <w:pStyle w:val="ListBullet"/>
      </w:pPr>
      <w:r>
        <w:rPr>
          <w:b/>
        </w:rPr>
        <w:t>Clinical Safety</w:t>
      </w:r>
      <w:r>
        <w:t xml:space="preserve"> — an in-app tab linking the full safety case documents</w:t>
      </w:r>
    </w:p>
    <w:p>
      <w:pPr>
        <w:pStyle w:val="Heading1"/>
      </w:pPr>
      <w:r>
        <w:t>Recent additions (last 4 weeks)</w:t>
      </w:r>
    </w:p>
    <w:p>
      <w:pPr>
        <w:pStyle w:val="ListBullet"/>
      </w:pPr>
      <w:r>
        <w:rPr>
          <w:b/>
        </w:rPr>
        <w:t>v3.17.2 (2026-05-30)</w:t>
      </w:r>
      <w:r>
        <w:t xml:space="preserve"> — Sentinel now shows an explicit warning when the extraction canary detects a degraded snapshot; stale previous-patient snapshots are invalidated on navigation (wrong-patient risk fix)</w:t>
      </w:r>
    </w:p>
    <w:p>
      <w:pPr>
        <w:pStyle w:val="ListBullet"/>
      </w:pPr>
      <w:r>
        <w:rPr>
          <w:b/>
        </w:rPr>
        <w:t>v3.17.1 (2026-05-30)</w:t>
      </w:r>
      <w:r>
        <w:t xml:space="preserve"> — Security: web_accessible_resources restricted to *.medicus.health only</w:t>
      </w:r>
    </w:p>
    <w:p>
      <w:pPr>
        <w:pStyle w:val="ListBullet"/>
      </w:pPr>
      <w:r>
        <w:rPr>
          <w:b/>
        </w:rPr>
        <w:t>v3.17.0 (2026-05-30)</w:t>
      </w:r>
      <w:r>
        <w:t xml:space="preserve"> — Silent-failure detection for DOM/API drift; CI now runs the full test suite and defaults drift-check on every push</w:t>
      </w:r>
    </w:p>
    <w:p>
      <w:pPr>
        <w:pStyle w:val="ListBullet"/>
      </w:pPr>
      <w:r>
        <w:rPr>
          <w:b/>
        </w:rPr>
        <w:t>v3.16.0 (2026-05-30)</w:t>
      </w:r>
      <w:r>
        <w:t xml:space="preserve"> — Custom Alert Builder: engine-backed live preview for all five rule types (drug-combo, event-count, qof-indicator, composite, drug-monitoring)</w:t>
      </w:r>
    </w:p>
    <w:p>
      <w:pPr>
        <w:pStyle w:val="ListBullet"/>
      </w:pPr>
      <w:r>
        <w:rPr>
          <w:b/>
        </w:rPr>
        <w:t>v3.14.0 (2026-05-30)</w:t>
      </w:r>
      <w:r>
        <w:t xml:space="preserve"> — STOPP/START prescribing-safety flags and risk-tool signpost chips on patient records</w:t>
      </w:r>
    </w:p>
    <w:p>
      <w:pPr>
        <w:pStyle w:val="ListBullet"/>
      </w:pPr>
      <w:r>
        <w:rPr>
          <w:b/>
        </w:rPr>
        <w:t>v3.13.0 (2026-05-30)</w:t>
      </w:r>
      <w:r>
        <w:t xml:space="preserve"> — NHS Pharmacy First signposting for all 7 clinical pathways added to Triage Lens</w:t>
      </w:r>
    </w:p>
    <w:p>
      <w:pPr>
        <w:pStyle w:val="ListBullet"/>
      </w:pPr>
      <w:r>
        <w:rPr>
          <w:b/>
        </w:rPr>
        <w:t>v3.12.x (2026-05-30)</w:t>
      </w:r>
      <w:r>
        <w:t xml:space="preserve"> — Triage Lens detection expanded 5.8× (106 → 620 patterns); applicability-filter fix (demographic-gated alerts now fail open on unknown demographics)</w:t>
      </w:r>
    </w:p>
    <w:p>
      <w:pPr>
        <w:pStyle w:val="ListBullet"/>
      </w:pPr>
      <w:r>
        <w:rPr>
          <w:b/>
        </w:rPr>
        <w:t>v3.11.x (2026-05-30)</w:t>
      </w:r>
      <w:r>
        <w:t xml:space="preserve"> — Bug fixes: capacity backup data-loss, display-popover listener leak, wrong-patient snapshot guard, submissions NaN display, Triage Lens drag handler lingering after alt-tab</w:t>
      </w:r>
    </w:p>
    <w:p>
      <w:pPr>
        <w:pStyle w:val="Heading1"/>
      </w:pPr>
      <w:r>
        <w:t>Safety posture</w:t>
      </w:r>
    </w:p>
    <w:p>
      <w:r>
        <w:t>Medicus Suite is a passive display tool and memory aid. It does not write to</w:t>
      </w:r>
    </w:p>
    <w:p>
      <w:r>
        <w:t>the patient record, does not order investigations, does not modify QOF claims</w:t>
      </w:r>
    </w:p>
    <w:p>
      <w:r>
        <w:t>data, performs no AI inference, and transmits no patient data outside the</w:t>
      </w:r>
    </w:p>
    <w:p>
      <w:r>
        <w:t>user's browser. It is not a medical device and does not constitute clinical</w:t>
      </w:r>
    </w:p>
    <w:p>
      <w:r>
        <w:t>decision support; all clinical decisions, including verification of any</w:t>
      </w:r>
    </w:p>
    <w:p>
      <w:r>
        <w:t>displayed value against the source record, remain the responsibility of the</w:t>
      </w:r>
    </w:p>
    <w:p>
      <w:r>
        <w:t>clinician. See INTENDED-PURPOSE.md and CLINICAL-SAFETY-NOTICE.md.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