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Medicus Suite — Feature List</w:t>
      </w:r>
    </w:p>
    <w:p>
      <w:r>
        <w:rPr>
          <w:b/>
        </w:rPr>
        <w:t>Version:</w:t>
      </w:r>
      <w:r>
        <w:t xml:space="preserve"> v3.26.4</w:t>
      </w:r>
    </w:p>
    <w:p>
      <w:r>
        <w:rPr>
          <w:b/>
        </w:rPr>
        <w:t>Generated:</w:t>
      </w:r>
      <w:r>
        <w:t xml:space="preserve"> 2026-06-03 (automated)</w:t>
      </w:r>
    </w:p>
    <w:p>
      <w:pPr>
        <w:pStyle w:val="Heading1"/>
      </w:pPr>
      <w:r>
        <w:t>What it is</w:t>
      </w:r>
    </w:p>
    <w:p>
      <w:r>
        <w:t>Medicus Suite is a Chrome side-panel companion for the Medicus electronic</w:t>
      </w:r>
    </w:p>
    <w:p>
      <w:r>
        <w:t>patient record (EPR). It sits alongside the clinical system and surfaces</w:t>
      </w:r>
    </w:p>
    <w:p>
      <w:r>
        <w:t>practice demand, capacity, and activity at a glance, adds clinical-context</w:t>
      </w:r>
    </w:p>
    <w:p>
      <w:r>
        <w:t>overlays on patient records and triage queues, and lets the practice track</w:t>
      </w:r>
    </w:p>
    <w:p>
      <w:r>
        <w:t>referrals and daily submissions — all drawn from API data the clinician is</w:t>
      </w:r>
    </w:p>
    <w:p>
      <w:r>
        <w:t>already authorised to see. It is a passive display and memory aid: it never</w:t>
      </w:r>
    </w:p>
    <w:p>
      <w:r>
        <w:t>writes to the record, never makes clinical decisions, and keeps all data inside</w:t>
      </w:r>
    </w:p>
    <w:p>
      <w:r>
        <w:t>the browser.</w:t>
      </w:r>
    </w:p>
    <w:p>
      <w:pPr>
        <w:pStyle w:val="Heading1"/>
      </w:pPr>
      <w:r>
        <w:t>At a glance</w:t>
      </w:r>
    </w:p>
    <w:p>
      <w:pPr>
        <w:pStyle w:val="ListBullet"/>
      </w:pPr>
      <w:r>
        <w:rPr>
          <w:b/>
        </w:rPr>
        <w:t>8 side-panel modules</w:t>
      </w:r>
      <w:r>
        <w:t xml:space="preserve"> — Slot Counter, Capacity Forecast, Submissions Tracker, Sentinel, Activity Report, Referrals Tracker, BP Trend, ACR Trend</w:t>
      </w:r>
    </w:p>
    <w:p>
      <w:pPr>
        <w:pStyle w:val="ListBullet"/>
      </w:pPr>
      <w:r>
        <w:rPr>
          <w:b/>
        </w:rPr>
        <w:t>4 in-page features</w:t>
      </w:r>
      <w:r>
        <w:t xml:space="preserve"> — Triage Lens, Sentinel engine, Referrals discovery, live Pusher updates</w:t>
      </w:r>
    </w:p>
    <w:p>
      <w:pPr>
        <w:pStyle w:val="ListBullet"/>
      </w:pPr>
      <w:r>
        <w:rPr>
          <w:b/>
        </w:rPr>
        <w:t>7 rule types</w:t>
      </w:r>
      <w:r>
        <w:t xml:space="preserve"> in the alert engine</w:t>
      </w:r>
    </w:p>
    <w:p>
      <w:pPr>
        <w:pStyle w:val="ListBullet"/>
      </w:pPr>
      <w:r>
        <w:rPr>
          <w:b/>
        </w:rPr>
        <w:t>84 bundled rules</w:t>
      </w:r>
      <w:r>
        <w:t xml:space="preserve"> (24 drug-monitoring, 58 QOF registers and indicators, 2 vaccination eligibility) plus </w:t>
      </w:r>
      <w:r>
        <w:rPr>
          <w:b/>
        </w:rPr>
        <w:t>22 opt-in starter alerts</w:t>
      </w:r>
      <w:r>
        <w:t xml:space="preserve"> in the library</w:t>
      </w:r>
    </w:p>
    <w:p>
      <w:pPr>
        <w:pStyle w:val="Heading1"/>
      </w:pPr>
      <w:r>
        <w:t>Side-panel modules</w:t>
      </w:r>
    </w:p>
    <w:p>
      <w:pPr>
        <w:pStyle w:val="Heading2"/>
      </w:pPr>
      <w:r>
        <w:t>Slot Counter v2.2</w:t>
      </w:r>
    </w:p>
    <w:p>
      <w:r>
        <w:t>Shows available appointment slots by type for any date, direct from the</w:t>
      </w:r>
    </w:p>
    <w:p>
      <w:r>
        <w:t>scheduling API — no need to open the appointment book. Updates live via Pusher</w:t>
      </w:r>
    </w:p>
    <w:p>
      <w:r>
        <w:t>whenever a Medicus tab is open.</w:t>
      </w:r>
    </w:p>
    <w:p>
      <w:pPr>
        <w:pStyle w:val="ListBullet"/>
      </w:pPr>
      <w:r>
        <w:t>Per-type slot counts for any chosen date</w:t>
      </w:r>
    </w:p>
    <w:p>
      <w:pPr>
        <w:pStyle w:val="ListBullet"/>
      </w:pPr>
      <w:r>
        <w:t>Live refresh triggered by scheduling changes</w:t>
      </w:r>
    </w:p>
    <w:p>
      <w:pPr>
        <w:pStyle w:val="ListBullet"/>
      </w:pPr>
      <w:r>
        <w:t>Hide slot types you don't want counted; choices are saved</w:t>
      </w:r>
    </w:p>
    <w:p>
      <w:pPr>
        <w:pStyle w:val="ListBullet"/>
      </w:pPr>
      <w:r>
        <w:t>Configurable per-type alert thresholds with a nav-strip badge</w:t>
      </w:r>
    </w:p>
    <w:p>
      <w:pPr>
        <w:pStyle w:val="Heading2"/>
      </w:pPr>
      <w:r>
        <w:t>Capacity Forecast</w:t>
      </w:r>
    </w:p>
    <w:p>
      <w:r>
        <w:t>Turns the live slot picture into a forward view of capacity against</w:t>
      </w:r>
    </w:p>
    <w:p>
      <w:r>
        <w:t>practice-defined daily targets, so you can see where the week is tight before</w:t>
      </w:r>
    </w:p>
    <w:p>
      <w:r>
        <w:t>it bites.</w:t>
      </w:r>
    </w:p>
    <w:p>
      <w:pPr>
        <w:pStyle w:val="ListBullet"/>
      </w:pPr>
      <w:r>
        <w:t>Reusable named presets — each bundles a set of appointment types and a daily minimum</w:t>
      </w:r>
    </w:p>
    <w:p>
      <w:pPr>
        <w:pStyle w:val="ListBullet"/>
      </w:pPr>
      <w:r>
        <w:t>Colour-coded RAG status (Sufficient / Tight / Low / Critical / Closed) per day</w:t>
      </w:r>
    </w:p>
    <w:p>
      <w:pPr>
        <w:pStyle w:val="ListBullet"/>
      </w:pPr>
      <w:r>
        <w:t>Week and month calendar views; optional weekend display</w:t>
      </w:r>
    </w:p>
    <w:p>
      <w:pPr>
        <w:pStyle w:val="ListBullet"/>
      </w:pPr>
      <w:r>
        <w:t>Multiple presets for different staff groups or session types</w:t>
      </w:r>
    </w:p>
    <w:p>
      <w:pPr>
        <w:pStyle w:val="Heading2"/>
      </w:pPr>
      <w:r>
        <w:t>Submissions Tracker v1.0</w:t>
      </w:r>
    </w:p>
    <w:p>
      <w:r>
        <w:t>Daily inbound task counts across medical, admin, investigation, and</w:t>
      </w:r>
    </w:p>
    <w:p>
      <w:r>
        <w:t>prescription-request categories.</w:t>
      </w:r>
    </w:p>
    <w:p>
      <w:pPr>
        <w:pStyle w:val="ListBullet"/>
      </w:pPr>
      <w:r>
        <w:t>Today view, custom date range, and same-day comparison mode</w:t>
      </w:r>
    </w:p>
    <w:p>
      <w:pPr>
        <w:pStyle w:val="ListBullet"/>
      </w:pPr>
      <w:r>
        <w:t>Stacked bar chart for week-on-week pattern recognition</w:t>
      </w:r>
    </w:p>
    <w:p>
      <w:pPr>
        <w:pStyle w:val="ListBullet"/>
      </w:pPr>
      <w:r>
        <w:t>Optional RAG thresholds (amber / red) per task type; breaches shown as a persistent global strip at the top of the panel</w:t>
      </w:r>
    </w:p>
    <w:p>
      <w:pPr>
        <w:pStyle w:val="Heading2"/>
      </w:pPr>
      <w:r>
        <w:t>Sentinel</w:t>
      </w:r>
    </w:p>
    <w:p>
      <w:r>
        <w:t>Clinical-context display for the open patient record, covering drug monitoring,</w:t>
      </w:r>
    </w:p>
    <w:p>
      <w:r>
        <w:t>QOF 2025/26 indicators, vaccination eligibility, and the practice waiting room.</w:t>
      </w:r>
    </w:p>
    <w:p>
      <w:r>
        <w:t>Chips are colour-coded (red / amber / green / grey) and sorted worst-first; each</w:t>
      </w:r>
    </w:p>
    <w:p>
      <w:r>
        <w:t>chip links through to the exact evidence the engine matched — the medication,</w:t>
      </w:r>
    </w:p>
    <w:p>
      <w:r>
        <w:t>test, value, date, and threshold.</w:t>
      </w:r>
    </w:p>
    <w:p>
      <w:pPr>
        <w:pStyle w:val="ListBullet"/>
      </w:pPr>
      <w:r>
        <w:rPr>
          <w:b/>
        </w:rPr>
        <w:t>Drug-monitoring recall</w:t>
      </w:r>
      <w:r>
        <w:t xml:space="preserve"> — shows whether each high-risk medication's monitoring tests are in date, due soon, overdue, or absent; covers 24 drugs including DMARDs, lithium, amiodarone, ADHD stimulants (methylphenidate, lisdexamfetamine, dexamfetamine), atomoxetine, and guanfacine</w:t>
      </w:r>
    </w:p>
    <w:p>
      <w:pPr>
        <w:pStyle w:val="ListBullet"/>
      </w:pPr>
      <w:r>
        <w:rPr>
          <w:b/>
        </w:rPr>
        <w:t>QOF indicator status</w:t>
      </w:r>
      <w:r>
        <w:t xml:space="preserve"> — checks whether targets are met for the current QOF year against the patient's registers and observations across 46 indicators</w:t>
      </w:r>
    </w:p>
    <w:p>
      <w:pPr>
        <w:pStyle w:val="ListBullet"/>
      </w:pPr>
      <w:r>
        <w:rPr>
          <w:b/>
        </w:rPr>
        <w:t>Register membership</w:t>
      </w:r>
      <w:r>
        <w:t xml:space="preserve"> — identifies which of 12 QOF disease registers the patient's coded problems place them on (including Dementia)</w:t>
      </w:r>
    </w:p>
    <w:p>
      <w:pPr>
        <w:pStyle w:val="ListBullet"/>
      </w:pPr>
      <w:r>
        <w:rPr>
          <w:b/>
        </w:rPr>
        <w:t>Vaccination eligibility</w:t>
      </w:r>
      <w:r>
        <w:t xml:space="preserve"> — flu and COVID chips derived from JCVI/UKHSA 2025/26 criteria (age, QOF registers, active problems, medications, and BMI); status DUE / GIVEN / DECLINED per season</w:t>
      </w:r>
    </w:p>
    <w:p>
      <w:pPr>
        <w:pStyle w:val="ListBullet"/>
      </w:pPr>
      <w:r>
        <w:rPr>
          <w:b/>
        </w:rPr>
        <w:t>Trend monitors</w:t>
      </w:r>
      <w:r>
        <w:t xml:space="preserve"> — falling eGFR (NICE NG203, ≥15 mL/min over 3 readings in 24 months), rising HbA1c (diabetics only, ≥10 mmol/mol over 3 readings), rising PSA</w:t>
      </w:r>
    </w:p>
    <w:p>
      <w:pPr>
        <w:pStyle w:val="ListBullet"/>
      </w:pPr>
      <w:r>
        <w:rPr>
          <w:b/>
        </w:rPr>
        <w:t>Observation-safety alerts</w:t>
      </w:r>
      <w:r>
        <w:t xml:space="preserve"> — hyperkalaemia (amber 5.5–5.9 mmol/L; red ≥6.0 mmol/L)</w:t>
      </w:r>
    </w:p>
    <w:p>
      <w:pPr>
        <w:pStyle w:val="ListBullet"/>
      </w:pPr>
      <w:r>
        <w:rPr>
          <w:b/>
        </w:rPr>
        <w:t>Per-rule hide / snooze</w:t>
      </w:r>
      <w:r>
        <w:t xml:space="preserve"> — dismiss any chip permanently or snooze to a future date (vaccine chips snooze to the next season start); managed in Sentinel settings</w:t>
      </w:r>
    </w:p>
    <w:p>
      <w:pPr>
        <w:pStyle w:val="ListBullet"/>
      </w:pPr>
      <w:r>
        <w:rPr>
          <w:b/>
        </w:rPr>
        <w:t>Inline evidence panel</w:t>
      </w:r>
      <w:r>
        <w:t xml:space="preserve"> — click any chip to see matched value, date, reference range, and which part of the rule fired</w:t>
      </w:r>
    </w:p>
    <w:p>
      <w:pPr>
        <w:pStyle w:val="ListBullet"/>
      </w:pPr>
      <w:r>
        <w:rPr>
          <w:b/>
        </w:rPr>
        <w:t>Waiting-room list</w:t>
      </w:r>
      <w:r>
        <w:t xml:space="preserve"> — patients currently checked in, polled every 30 seconds</w:t>
      </w:r>
    </w:p>
    <w:p>
      <w:pPr>
        <w:pStyle w:val="ListBullet"/>
      </w:pPr>
      <w:r>
        <w:rPr>
          <w:b/>
        </w:rPr>
        <w:t>Extraction-health warning</w:t>
      </w:r>
      <w:r>
        <w:t xml:space="preserve"> — if the page layout has drifted and no patient data can be read, shows a prominent warning rather than a misleading empty state</w:t>
      </w:r>
    </w:p>
    <w:p>
      <w:pPr>
        <w:pStyle w:val="ListBullet"/>
      </w:pPr>
      <w:r>
        <w:t>Filter by action-needed vs clear; refresh on demand or automatically on tab navigation</w:t>
      </w:r>
    </w:p>
    <w:p>
      <w:pPr>
        <w:pStyle w:val="Heading2"/>
      </w:pPr>
      <w:r>
        <w:t>Activity Report v1.0</w:t>
      </w:r>
    </w:p>
    <w:p>
      <w:r>
        <w:t>Practice activity data per staff member across a configurable date range.</w:t>
      </w:r>
    </w:p>
    <w:p>
      <w:pPr>
        <w:pStyle w:val="ListBullet"/>
      </w:pPr>
      <w:r>
        <w:t>Period totals and a stacked horizontal bar chart by consultations, prescription requests, medication reviews, document tasks, and investigation results</w:t>
      </w:r>
    </w:p>
    <w:p>
      <w:pPr>
        <w:pStyle w:val="ListBullet"/>
      </w:pPr>
      <w:r>
        <w:t>Configurable date presets (today, this week, custom range)</w:t>
      </w:r>
    </w:p>
    <w:p>
      <w:pPr>
        <w:pStyle w:val="ListBullet"/>
      </w:pPr>
      <w:r>
        <w:t>Auto-refreshes when the configured practice code changes</w:t>
      </w:r>
    </w:p>
    <w:p>
      <w:pPr>
        <w:pStyle w:val="Heading2"/>
      </w:pPr>
      <w:r>
        <w:t>Referrals Tracker v1.0</w:t>
      </w:r>
    </w:p>
    <w:p>
      <w:r>
        <w:t>Referral audit data across a configurable date range, sourced from the</w:t>
      </w:r>
    </w:p>
    <w:p>
      <w:r>
        <w:t>practice's Medicus referrals endpoint.</w:t>
      </w:r>
    </w:p>
    <w:p>
      <w:pPr>
        <w:pStyle w:val="ListBullet"/>
      </w:pPr>
      <w:r>
        <w:t>Total referral count with Routine / Urgent / Two-Week-Wait priority and Completed / Incomplete / Cancelled status breakdowns</w:t>
      </w:r>
    </w:p>
    <w:p>
      <w:pPr>
        <w:pStyle w:val="ListBullet"/>
      </w:pPr>
      <w:r>
        <w:t>Bar charts by referring clinician, specialty, and hospital (top 15 per view)</w:t>
      </w:r>
    </w:p>
    <w:p>
      <w:pPr>
        <w:pStyle w:val="ListBullet"/>
      </w:pPr>
      <w:r>
        <w:t>Referral rate per clinician (referrals ÷ consultations) when activity data is available</w:t>
      </w:r>
    </w:p>
    <w:p>
      <w:pPr>
        <w:pStyle w:val="ListBullet"/>
      </w:pPr>
      <w:r>
        <w:t>Filter by priority and status chips; staleness warning after 30 minutes</w:t>
      </w:r>
    </w:p>
    <w:p>
      <w:pPr>
        <w:pStyle w:val="Heading2"/>
      </w:pPr>
      <w:r>
        <w:t>BP Trend</w:t>
      </w:r>
    </w:p>
    <w:p>
      <w:r>
        <w:t>Blood pressure history for the active patient as a dual-line SVG chart</w:t>
      </w:r>
    </w:p>
    <w:p>
      <w:r>
        <w:t>(systolic and diastolic), with condition-specific target lines.</w:t>
      </w:r>
    </w:p>
    <w:p>
      <w:pPr>
        <w:pStyle w:val="ListBullet"/>
      </w:pPr>
      <w:r>
        <w:t>Target lines auto-set from achieved QOF register chips: 150/90 for hypertension aged ≥80, 130/80 for CKD with high ACR, 140/90 otherwise</w:t>
      </w:r>
    </w:p>
    <w:p>
      <w:pPr>
        <w:pStyle w:val="ListBullet"/>
      </w:pPr>
      <w:r>
        <w:t>AT TARGET / ABOVE TARGET summary pill</w:t>
      </w:r>
    </w:p>
    <w:p>
      <w:pPr>
        <w:pStyle w:val="ListBullet"/>
      </w:pPr>
      <w:r>
        <w:t>Paediatric caveat shown for under-18s (adult thresholds displayed; centile charts needed for accurate paediatric assessment)</w:t>
      </w:r>
    </w:p>
    <w:p>
      <w:pPr>
        <w:pStyle w:val="ListBullet"/>
      </w:pPr>
      <w:r>
        <w:t>Updates each time the Sentinel engine publishes a new snapshot</w:t>
      </w:r>
    </w:p>
    <w:p>
      <w:pPr>
        <w:pStyle w:val="Heading2"/>
      </w:pPr>
      <w:r>
        <w:t>ACR Trend</w:t>
      </w:r>
    </w:p>
    <w:p>
      <w:r>
        <w:t>Albumin:creatinine ratio and eGFR history for the active patient with KDIGO</w:t>
      </w:r>
    </w:p>
    <w:p>
      <w:r>
        <w:t>staging overlays.</w:t>
      </w:r>
    </w:p>
    <w:p>
      <w:pPr>
        <w:pStyle w:val="ListBullet"/>
      </w:pPr>
      <w:r>
        <w:t>ACR history chart with A1 / A2 / A3 threshold band shading; eGFR co-plotted with G-stage colour bands</w:t>
      </w:r>
    </w:p>
    <w:p>
      <w:pPr>
        <w:pStyle w:val="ListBullet"/>
      </w:pPr>
      <w:r>
        <w:t>KDIGO G×A monitoring-frequency cell showing recommended checks per year for the patient's current stage combination</w:t>
      </w:r>
    </w:p>
    <w:p>
      <w:pPr>
        <w:pStyle w:val="ListBullet"/>
      </w:pPr>
      <w:r>
        <w:t>Action banners for ACR ≥70 (consider nephrology referral), ACR doubling, and KDIGO category crossing</w:t>
      </w:r>
    </w:p>
    <w:p>
      <w:pPr>
        <w:pStyle w:val="ListBullet"/>
      </w:pPr>
      <w:r>
        <w:t>Updates each time the Sentinel engine publishes a new snapshot</w:t>
      </w:r>
    </w:p>
    <w:p>
      <w:pPr>
        <w:pStyle w:val="Heading1"/>
      </w:pPr>
      <w:r>
        <w:t>In-page features (content scripts)</w:t>
      </w:r>
    </w:p>
    <w:p>
      <w:r>
        <w:t>These run automatically on Medicus pages (*.medicus.health) when the</w:t>
      </w:r>
    </w:p>
    <w:p>
      <w:r>
        <w:t>extension is installed:</w:t>
      </w:r>
    </w:p>
    <w:p>
      <w:r>
        <w:rPr>
          <w:b/>
        </w:rPr>
        <w:t>Triage Lens</w:t>
      </w:r>
      <w:r>
        <w:t xml:space="preserve"> — an overlay on the triage queue and patient records that</w:t>
      </w:r>
    </w:p>
    <w:p>
      <w:r>
        <w:t>applies configurable detection rules to request text and surfaces severity chips</w:t>
      </w:r>
    </w:p>
    <w:p>
      <w:r>
        <w:t>directly in the task row or patient record view:</w:t>
      </w:r>
    </w:p>
    <w:p>
      <w:pPr>
        <w:pStyle w:val="ListBullet"/>
      </w:pPr>
      <w:r>
        <w:t>20 built-in rules covering chest pain, red-flag headache, GI bleed, sepsis, mental-health crisis, anticoagulants, and more; 620+ detection patterns covering lay, clinical, and abbreviated phrasings</w:t>
      </w:r>
    </w:p>
    <w:p>
      <w:pPr>
        <w:pStyle w:val="ListBullet"/>
      </w:pPr>
      <w:r>
        <w:t>On individual patient records: STOPP/START-style prescribing-safety prompts (NSAID + anticoagulant GI bleed risk; triple whammy AKI risk; benzodiazepine/Z-drug in age ≥80) and an NHS Pharmacy First signpost for all 7 national pathways (UTI, sore throat, otitis media, sinusitis, insect bite, impetigo, shingles)</w:t>
      </w:r>
    </w:p>
    <w:p>
      <w:pPr>
        <w:pStyle w:val="ListBullet"/>
      </w:pPr>
      <w:r>
        <w:t>Risk-tool signpost chip (adults ≥25) with links to QRISK3, QCancer, and eFI calculators</w:t>
      </w:r>
    </w:p>
    <w:p>
      <w:pPr>
        <w:pStyle w:val="ListBullet"/>
      </w:pPr>
      <w:r>
        <w:t>Configurable per-chip enable/disable, match thresholds, and user-defined rules</w:t>
      </w:r>
    </w:p>
    <w:p>
      <w:pPr>
        <w:pStyle w:val="ListBullet"/>
      </w:pPr>
      <w:r>
        <w:t>Draggable HUD overlay; position is remembered per session</w:t>
      </w:r>
    </w:p>
    <w:p>
      <w:r>
        <w:rPr>
          <w:b/>
        </w:rPr>
        <w:t>Sentinel engine</w:t>
      </w:r>
      <w:r>
        <w:t xml:space="preserve"> — the drug-monitoring and QOF evaluation engine running as a</w:t>
      </w:r>
    </w:p>
    <w:p>
      <w:r>
        <w:t>content script on patient-record pages. Evaluates the full merged rule set and</w:t>
      </w:r>
    </w:p>
    <w:p>
      <w:r>
        <w:t>publishes the chip snapshot to the side-panel Sentinel module on each navigation.</w:t>
      </w:r>
    </w:p>
    <w:p>
      <w:r>
        <w:rPr>
          <w:b/>
        </w:rPr>
        <w:t>Referrals discovery</w:t>
      </w:r>
      <w:r>
        <w:t xml:space="preserve"> — detects the practice-specific referrals API endpoint</w:t>
      </w:r>
    </w:p>
    <w:p>
      <w:r>
        <w:t>from the Medicus page and stores it for the Referrals Tracker.</w:t>
      </w:r>
    </w:p>
    <w:p>
      <w:r>
        <w:rPr>
          <w:b/>
        </w:rPr>
        <w:t>Live updates (Pusher relay)</w:t>
      </w:r>
      <w:r>
        <w:t xml:space="preserve"> — intercepts Medicus scheduling events and</w:t>
      </w:r>
    </w:p>
    <w:p>
      <w:r>
        <w:t>forwards them so the Slot Counter and demand strips refresh without a manual</w:t>
      </w:r>
    </w:p>
    <w:p>
      <w:r>
        <w:t>reload.</w:t>
      </w:r>
    </w:p>
    <w:p>
      <w:pPr>
        <w:pStyle w:val="Heading1"/>
      </w:pPr>
      <w:r>
        <w:t>Alert engine</w:t>
      </w:r>
    </w:p>
    <w:p>
      <w:r>
        <w:t>The Sentinel display and the Custom Alert Builder are driven by the same rules</w:t>
      </w:r>
    </w:p>
    <w:p>
      <w:r>
        <w:t>engine, which supports seven rule types:</w:t>
      </w:r>
    </w:p>
    <w:p>
      <w:pPr>
        <w:pStyle w:val="ListBullet"/>
      </w:pPr>
      <w:r>
        <w:rPr>
          <w:b/>
        </w:rPr>
        <w:t>Drug monitoring</w:t>
      </w:r>
      <w:r>
        <w:t xml:space="preserve"> — a prescribed medication triggers a monitoring recall; the engine checks whether each required test was recorded within the configured interval. Fires as overdue, due soon, severely overdue, recently-initiated (grace period), or no data found.</w:t>
      </w:r>
    </w:p>
    <w:p>
      <w:pPr>
        <w:pStyle w:val="ListBullet"/>
      </w:pPr>
      <w:r>
        <w:rPr>
          <w:b/>
        </w:rPr>
        <w:t>QOF register</w:t>
      </w:r>
      <w:r>
        <w:t xml:space="preserve"> — confirms whether the patient belongs to a QOF disease register based on active coded problems, with word-boundary matching and negation handling.</w:t>
      </w:r>
    </w:p>
    <w:p>
      <w:pPr>
        <w:pStyle w:val="ListBullet"/>
      </w:pPr>
      <w:r>
        <w:rPr>
          <w:b/>
        </w:rPr>
        <w:t>QOF indicator</w:t>
      </w:r>
      <w:r>
        <w:t xml:space="preserve"> — checks whether an observation, medication, or care-process bundle meets the QOF target threshold within the current QOF year or a rolling window, with register-membership preconditions and age/sex filters.</w:t>
      </w:r>
    </w:p>
    <w:p>
      <w:pPr>
        <w:pStyle w:val="ListBullet"/>
      </w:pPr>
      <w:r>
        <w:rPr>
          <w:b/>
        </w:rPr>
        <w:t>Drug combo</w:t>
      </w:r>
      <w:r>
        <w:t xml:space="preserve"> — detects two or more drug classes co-prescribed (optionally gated on age, sex, or problem list). Used for PINCER/STOPP-style prescribing-safety combinations. Supports exclusion lists (e.g. topical NSAIDs, co-prescribed gastroprotection).</w:t>
      </w:r>
    </w:p>
    <w:p>
      <w:pPr>
        <w:pStyle w:val="ListBullet"/>
      </w:pPr>
      <w:r>
        <w:rPr>
          <w:b/>
        </w:rPr>
        <w:t>Event count</w:t>
      </w:r>
      <w:r>
        <w:t xml:space="preserve"> — counts occurrences of matching observations or coded events within a time window and fires above a configurable threshold.</w:t>
      </w:r>
    </w:p>
    <w:p>
      <w:pPr>
        <w:pStyle w:val="ListBullet"/>
      </w:pPr>
      <w:r>
        <w:rPr>
          <w:b/>
        </w:rPr>
        <w:t>Composite</w:t>
      </w:r>
      <w:r>
        <w:t xml:space="preserve"> — combines any number of other rules with AND / OR logic; each component rule's own evidence remains drillable.</w:t>
      </w:r>
    </w:p>
    <w:p>
      <w:pPr>
        <w:pStyle w:val="ListBullet"/>
      </w:pPr>
      <w:r>
        <w:rPr>
          <w:b/>
        </w:rPr>
        <w:t>Vaccination eligibility</w:t>
      </w:r>
      <w:r>
        <w:t xml:space="preserve"> — checks whether flu or COVID vaccination is due for the current season based on JCVI/UKHSA eligibility criteria derived from age, register membership, active problems, medications, and observation values.</w:t>
      </w:r>
    </w:p>
    <w:p>
      <w:r>
        <w:t xml:space="preserve">The bundled </w:t>
      </w:r>
      <w:r>
        <w:rPr>
          <w:b/>
        </w:rPr>
        <w:t>alert library</w:t>
      </w:r>
      <w:r>
        <w:t xml:space="preserve"> ships 22 opt-in starter alerts (19 prescribing-safety</w:t>
      </w:r>
    </w:p>
    <w:p>
      <w:r>
        <w:t>based on PINCER and UK guidelines; 3 clinical-review) as editable starting points for</w:t>
      </w:r>
    </w:p>
    <w:p>
      <w:r>
        <w:t>local review.</w:t>
      </w:r>
    </w:p>
    <w:p>
      <w:r>
        <w:t xml:space="preserve">Practices can extend the rule set with the </w:t>
      </w:r>
      <w:r>
        <w:rPr>
          <w:b/>
        </w:rPr>
        <w:t>Custom Alert Builder</w:t>
      </w:r>
      <w:r>
        <w:t xml:space="preserve"> in Sentinel settings,</w:t>
      </w:r>
    </w:p>
    <w:p>
      <w:r>
        <w:t>which provides a form for all five non-vaccine rule types with an engine-backed live</w:t>
      </w:r>
    </w:p>
    <w:p>
      <w:r>
        <w:t>"would this fire?" preview against an editable mock patient and schema validation on save.</w:t>
      </w:r>
    </w:p>
    <w:p>
      <w:pPr>
        <w:pStyle w:val="Heading1"/>
      </w:pPr>
      <w:r>
        <w:t>Settings &amp; customisation</w:t>
      </w:r>
    </w:p>
    <w:p>
      <w:pPr>
        <w:pStyle w:val="ListBullet"/>
      </w:pPr>
      <w:r>
        <w:rPr>
          <w:b/>
        </w:rPr>
        <w:t>Practice Profile</w:t>
      </w:r>
      <w:r>
        <w:t xml:space="preserve"> — stores the practice site ID, enabling the API-based modules without a Medicus page open; supports shared-folder managed deployment for practice-wide configuration push</w:t>
      </w:r>
    </w:p>
    <w:p>
      <w:pPr>
        <w:pStyle w:val="ListBullet"/>
      </w:pPr>
      <w:r>
        <w:rPr>
          <w:b/>
        </w:rPr>
        <w:t>Backup / restore</w:t>
      </w:r>
      <w:r>
        <w:t xml:space="preserve"> — suite-wide envelope or per-module export covering custom rules, capacity presets, display preferences, and hidden-alert state</w:t>
      </w:r>
    </w:p>
    <w:p>
      <w:pPr>
        <w:pStyle w:val="ListBullet"/>
      </w:pPr>
      <w:r>
        <w:rPr>
          <w:b/>
        </w:rPr>
        <w:t>Display preferences</w:t>
      </w:r>
      <w:r>
        <w:t xml:space="preserve"> — light / dark / system theme, text density, and a colourblind-friendly palette</w:t>
      </w:r>
    </w:p>
    <w:p>
      <w:pPr>
        <w:pStyle w:val="ListBullet"/>
      </w:pPr>
      <w:r>
        <w:rPr>
          <w:b/>
        </w:rPr>
        <w:t>Custom Alert Builder</w:t>
      </w:r>
      <w:r>
        <w:t xml:space="preserve"> — create and edit Sentinel alerts for all rule types with live engine preview and validation</w:t>
      </w:r>
    </w:p>
    <w:p>
      <w:pPr>
        <w:pStyle w:val="ListBullet"/>
      </w:pPr>
      <w:r>
        <w:rPr>
          <w:b/>
        </w:rPr>
        <w:t>Sentinel settings</w:t>
      </w:r>
      <w:r>
        <w:t xml:space="preserve"> — alert library (import individually or in bulk), hidden/snoozed alerts management, vaccine rule on/off toggle</w:t>
      </w:r>
    </w:p>
    <w:p>
      <w:pPr>
        <w:pStyle w:val="Heading1"/>
      </w:pPr>
      <w:r>
        <w:t>Recent additions (last 4 weeks)</w:t>
      </w:r>
    </w:p>
    <w:p>
      <w:pPr>
        <w:pStyle w:val="ListBullet"/>
      </w:pPr>
      <w:r>
        <w:rPr>
          <w:b/>
        </w:rPr>
        <w:t>v3.26.3–v3.26.4 (2026-06-02)</w:t>
      </w:r>
      <w:r>
        <w:t xml:space="preserve"> — Per-rule hide and snooze on monitoring chips; vaccine chips snooze to next season start; HRT progestogen-coverage check now detects hysterectomy coded as a past/ended problem</w:t>
      </w:r>
    </w:p>
    <w:p>
      <w:pPr>
        <w:pStyle w:val="ListBullet"/>
      </w:pPr>
      <w:r>
        <w:rPr>
          <w:b/>
        </w:rPr>
        <w:t>v3.26.0–v3.26.2 (2026-06-02)</w:t>
      </w:r>
      <w:r>
        <w:t xml:space="preserve"> — Vaccination eligibility chips added (flu and COVID, JCVI/UKHSA 2025/26); eligibility derived from age, QOF registers, problems, medications, and BMI; status DUE / GIVEN / DECLINED; bug fixes for QOF chips on care-record view and vaccine chip false positive</w:t>
      </w:r>
    </w:p>
    <w:p>
      <w:pPr>
        <w:pStyle w:val="ListBullet"/>
      </w:pPr>
      <w:r>
        <w:rPr>
          <w:b/>
        </w:rPr>
        <w:t>v3.25.0–v3.25.3 (2026-06-02)</w:t>
      </w:r>
      <w:r>
        <w:t xml:space="preserve"> — Two new trend modules: BP Trend (dual-line chart with condition-specific targets) and ACR Trend (KDIGO G×A staging, eGFR co-display, referral action banners)</w:t>
      </w:r>
    </w:p>
    <w:p>
      <w:pPr>
        <w:pStyle w:val="ListBullet"/>
      </w:pPr>
      <w:r>
        <w:rPr>
          <w:b/>
        </w:rPr>
        <w:t>v3.24.0 (2026-06-02)</w:t>
      </w:r>
      <w:r>
        <w:t xml:space="preserve"> — ADHD stimulant monitoring rules (paediatric and adult) added; atomoxetine (6-monthly bloods + annual LFT) and guanfacine (3-monthly BP/HR/weight) monitoring rules added</w:t>
      </w:r>
    </w:p>
    <w:p>
      <w:pPr>
        <w:pStyle w:val="ListBullet"/>
      </w:pPr>
      <w:r>
        <w:rPr>
          <w:b/>
        </w:rPr>
        <w:t>v3.23.0 (2026-06-02)</w:t>
      </w:r>
      <w:r>
        <w:t xml:space="preserve"> — Smoking status due chips across all relevant QOF registers; carbamazepine monitoring rule; new observation-bundle engine support for care-process-set indicators; DM037 (8 diabetes care processes) enabled</w:t>
      </w:r>
    </w:p>
    <w:p>
      <w:pPr>
        <w:pStyle w:val="ListBullet"/>
      </w:pPr>
      <w:r>
        <w:rPr>
          <w:b/>
        </w:rPr>
        <w:t>v3.22.0 (2026-06-01)</w:t>
      </w:r>
      <w:r>
        <w:t xml:space="preserve"> — Custom Alert Builder brought to full parity with the engine: medicationExclude, requiresProblem/requiresAnyProblem, ageRange, sex, and per-test SNOMED codes now reachable from the form</w:t>
      </w:r>
    </w:p>
    <w:p>
      <w:pPr>
        <w:pStyle w:val="ListBullet"/>
      </w:pPr>
      <w:r>
        <w:rPr>
          <w:b/>
        </w:rPr>
        <w:t>v3.21.0–v3.21.3 (2026-06-01)</w:t>
      </w:r>
      <w:r>
        <w:t xml:space="preserve"> — Journal-coded QOF indicators now fire in the side panel; backup/restore coverage completed (display preferences, sentinel acknowledgements, per-module export cards); clinical-correctness fixes for QOF age/sex filters, STIA register TIA abbreviation matching, and HRT chip over-trigger on contraceptive progestogen</w:t>
      </w:r>
    </w:p>
    <w:p>
      <w:pPr>
        <w:pStyle w:val="ListBullet"/>
      </w:pPr>
      <w:r>
        <w:rPr>
          <w:b/>
        </w:rPr>
        <w:t>v3.18.0–v3.20.0 (2026-05-31)</w:t>
      </w:r>
      <w:r>
        <w:t xml:space="preserve"> — Falling eGFR trend monitor (NICE NG203) and hyperkalaemia safety alert added as defaults; new observation-alert rule type; rising HbA1c trend monitor for diabetics; toolbar icon reliability fixed across Chrome service-worker edge cases</w:t>
      </w:r>
    </w:p>
    <w:p>
      <w:pPr>
        <w:pStyle w:val="Heading1"/>
      </w:pPr>
      <w:r>
        <w:t>Safety posture</w:t>
      </w:r>
    </w:p>
    <w:p>
      <w:r>
        <w:t>Medicus Suite is a passive display tool and memory aid. It does not write to</w:t>
      </w:r>
    </w:p>
    <w:p>
      <w:r>
        <w:t>the patient record, does not order investigations, does not modify QOF claims</w:t>
      </w:r>
    </w:p>
    <w:p>
      <w:r>
        <w:t>data, performs no AI inference, and transmits no patient data outside the</w:t>
      </w:r>
    </w:p>
    <w:p>
      <w:r>
        <w:t>user's browser. All chip outputs are deterministic rule evaluations against data</w:t>
      </w:r>
    </w:p>
    <w:p>
      <w:r>
        <w:t>the clinician already holds. It is not a medical device and does not constitute</w:t>
      </w:r>
    </w:p>
    <w:p>
      <w:r>
        <w:t>clinical decision support; all clinical decisions, including verification of any</w:t>
      </w:r>
    </w:p>
    <w:p>
      <w:r>
        <w:t>displayed value against the source record, remain the responsibility of the</w:t>
      </w:r>
    </w:p>
    <w:p>
      <w:r>
        <w:t>clinician. See INTENDED-PURPOSE.md and CLINICAL-SAFETY-NOTICE.md.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