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FCDD" w14:textId="059398A7" w:rsidR="00ED1B88" w:rsidRDefault="00000000">
      <w:pPr>
        <w:pStyle w:val="Heading1"/>
      </w:pPr>
      <w:r>
        <w:t>Executive Summary: Threading-Based Prediction of ENSO</w:t>
      </w:r>
      <w:r w:rsidR="00C909B6">
        <w:t xml:space="preserve">, </w:t>
      </w:r>
      <w:r>
        <w:t>PDO</w:t>
      </w:r>
      <w:r w:rsidR="00C909B6">
        <w:t xml:space="preserve"> and AMO</w:t>
      </w:r>
      <w:r>
        <w:t xml:space="preserve"> Oscillations</w:t>
      </w:r>
    </w:p>
    <w:p w14:paraId="19905346" w14:textId="78E5F0FE" w:rsidR="00ED1B88" w:rsidRDefault="00000000">
      <w:r>
        <w:t>This document summarizes exploratory work applying a mathematical framework, referred to as 'threading,' to large-scale climate oscillations including the El Niño–Southern Oscillation (ENSO) and Pacific Decadal Oscillation (PDO)</w:t>
      </w:r>
      <w:r w:rsidR="00C909B6">
        <w:t xml:space="preserve"> and AMO</w:t>
      </w:r>
      <w:r>
        <w:t>. The framework is based on harmonic resonance and geometric scaling relationships, with prior applications to planetary and astrophysical structures. The purpose of this document is to provide atmospheric scientists with a concise overview of results, caveats, and potential implications.</w:t>
      </w:r>
    </w:p>
    <w:p w14:paraId="50D7659E" w14:textId="77777777" w:rsidR="00ED1B88" w:rsidRDefault="00000000">
      <w:pPr>
        <w:pStyle w:val="Heading2"/>
      </w:pPr>
      <w:r>
        <w:t>Core Framework</w:t>
      </w:r>
    </w:p>
    <w:p w14:paraId="72623949" w14:textId="77777777" w:rsidR="00ED1B88" w:rsidRDefault="00000000">
      <w:r>
        <w:t>Fundamental Equations:</w:t>
      </w:r>
    </w:p>
    <w:p w14:paraId="3D3C8C06" w14:textId="77777777" w:rsidR="00ED1B88" w:rsidRDefault="00000000">
      <w:r>
        <w:t>λ = k × M^(-1/3)     [Universal mass scaling]</w:t>
      </w:r>
    </w:p>
    <w:p w14:paraId="56D4883D" w14:textId="77777777" w:rsidR="00ED1B88" w:rsidRDefault="00000000">
      <w:r>
        <w:t>r_m = m × λ          [Harmonic resonance, m=integer]</w:t>
      </w:r>
    </w:p>
    <w:p w14:paraId="327B5FA2" w14:textId="77777777" w:rsidR="00ED1B88" w:rsidRDefault="00000000">
      <w:r>
        <w:t>λ_geometric = 2πa cos φ / n   [Polar mode geometry]</w:t>
      </w:r>
    </w:p>
    <w:p w14:paraId="42108AAA" w14:textId="77777777" w:rsidR="00ED1B88" w:rsidRDefault="00000000">
      <w:r>
        <w:t>U_eff = -GM/r + A cos(2πr/λ) e^(-r/r₀) / r^p</w:t>
      </w:r>
      <w:proofErr w:type="gramStart"/>
      <w:r>
        <w:t xml:space="preserve">   [</w:t>
      </w:r>
      <w:proofErr w:type="gramEnd"/>
      <w:r>
        <w:t>Effective potential]</w:t>
      </w:r>
    </w:p>
    <w:p w14:paraId="3B235486" w14:textId="7282A28D" w:rsidR="004B42F8" w:rsidRDefault="004B42F8" w:rsidP="004B42F8">
      <w:pPr>
        <w:pStyle w:val="Heading2"/>
      </w:pPr>
      <w:r>
        <w:t>Data</w:t>
      </w:r>
    </w:p>
    <w:p w14:paraId="5CA84309" w14:textId="77777777" w:rsidR="004B42F8" w:rsidRPr="00B15F3B" w:rsidRDefault="004B42F8" w:rsidP="004B42F8">
      <w:pPr>
        <w:numPr>
          <w:ilvl w:val="0"/>
          <w:numId w:val="11"/>
        </w:numPr>
        <w:spacing w:after="160" w:line="278" w:lineRule="auto"/>
      </w:pPr>
      <w:r w:rsidRPr="00B15F3B">
        <w:rPr>
          <w:b/>
          <w:bCs/>
        </w:rPr>
        <w:t>ENSO:</w:t>
      </w:r>
      <w:r w:rsidRPr="00B15F3B">
        <w:t xml:space="preserve"> Niño3.4 monthly anomalies (1870–2025)</w:t>
      </w:r>
    </w:p>
    <w:p w14:paraId="3E20A515" w14:textId="77777777" w:rsidR="004B42F8" w:rsidRPr="00B15F3B" w:rsidRDefault="004B42F8" w:rsidP="004B42F8">
      <w:pPr>
        <w:numPr>
          <w:ilvl w:val="0"/>
          <w:numId w:val="11"/>
        </w:numPr>
        <w:spacing w:after="160" w:line="278" w:lineRule="auto"/>
      </w:pPr>
      <w:r w:rsidRPr="00B15F3B">
        <w:rPr>
          <w:b/>
          <w:bCs/>
        </w:rPr>
        <w:t>PDO:</w:t>
      </w:r>
      <w:r w:rsidRPr="00B15F3B">
        <w:t xml:space="preserve"> Pacific Decadal Oscillation index (1900–2025)</w:t>
      </w:r>
    </w:p>
    <w:p w14:paraId="0569F74A" w14:textId="77777777" w:rsidR="004B42F8" w:rsidRPr="00B15F3B" w:rsidRDefault="004B42F8" w:rsidP="004B42F8">
      <w:pPr>
        <w:numPr>
          <w:ilvl w:val="0"/>
          <w:numId w:val="11"/>
        </w:numPr>
        <w:spacing w:after="160" w:line="278" w:lineRule="auto"/>
      </w:pPr>
      <w:r w:rsidRPr="00B15F3B">
        <w:rPr>
          <w:b/>
          <w:bCs/>
        </w:rPr>
        <w:t>AMO:</w:t>
      </w:r>
      <w:r w:rsidRPr="00B15F3B">
        <w:t xml:space="preserve"> North Atlantic SST anomaly, unsmoothed annual mean (1856–2023)</w:t>
      </w:r>
    </w:p>
    <w:p w14:paraId="0A543CAC" w14:textId="77777777" w:rsidR="004B42F8" w:rsidRDefault="004B42F8"/>
    <w:p w14:paraId="0FA47A2C" w14:textId="77777777" w:rsidR="00ED1B88" w:rsidRDefault="00000000">
      <w:pPr>
        <w:pStyle w:val="Heading2"/>
      </w:pPr>
      <w:r>
        <w:t>ENSO Results</w:t>
      </w:r>
    </w:p>
    <w:p w14:paraId="33EF985E" w14:textId="77777777" w:rsidR="00ED1B88" w:rsidRDefault="00000000">
      <w:r>
        <w:t>Predicted threading periods (years): 16.2, 8.1, 4.0, 1.6, 0.8, 0.4</w:t>
      </w:r>
      <w:r>
        <w:br/>
        <w:t>Observed PSD peaks (years): 10.7, 7.1, 3.6, 1.5, 1.1, 0.56</w:t>
      </w:r>
      <w:r>
        <w:br/>
        <w:t>Alignment: Strong matches at ~8 yr, ~4 yr, ~1.6 yr, ~0.5 yr; decadal band near 10–11 yr.</w:t>
      </w:r>
    </w:p>
    <w:p w14:paraId="09B51256" w14:textId="77777777" w:rsidR="00ED1B88" w:rsidRDefault="00000000">
      <w:r>
        <w:t>Wavelet analysis (1870–2025): Main peaks at 11.3 yr and 5.3 yr. Deviations from threading predictions were significant (average error &gt;100%). Indicates transient ENSO behavior is not captured by this framework.</w:t>
      </w:r>
    </w:p>
    <w:p w14:paraId="028D2BF6" w14:textId="77777777" w:rsidR="00ED1B88" w:rsidRDefault="00000000">
      <w:pPr>
        <w:pStyle w:val="Heading2"/>
      </w:pPr>
      <w:r>
        <w:t>PDO Results</w:t>
      </w:r>
    </w:p>
    <w:p w14:paraId="7CDC311D" w14:textId="77777777" w:rsidR="00ED1B88" w:rsidRDefault="00000000">
      <w:r>
        <w:t>Predicted threading periods (years): 16.2, 8.1, 4.0, 1.6, 0.8, 0.4</w:t>
      </w:r>
      <w:r>
        <w:br/>
        <w:t>Observed PSD peaks (years): 16.22, 8.11, 4.05</w:t>
      </w:r>
      <w:r>
        <w:br/>
        <w:t>Alignment: Excellent agreement (&lt;0.2% error) at decadal and multi-year bands.</w:t>
      </w:r>
    </w:p>
    <w:p w14:paraId="0E93F9D7" w14:textId="4A855704" w:rsidR="00C909B6" w:rsidRDefault="00C909B6" w:rsidP="00C909B6">
      <w:pPr>
        <w:pStyle w:val="Heading2"/>
      </w:pPr>
      <w:r>
        <w:lastRenderedPageBreak/>
        <w:t>Results</w:t>
      </w:r>
    </w:p>
    <w:p w14:paraId="46ABC617" w14:textId="77777777" w:rsidR="00C909B6" w:rsidRPr="00B15F3B" w:rsidRDefault="00C909B6" w:rsidP="00C909B6">
      <w:pPr>
        <w:numPr>
          <w:ilvl w:val="0"/>
          <w:numId w:val="10"/>
        </w:numPr>
        <w:spacing w:after="160" w:line="278" w:lineRule="auto"/>
      </w:pPr>
      <w:r w:rsidRPr="00B15F3B">
        <w:t>ENSO and PDO: minor but detectable threading harmonic influence.</w:t>
      </w:r>
    </w:p>
    <w:p w14:paraId="46DB455C" w14:textId="77777777" w:rsidR="00C909B6" w:rsidRPr="00B15F3B" w:rsidRDefault="00C909B6" w:rsidP="00C909B6">
      <w:pPr>
        <w:numPr>
          <w:ilvl w:val="0"/>
          <w:numId w:val="10"/>
        </w:numPr>
        <w:spacing w:after="160" w:line="278" w:lineRule="auto"/>
      </w:pPr>
      <w:r w:rsidRPr="00B15F3B">
        <w:t>AMO: stronger contribution from 16/8/4</w:t>
      </w:r>
      <w:r w:rsidRPr="00B15F3B">
        <w:rPr>
          <w:rFonts w:ascii="Arial" w:hAnsi="Arial" w:cs="Arial"/>
        </w:rPr>
        <w:t> </w:t>
      </w:r>
      <w:r w:rsidRPr="00B15F3B">
        <w:t>yr bands relative to raw variance.</w:t>
      </w:r>
    </w:p>
    <w:p w14:paraId="6500AE90" w14:textId="77777777" w:rsidR="00C909B6" w:rsidRPr="00B15F3B" w:rsidRDefault="00C909B6" w:rsidP="00C909B6">
      <w:pPr>
        <w:numPr>
          <w:ilvl w:val="0"/>
          <w:numId w:val="10"/>
        </w:numPr>
        <w:spacing w:after="160" w:line="278" w:lineRule="auto"/>
      </w:pPr>
      <w:r w:rsidRPr="00B15F3B">
        <w:t>Stepwise changes align with known regime shifts.</w:t>
      </w:r>
    </w:p>
    <w:p w14:paraId="6635C9D7" w14:textId="77777777" w:rsidR="00C909B6" w:rsidRPr="00B15F3B" w:rsidRDefault="00C909B6" w:rsidP="00C909B6">
      <w:pPr>
        <w:numPr>
          <w:ilvl w:val="0"/>
          <w:numId w:val="10"/>
        </w:numPr>
        <w:spacing w:after="160" w:line="278" w:lineRule="auto"/>
      </w:pPr>
      <w:r w:rsidRPr="00B15F3B">
        <w:t xml:space="preserve">Predictive potential exists but is </w:t>
      </w:r>
      <w:r w:rsidRPr="00B15F3B">
        <w:rPr>
          <w:b/>
          <w:bCs/>
        </w:rPr>
        <w:t>limited</w:t>
      </w:r>
      <w:r w:rsidRPr="00B15F3B">
        <w:t>; harmonics explain only part of the variability.</w:t>
      </w:r>
    </w:p>
    <w:p w14:paraId="780CAA70" w14:textId="77777777" w:rsidR="00C909B6" w:rsidRPr="00B15F3B" w:rsidRDefault="00C909B6" w:rsidP="00C909B6">
      <w:pPr>
        <w:pStyle w:val="Heading2"/>
      </w:pPr>
      <w:r w:rsidRPr="00C909B6">
        <w:t>Table 1: Threading Harmonic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573"/>
        <w:gridCol w:w="2413"/>
        <w:gridCol w:w="3005"/>
      </w:tblGrid>
      <w:tr w:rsidR="00C909B6" w:rsidRPr="00B15F3B" w14:paraId="36879A66" w14:textId="77777777" w:rsidTr="00514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3898B" w14:textId="77777777" w:rsidR="00C909B6" w:rsidRPr="00B15F3B" w:rsidRDefault="00C909B6" w:rsidP="00514472">
            <w:pPr>
              <w:spacing w:after="160" w:line="278" w:lineRule="auto"/>
              <w:rPr>
                <w:b/>
                <w:bCs/>
              </w:rPr>
            </w:pPr>
            <w:r w:rsidRPr="00B15F3B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51F060E7" w14:textId="77777777" w:rsidR="00C909B6" w:rsidRPr="00B15F3B" w:rsidRDefault="00C909B6" w:rsidP="00514472">
            <w:pPr>
              <w:spacing w:after="160" w:line="278" w:lineRule="auto"/>
              <w:rPr>
                <w:b/>
                <w:bCs/>
              </w:rPr>
            </w:pPr>
            <w:r w:rsidRPr="00B15F3B">
              <w:rPr>
                <w:b/>
                <w:bCs/>
              </w:rPr>
              <w:t>Dominant Peaks</w:t>
            </w:r>
          </w:p>
        </w:tc>
        <w:tc>
          <w:tcPr>
            <w:tcW w:w="0" w:type="auto"/>
            <w:vAlign w:val="center"/>
            <w:hideMark/>
          </w:tcPr>
          <w:p w14:paraId="0DC25BBB" w14:textId="77777777" w:rsidR="00C909B6" w:rsidRPr="00B15F3B" w:rsidRDefault="00C909B6" w:rsidP="00514472">
            <w:pPr>
              <w:spacing w:after="160" w:line="278" w:lineRule="auto"/>
              <w:rPr>
                <w:b/>
                <w:bCs/>
              </w:rPr>
            </w:pPr>
            <w:r w:rsidRPr="00B15F3B">
              <w:rPr>
                <w:b/>
                <w:bCs/>
              </w:rPr>
              <w:t>16/8/4</w:t>
            </w:r>
            <w:r w:rsidRPr="00B15F3B">
              <w:rPr>
                <w:rFonts w:ascii="Arial" w:hAnsi="Arial" w:cs="Arial"/>
                <w:b/>
                <w:bCs/>
              </w:rPr>
              <w:t> </w:t>
            </w:r>
            <w:r w:rsidRPr="00B15F3B">
              <w:rPr>
                <w:b/>
                <w:bCs/>
              </w:rPr>
              <w:t>yr Harmonics Correlation</w:t>
            </w:r>
          </w:p>
        </w:tc>
        <w:tc>
          <w:tcPr>
            <w:tcW w:w="0" w:type="auto"/>
            <w:vAlign w:val="center"/>
            <w:hideMark/>
          </w:tcPr>
          <w:p w14:paraId="7445D84B" w14:textId="77777777" w:rsidR="00C909B6" w:rsidRPr="00B15F3B" w:rsidRDefault="00C909B6" w:rsidP="00514472">
            <w:pPr>
              <w:spacing w:after="160" w:line="278" w:lineRule="auto"/>
              <w:rPr>
                <w:b/>
                <w:bCs/>
              </w:rPr>
            </w:pPr>
            <w:r w:rsidRPr="00B15F3B">
              <w:rPr>
                <w:b/>
                <w:bCs/>
              </w:rPr>
              <w:t>Step Detection Highlights</w:t>
            </w:r>
          </w:p>
        </w:tc>
      </w:tr>
      <w:tr w:rsidR="00C909B6" w:rsidRPr="00B15F3B" w14:paraId="7E7999D9" w14:textId="77777777" w:rsidTr="00514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1D4A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ENSO</w:t>
            </w:r>
          </w:p>
        </w:tc>
        <w:tc>
          <w:tcPr>
            <w:tcW w:w="0" w:type="auto"/>
            <w:vAlign w:val="center"/>
            <w:hideMark/>
          </w:tcPr>
          <w:p w14:paraId="75DF5860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10–11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yr, 7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yr, 3.6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yr, 1.5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yr, 0.5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</w:t>
            </w:r>
          </w:p>
        </w:tc>
        <w:tc>
          <w:tcPr>
            <w:tcW w:w="0" w:type="auto"/>
            <w:vAlign w:val="center"/>
            <w:hideMark/>
          </w:tcPr>
          <w:p w14:paraId="144E596F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0.15</w:t>
            </w:r>
          </w:p>
        </w:tc>
        <w:tc>
          <w:tcPr>
            <w:tcW w:w="0" w:type="auto"/>
            <w:vAlign w:val="center"/>
            <w:hideMark/>
          </w:tcPr>
          <w:p w14:paraId="1CC9A2DC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1950, 1972, 1982, 1997, 2023 (~0.2–0.3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rPr>
                <w:rFonts w:ascii="Aptos" w:hAnsi="Aptos" w:cs="Aptos"/>
              </w:rPr>
              <w:t>°</w:t>
            </w:r>
            <w:r w:rsidRPr="00B15F3B">
              <w:t>C)</w:t>
            </w:r>
          </w:p>
        </w:tc>
      </w:tr>
      <w:tr w:rsidR="00C909B6" w:rsidRPr="00B15F3B" w14:paraId="7B86C5E9" w14:textId="77777777" w:rsidTr="00514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286C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PDO</w:t>
            </w:r>
          </w:p>
        </w:tc>
        <w:tc>
          <w:tcPr>
            <w:tcW w:w="0" w:type="auto"/>
            <w:vAlign w:val="center"/>
            <w:hideMark/>
          </w:tcPr>
          <w:p w14:paraId="78EB842F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16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yr, 8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yr, 4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 bands visible but weaker</w:t>
            </w:r>
          </w:p>
        </w:tc>
        <w:tc>
          <w:tcPr>
            <w:tcW w:w="0" w:type="auto"/>
            <w:vAlign w:val="center"/>
            <w:hideMark/>
          </w:tcPr>
          <w:p w14:paraId="7E3AEDD1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0.10–0.28</w:t>
            </w:r>
          </w:p>
        </w:tc>
        <w:tc>
          <w:tcPr>
            <w:tcW w:w="0" w:type="auto"/>
            <w:vAlign w:val="center"/>
            <w:hideMark/>
          </w:tcPr>
          <w:p w14:paraId="35C256C0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1977, 1999, 2023</w:t>
            </w:r>
          </w:p>
        </w:tc>
      </w:tr>
      <w:tr w:rsidR="00C909B6" w:rsidRPr="00B15F3B" w14:paraId="4E3871A8" w14:textId="77777777" w:rsidTr="005144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6464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AMO</w:t>
            </w:r>
          </w:p>
        </w:tc>
        <w:tc>
          <w:tcPr>
            <w:tcW w:w="0" w:type="auto"/>
            <w:vAlign w:val="center"/>
            <w:hideMark/>
          </w:tcPr>
          <w:p w14:paraId="0C0F4E23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32–64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yr; short 16/8/4</w:t>
            </w:r>
            <w:r w:rsidRPr="00B15F3B">
              <w:rPr>
                <w:rFonts w:ascii="Arial" w:hAnsi="Arial" w:cs="Arial"/>
              </w:rPr>
              <w:t> </w:t>
            </w:r>
            <w:r w:rsidRPr="00B15F3B">
              <w:t>yr detectable</w:t>
            </w:r>
          </w:p>
        </w:tc>
        <w:tc>
          <w:tcPr>
            <w:tcW w:w="0" w:type="auto"/>
            <w:vAlign w:val="center"/>
            <w:hideMark/>
          </w:tcPr>
          <w:p w14:paraId="4235474B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0.48</w:t>
            </w:r>
          </w:p>
        </w:tc>
        <w:tc>
          <w:tcPr>
            <w:tcW w:w="0" w:type="auto"/>
            <w:vAlign w:val="center"/>
            <w:hideMark/>
          </w:tcPr>
          <w:p w14:paraId="10FCD307" w14:textId="77777777" w:rsidR="00C909B6" w:rsidRPr="00B15F3B" w:rsidRDefault="00C909B6" w:rsidP="00514472">
            <w:pPr>
              <w:spacing w:after="160" w:line="278" w:lineRule="auto"/>
            </w:pPr>
            <w:r w:rsidRPr="00B15F3B">
              <w:t>1877, 1890, 1915, 1944, 1987, 1998, 2010, 2018</w:t>
            </w:r>
          </w:p>
        </w:tc>
      </w:tr>
    </w:tbl>
    <w:p w14:paraId="666D2A1F" w14:textId="77777777" w:rsidR="00C909B6" w:rsidRPr="00B15F3B" w:rsidRDefault="00C909B6" w:rsidP="00C909B6">
      <w:pPr>
        <w:pStyle w:val="ListParagraph"/>
        <w:numPr>
          <w:ilvl w:val="0"/>
          <w:numId w:val="10"/>
        </w:numPr>
        <w:spacing w:after="160" w:line="278" w:lineRule="auto"/>
      </w:pPr>
      <w:r w:rsidRPr="00B15F3B">
        <w:pict w14:anchorId="7A004965">
          <v:rect id="_x0000_i1025" style="width:0;height:1.5pt" o:hralign="center" o:hrstd="t" o:hr="t" fillcolor="#a0a0a0" stroked="f"/>
        </w:pict>
      </w:r>
    </w:p>
    <w:p w14:paraId="3AFC7580" w14:textId="77777777" w:rsidR="00C909B6" w:rsidRDefault="00C909B6"/>
    <w:p w14:paraId="265520F2" w14:textId="77777777" w:rsidR="00ED1B88" w:rsidRDefault="00000000">
      <w:pPr>
        <w:pStyle w:val="Heading2"/>
      </w:pPr>
      <w:r>
        <w:t>Significance and Caveats</w:t>
      </w:r>
    </w:p>
    <w:p w14:paraId="2ADDB49D" w14:textId="77777777" w:rsidR="00ED1B88" w:rsidRDefault="00000000">
      <w:r>
        <w:t>• Alignment with PDO PSD peaks is strikingly precise (&lt;0.2% error).</w:t>
      </w:r>
      <w:r>
        <w:br/>
        <w:t>• ENSO matches are strong in the PSD domain, but weaker in time-localized wavelet analysis.</w:t>
      </w:r>
      <w:r>
        <w:br/>
        <w:t>• The framework predicts periods only, not amplitude or phase.</w:t>
      </w:r>
      <w:r>
        <w:br/>
        <w:t>• Physical mechanism (threading geometry) remains hypothetical and outside conventional climate physics.</w:t>
      </w:r>
      <w:r>
        <w:br/>
        <w:t>• Findings should be viewed as exploratory mathematics rather than a replacement for established dynamical models.</w:t>
      </w:r>
    </w:p>
    <w:p w14:paraId="1666B691" w14:textId="77777777" w:rsidR="00ED1B88" w:rsidRDefault="00000000">
      <w:pPr>
        <w:pStyle w:val="Heading2"/>
      </w:pPr>
      <w:r>
        <w:t>Conclusion</w:t>
      </w:r>
    </w:p>
    <w:p w14:paraId="7D768FBF" w14:textId="77777777" w:rsidR="00ED1B88" w:rsidRDefault="00000000">
      <w:r>
        <w:t>This exploratory study demonstrates that a geometric-harmonic threading framework can reproduce key periodicities in ENSO and PDO. The results suggest potential utility for long-term cycle prediction, though not short-term variability. Further research and collaboration with atmospheric scientists are needed to evaluate physical plausibility and integrate with climate dynamics.</w:t>
      </w:r>
    </w:p>
    <w:sectPr w:rsidR="00ED1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E25800"/>
    <w:multiLevelType w:val="multilevel"/>
    <w:tmpl w:val="620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212FA"/>
    <w:multiLevelType w:val="multilevel"/>
    <w:tmpl w:val="450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238236">
    <w:abstractNumId w:val="8"/>
  </w:num>
  <w:num w:numId="2" w16cid:durableId="1923635336">
    <w:abstractNumId w:val="6"/>
  </w:num>
  <w:num w:numId="3" w16cid:durableId="1104155133">
    <w:abstractNumId w:val="5"/>
  </w:num>
  <w:num w:numId="4" w16cid:durableId="237058360">
    <w:abstractNumId w:val="4"/>
  </w:num>
  <w:num w:numId="5" w16cid:durableId="1624532926">
    <w:abstractNumId w:val="7"/>
  </w:num>
  <w:num w:numId="6" w16cid:durableId="765492884">
    <w:abstractNumId w:val="3"/>
  </w:num>
  <w:num w:numId="7" w16cid:durableId="339703004">
    <w:abstractNumId w:val="2"/>
  </w:num>
  <w:num w:numId="8" w16cid:durableId="827670100">
    <w:abstractNumId w:val="1"/>
  </w:num>
  <w:num w:numId="9" w16cid:durableId="265384312">
    <w:abstractNumId w:val="0"/>
  </w:num>
  <w:num w:numId="10" w16cid:durableId="433866662">
    <w:abstractNumId w:val="9"/>
  </w:num>
  <w:num w:numId="11" w16cid:durableId="1613853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F3C"/>
    <w:rsid w:val="0006063C"/>
    <w:rsid w:val="0015074B"/>
    <w:rsid w:val="001F33A9"/>
    <w:rsid w:val="0029639D"/>
    <w:rsid w:val="00326F90"/>
    <w:rsid w:val="004B42F8"/>
    <w:rsid w:val="00AA1D8D"/>
    <w:rsid w:val="00B47730"/>
    <w:rsid w:val="00BF6205"/>
    <w:rsid w:val="00C909B6"/>
    <w:rsid w:val="00CB0664"/>
    <w:rsid w:val="00ED1B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5A109"/>
  <w14:defaultImageDpi w14:val="300"/>
  <w15:docId w15:val="{52D40FAD-9267-43F6-83BD-AF095B0C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Zelenka</cp:lastModifiedBy>
  <cp:revision>4</cp:revision>
  <dcterms:created xsi:type="dcterms:W3CDTF">2025-09-10T17:43:00Z</dcterms:created>
  <dcterms:modified xsi:type="dcterms:W3CDTF">2025-09-10T20:22:00Z</dcterms:modified>
  <cp:category/>
</cp:coreProperties>
</file>