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30898" cy="1028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4130" l="8048" r="67619" t="23448"/>
                    <a:stretch>
                      <a:fillRect/>
                    </a:stretch>
                  </pic:blipFill>
                  <pic:spPr>
                    <a:xfrm>
                      <a:off x="0" y="0"/>
                      <a:ext cx="1430898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AXION</w:t>
      </w: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 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438275" cy="24241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95950" y="1541550"/>
                          <a:ext cx="1679700" cy="10200"/>
                        </a:xfrm>
                        <a:prstGeom prst="rect">
                          <a:avLst/>
                        </a:prstGeom>
                        <a:solidFill>
                          <a:srgbClr val="8FAF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438275" cy="24241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242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jc w:val="center"/>
        <w:rPr/>
      </w:pPr>
      <w:bookmarkStart w:colFirst="0" w:colLast="0" w:name="_jehszxu4351i" w:id="0"/>
      <w:bookmarkEnd w:id="0"/>
      <w:r w:rsidDel="00000000" w:rsidR="00000000" w:rsidRPr="00000000">
        <w:rPr>
          <w:color w:val="667085"/>
          <w:rtl w:val="0"/>
        </w:rPr>
        <w:t xml:space="preserve">DOCUMENTACIÓN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>
          <w:sz w:val="56"/>
          <w:szCs w:val="56"/>
        </w:rPr>
      </w:pPr>
      <w:bookmarkStart w:colFirst="0" w:colLast="0" w:name="_ppzl69r7trri" w:id="1"/>
      <w:bookmarkEnd w:id="1"/>
      <w:r w:rsidDel="00000000" w:rsidR="00000000" w:rsidRPr="00000000">
        <w:rPr>
          <w:sz w:val="56"/>
          <w:szCs w:val="56"/>
          <w:rtl w:val="0"/>
        </w:rPr>
        <w:t xml:space="preserve">Documento de Especificación de Caso de Uso</w:t>
        <w:br w:type="textWrapping"/>
        <w:t xml:space="preserve">CU08 – Emitir Alerta de Umbral de Gasto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.0000000000002" w:right="1440.0000000000002" w:firstLine="0"/>
        <w:jc w:val="center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Especificación del flujo, condiciones y requerimientos asociados a la consulta de finanzas en lenguaje natural en KhipuBot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color w:val="667085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438275" cy="24241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95950" y="1541550"/>
                          <a:ext cx="1679700" cy="10200"/>
                        </a:xfrm>
                        <a:prstGeom prst="rect">
                          <a:avLst/>
                        </a:prstGeom>
                        <a:solidFill>
                          <a:srgbClr val="8FAF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438275" cy="24241"/>
                <wp:effectExtent b="0" l="0" r="0" 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242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rPr>
          <w:color w:val="3c78d8"/>
          <w:sz w:val="22"/>
          <w:szCs w:val="22"/>
        </w:rPr>
      </w:pPr>
      <w:bookmarkStart w:colFirst="0" w:colLast="0" w:name="_kwx84iix4h84" w:id="2"/>
      <w:bookmarkEnd w:id="2"/>
      <w:r w:rsidDel="00000000" w:rsidR="00000000" w:rsidRPr="00000000">
        <w:rPr>
          <w:rtl w:val="0"/>
        </w:rPr>
        <w:t xml:space="preserve">VERSIÓN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1.0.0</w:t>
      </w:r>
    </w:p>
    <w:p w:rsidR="00000000" w:rsidDel="00000000" w:rsidP="00000000" w:rsidRDefault="00000000" w:rsidRPr="00000000" w14:paraId="00000010">
      <w:pPr>
        <w:pStyle w:val="Subtitle"/>
        <w:jc w:val="center"/>
        <w:rPr/>
      </w:pPr>
      <w:bookmarkStart w:colFirst="0" w:colLast="0" w:name="_jlumnql4n8t3" w:id="3"/>
      <w:bookmarkEnd w:id="3"/>
      <w:r w:rsidDel="00000000" w:rsidR="00000000" w:rsidRPr="00000000">
        <w:rPr>
          <w:rtl w:val="0"/>
        </w:rPr>
        <w:t xml:space="preserve">FECHA DE ELABORACIÓN</w:t>
      </w:r>
    </w:p>
    <w:p w:rsidR="00000000" w:rsidDel="00000000" w:rsidP="00000000" w:rsidRDefault="00000000" w:rsidRPr="00000000" w14:paraId="00000011">
      <w:pPr>
        <w:jc w:val="center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Septiembre</w:t>
      </w:r>
      <w:r w:rsidDel="00000000" w:rsidR="00000000" w:rsidRPr="00000000">
        <w:rPr>
          <w:color w:val="667085"/>
          <w:rtl w:val="0"/>
        </w:rPr>
        <w:t xml:space="preserve"> de 2026</w:t>
      </w:r>
    </w:p>
    <w:p w:rsidR="00000000" w:rsidDel="00000000" w:rsidP="00000000" w:rsidRDefault="00000000" w:rsidRPr="00000000" w14:paraId="00000012">
      <w:pPr>
        <w:pStyle w:val="Subtitle"/>
        <w:jc w:val="center"/>
        <w:rPr/>
      </w:pPr>
      <w:bookmarkStart w:colFirst="0" w:colLast="0" w:name="_vtivw8ws9hb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jc w:val="center"/>
        <w:rPr/>
      </w:pPr>
      <w:bookmarkStart w:colFirst="0" w:colLast="0" w:name="_8exwudxqr0a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Subtitle"/>
        <w:jc w:val="center"/>
        <w:rPr/>
      </w:pPr>
      <w:bookmarkStart w:colFirst="0" w:colLast="0" w:name="_e5q1hbdvepv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jc w:val="center"/>
        <w:rPr/>
      </w:pPr>
      <w:bookmarkStart w:colFirst="0" w:colLast="0" w:name="_4bwxz0x2h43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jc w:val="center"/>
        <w:rPr/>
      </w:pPr>
      <w:bookmarkStart w:colFirst="0" w:colLast="0" w:name="_w28vgv7es7t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Subtitle"/>
        <w:jc w:val="center"/>
        <w:rPr/>
      </w:pPr>
      <w:bookmarkStart w:colFirst="0" w:colLast="0" w:name="_822k3w48h7y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Subtitle"/>
        <w:jc w:val="center"/>
        <w:rPr/>
      </w:pPr>
      <w:bookmarkStart w:colFirst="0" w:colLast="0" w:name="_c1ghdpgj3n4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jc w:val="center"/>
        <w:rPr/>
      </w:pPr>
      <w:bookmarkStart w:colFirst="0" w:colLast="0" w:name="_8srxw86sv51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Subtitle"/>
        <w:jc w:val="center"/>
        <w:rPr/>
      </w:pPr>
      <w:bookmarkStart w:colFirst="0" w:colLast="0" w:name="_aow458xk23n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Subtitle"/>
        <w:jc w:val="center"/>
        <w:rPr/>
      </w:pPr>
      <w:bookmarkStart w:colFirst="0" w:colLast="0" w:name="_pr6la5wzvcb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jc w:val="center"/>
        <w:rPr/>
      </w:pPr>
      <w:bookmarkStart w:colFirst="0" w:colLast="0" w:name="_8yfof3sc2z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jc w:val="center"/>
        <w:rPr/>
      </w:pPr>
      <w:bookmarkStart w:colFirst="0" w:colLast="0" w:name="_4a7xmt8bjvp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Subtitle"/>
        <w:jc w:val="right"/>
        <w:rPr/>
      </w:pPr>
      <w:bookmarkStart w:colFirst="0" w:colLast="0" w:name="_p66w83dbzhru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Subtitle"/>
        <w:jc w:val="right"/>
        <w:rPr/>
      </w:pPr>
      <w:bookmarkStart w:colFirst="0" w:colLast="0" w:name="_y8d7yr9uboa8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Subtitle"/>
        <w:jc w:val="right"/>
        <w:rPr/>
      </w:pPr>
      <w:bookmarkStart w:colFirst="0" w:colLast="0" w:name="_dkhwayrn2qzd" w:id="18"/>
      <w:bookmarkEnd w:id="18"/>
      <w:r w:rsidDel="00000000" w:rsidR="00000000" w:rsidRPr="00000000">
        <w:rPr>
          <w:rtl w:val="0"/>
        </w:rPr>
        <w:t xml:space="preserve">GRUPO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Gabriel Sonny De La Cruz Aguilar</w:t>
      </w:r>
    </w:p>
    <w:p w:rsidR="00000000" w:rsidDel="00000000" w:rsidP="00000000" w:rsidRDefault="00000000" w:rsidRPr="00000000" w14:paraId="00000022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Manuel David Guzman Chavez </w:t>
      </w:r>
    </w:p>
    <w:p w:rsidR="00000000" w:rsidDel="00000000" w:rsidP="00000000" w:rsidRDefault="00000000" w:rsidRPr="00000000" w14:paraId="00000023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Iris Marisol Hanampa Bellido </w:t>
      </w:r>
    </w:p>
    <w:p w:rsidR="00000000" w:rsidDel="00000000" w:rsidP="00000000" w:rsidRDefault="00000000" w:rsidRPr="00000000" w14:paraId="00000024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Fran Diego Maylle Poma </w:t>
      </w:r>
    </w:p>
    <w:p w:rsidR="00000000" w:rsidDel="00000000" w:rsidP="00000000" w:rsidRDefault="00000000" w:rsidRPr="00000000" w14:paraId="00000025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Guillermo Matias Ramos Ulloa </w:t>
      </w:r>
    </w:p>
    <w:p w:rsidR="00000000" w:rsidDel="00000000" w:rsidP="00000000" w:rsidRDefault="00000000" w:rsidRPr="00000000" w14:paraId="00000026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Esther Noemi Ticlla Vento </w:t>
      </w:r>
    </w:p>
    <w:p w:rsidR="00000000" w:rsidDel="00000000" w:rsidP="00000000" w:rsidRDefault="00000000" w:rsidRPr="00000000" w14:paraId="00000027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Giancarlo Villavicencio Dávila </w:t>
      </w:r>
    </w:p>
    <w:p w:rsidR="00000000" w:rsidDel="00000000" w:rsidP="00000000" w:rsidRDefault="00000000" w:rsidRPr="00000000" w14:paraId="00000028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Orosco Flores Michael</w:t>
      </w:r>
    </w:p>
    <w:p w:rsidR="00000000" w:rsidDel="00000000" w:rsidP="00000000" w:rsidRDefault="00000000" w:rsidRPr="00000000" w14:paraId="00000029">
      <w:pPr>
        <w:jc w:val="center"/>
        <w:rPr>
          <w:color w:val="66708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Subtitle"/>
        <w:jc w:val="center"/>
        <w:rPr/>
      </w:pPr>
      <w:bookmarkStart w:colFirst="0" w:colLast="0" w:name="_chbb7kcwvv0m" w:id="19"/>
      <w:bookmarkEnd w:id="19"/>
      <w:r w:rsidDel="00000000" w:rsidR="00000000" w:rsidRPr="00000000">
        <w:rPr>
          <w:rtl w:val="0"/>
        </w:rPr>
        <w:t xml:space="preserve">CONTROL DE VERSIONES</w:t>
      </w:r>
    </w:p>
    <w:p w:rsidR="00000000" w:rsidDel="00000000" w:rsidP="00000000" w:rsidRDefault="00000000" w:rsidRPr="00000000" w14:paraId="0000002C">
      <w:pPr>
        <w:jc w:val="center"/>
        <w:rPr>
          <w:color w:val="66708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08/09/2026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documento.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KhipuBot</w:t>
            </w:r>
          </w:p>
        </w:tc>
      </w:tr>
    </w:tbl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Subtitle"/>
        <w:rPr/>
      </w:pPr>
      <w:bookmarkStart w:colFirst="0" w:colLast="0" w:name="_yzvxanns9nt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Subtitle"/>
        <w:rPr/>
      </w:pPr>
      <w:bookmarkStart w:colFirst="0" w:colLast="0" w:name="_1i3sw6v7yi6l" w:id="21"/>
      <w:bookmarkEnd w:id="21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dt>
      <w:sdtPr>
        <w:id w:val="-5468490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mutc4esqrai">
            <w:r w:rsidDel="00000000" w:rsidR="00000000" w:rsidRPr="00000000">
              <w:rPr>
                <w:rFonts w:ascii="Source Sans 3" w:cs="Source Sans 3" w:eastAsia="Source Sans 3" w:hAnsi="Source Sans 3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ne9kkz98spp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q4ptfly86a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gloqy662gqu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Definiciones, siglas y abreviaciones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cw8gd3t0pjk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nvstqehq0pp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786mcoqqeab">
            <w:r w:rsidDel="00000000" w:rsidR="00000000" w:rsidRPr="00000000">
              <w:rPr>
                <w:rFonts w:ascii="Source Sans 3" w:cs="Source Sans 3" w:eastAsia="Source Sans 3" w:hAnsi="Source Sans 3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m66a1k2n11o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Casos de Usos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2e86mnea1q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5gjiwr17pk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qgisrfmix6c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s0zhmrt4mgl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Poscondiciones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k566tvjk3b4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Básico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ea865e605w8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7jr26bug4es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[EX1]: Credenciales Inválidas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eqi2dql6wx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[EX2]: Recuperación de contraseña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mp2kbrmkdm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xmutc4esqrai" w:id="22"/>
      <w:bookmarkEnd w:id="2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sne9kkz98spp" w:id="23"/>
      <w:bookmarkEnd w:id="23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Este documento detalla el caso de uso CU08 – Emitir Alerta de Umbral de Gasto, correspondiente al sistema KhipuBot (KPB). Su finalidad es describir la lógica de funcionamiento de esta característica, los actores que participan, la secuencia de interacción y los requisitos no funcionales que la sustentan.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jnq4ptfly86a" w:id="24"/>
      <w:bookmarkEnd w:id="24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El documento cubre el módulo de alertas y notificaciones de KhipuBot, aplicativo multiplataforma (móvil y web) orientado al registro de ingresos y gastos mediante texto libre, notas de voz o fotografías de comprobantes. Está dirigido al equipo de desarrollo y a los analistas encargados del proyecto.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cgloqy662gqu" w:id="25"/>
      <w:bookmarkEnd w:id="25"/>
      <w:r w:rsidDel="00000000" w:rsidR="00000000" w:rsidRPr="00000000">
        <w:rPr>
          <w:rtl w:val="0"/>
        </w:rPr>
        <w:t xml:space="preserve">Definiciones, siglas y abreviaciones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KPB: Siglas del proyecto KhipuBot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NLP: Natural Language Processing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OCR: Optical Character Recognition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CU: Caso de Uso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EX: Excepción dentro del flujo del caso de uso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RNF: Requerimiento no Funcional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S/: Sol, moneda oficial del Perú (PEN)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ecw8gd3t0pjk" w:id="26"/>
      <w:bookmarkEnd w:id="26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Charter KhipuBot – Agosto 2026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 de Elicitación de Requisitos de KhipuBot (KPB) – FISI UNMSM, Septiembre 2026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Plantilla de Especificación de Caso de Uso – Lenis Wong Portillo, FISI UNMSM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3nvstqehq0pp" w:id="27"/>
      <w:bookmarkEnd w:id="27"/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Este caso de uso describe cómo el usuario puede establecer un porcentaje de aviso ligado a su tope presupuestal, de manera que la plataforma vigile constantemente su nivel de gasto y le notifique apenas se acerque o llegue al límite fijado.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e786mcoqqeab" w:id="28"/>
      <w:bookmarkEnd w:id="28"/>
      <w:r w:rsidDel="00000000" w:rsidR="00000000" w:rsidRPr="00000000">
        <w:rPr>
          <w:rtl w:val="0"/>
        </w:rPr>
        <w:t xml:space="preserve">Descripción General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gm66a1k2n11o" w:id="29"/>
      <w:bookmarkEnd w:id="29"/>
      <w:r w:rsidDel="00000000" w:rsidR="00000000" w:rsidRPr="00000000">
        <w:rPr>
          <w:rtl w:val="0"/>
        </w:rPr>
        <w:t xml:space="preserve">Diagrama de Casos de Usos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679613</wp:posOffset>
            </wp:positionH>
            <wp:positionV relativeFrom="paragraph">
              <wp:posOffset>637926</wp:posOffset>
            </wp:positionV>
            <wp:extent cx="4367213" cy="4011742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40117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d2e86mnea1q" w:id="30"/>
      <w:bookmarkEnd w:id="30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A través de esta funcionalidad, el usuario define uno o varios porcentajes de referencia (por ejemplo, 75%, 90% o 100%) sobre su presupuesto asignado. La plataforma verifica de manera continua cuánto se ha gastado en relación con ese límite y, si el consumo iguala o rebasa el porcentaje pactado, dispara una notificación al usuario.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245gjiwr17pk" w:id="31"/>
      <w:bookmarkEnd w:id="31"/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Usuario: Persona registrada en KhipuBot interesada en anticiparse a un posible sobregiro mediante avisos configurables. 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Sistema: Módulo responsable de comparar el gasto acumulado con el límite fijado y de generar las notificaciones correspondientes.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cqgisrfmix6c" w:id="32"/>
      <w:bookmarkEnd w:id="32"/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ha iniciado sesión correctamente en la plataforma. 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Existe un presupuesto o tope de gasto ya definido por el usuario. 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módulo de monitoreo y envío de notificaciones se encuentra operativo.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4s0zhmrt4mgl" w:id="33"/>
      <w:bookmarkEnd w:id="33"/>
      <w:r w:rsidDel="00000000" w:rsidR="00000000" w:rsidRPr="00000000">
        <w:rPr>
          <w:rtl w:val="0"/>
        </w:rPr>
        <w:t xml:space="preserve">Poscondiciones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Queda almacenado el porcentaje de umbral vinculado al presupuesto correspondiente. 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recibe el aviso en el momento en que su gasto llega o excede el porcentaje configurado. 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guarda un registro del evento con la fecha, hora y porcentaje detectado.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hk566tvjk3b4" w:id="34"/>
      <w:bookmarkEnd w:id="34"/>
      <w:r w:rsidDel="00000000" w:rsidR="00000000" w:rsidRPr="00000000">
        <w:rPr>
          <w:rtl w:val="0"/>
        </w:rPr>
        <w:t xml:space="preserve">Flujo Básico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accede a la configuración de su presupuesto y elige la opción para fijar un umbral de aviso. 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plataforma despliega el formulario correspondiente, con distintas opciones de porcentaje (75%, 90%, 100%, entre otras). 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elige o digita el porcentaje que desea y confirma su elección [EX1]. 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guarda el porcentaje señalado y lo enlaza con el presupuesto vigente. 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compara de forma constante el gasto acumulado frente al límite fijado. 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identifica que el gasto ha llegado o sobrepasado el porcentaje configurado [EX2]. 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plataforma envía de inmediato una notificación, precisando el porcentaje alcanzado y el saldo disponible restante. 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Finaliza el caso de uso.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dea865e605w8" w:id="35"/>
      <w:bookmarkEnd w:id="35"/>
      <w:r w:rsidDel="00000000" w:rsidR="00000000" w:rsidRPr="00000000">
        <w:rPr>
          <w:rtl w:val="0"/>
        </w:rPr>
        <w:t xml:space="preserve">Excepciones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i7jr26bug4es" w:id="36"/>
      <w:bookmarkEnd w:id="36"/>
      <w:r w:rsidDel="00000000" w:rsidR="00000000" w:rsidRPr="00000000">
        <w:rPr>
          <w:rtl w:val="0"/>
        </w:rPr>
        <w:t xml:space="preserve">[EX1]: Credenciales Inválidas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identifica que el valor ingresado no corresponde a un porcentaje aceptable (fuera de rango o no numérico). 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muestra el mensaje: "El valor ingresado no es válido. Ingrese un porcentaje entre 1% y 100%". 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regresa al paso 3 del flujo básico.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dgeqi2dql6wx" w:id="37"/>
      <w:bookmarkEnd w:id="37"/>
      <w:r w:rsidDel="00000000" w:rsidR="00000000" w:rsidRPr="00000000">
        <w:rPr>
          <w:rtl w:val="0"/>
        </w:rPr>
        <w:t xml:space="preserve">[EX2]: Recuperación de contraseña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advierte que el gasto acumulado ya superó el 100% del límite fijado. 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genera una notificación de prioridad alta, enviada de inmediato por el canal habilitado (aplicativo y/o correo). 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plataforma sugiere al usuario revisar sus movimientos recientes o replantear el presupuesto. 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flujo continúa en el paso 7.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qbmp2kbrmkdm" w:id="38"/>
      <w:bookmarkEnd w:id="38"/>
      <w:r w:rsidDel="00000000" w:rsidR="00000000" w:rsidRPr="00000000">
        <w:rPr>
          <w:rtl w:val="0"/>
        </w:rPr>
        <w:t xml:space="preserve">Requerimientos no funcionales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comparación entre gasto acumulado y umbral fijado debe ejecutarse con una demora máxima de 2 segundos. 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aviso debe llegar al usuario dentro de los 5 segundos posteriores a la detección del cruce. 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plataforma debe soportar varios umbrales activos a la vez (por categoría o presupuesto) sin afectar el desempeño del monitoreo.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440.0000000000002" w:top="1440.0000000000002" w:left="1440.0000000000002" w:right="1440.0000000000002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urce Sans 3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spacing w:after="0" w:before="0" w:line="240" w:lineRule="auto"/>
      <w:jc w:val="center"/>
      <w:rPr>
        <w:rFonts w:ascii="Montserrat" w:cs="Montserrat" w:eastAsia="Montserrat" w:hAnsi="Montserrat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rtl w:val="0"/>
      </w:rPr>
      <w:t xml:space="preserve">AXION</w:t>
    </w:r>
    <w:r w:rsidDel="00000000" w:rsidR="00000000" w:rsidRPr="00000000">
      <w:rPr>
        <w:rFonts w:ascii="Montserrat" w:cs="Montserrat" w:eastAsia="Montserrat" w:hAnsi="Montserrat"/>
        <w:rtl w:val="0"/>
      </w:rPr>
      <w:t xml:space="preserve"> LABS</w:t>
    </w:r>
  </w:p>
  <w:p w:rsidR="00000000" w:rsidDel="00000000" w:rsidP="00000000" w:rsidRDefault="00000000" w:rsidRPr="00000000" w14:paraId="00000090">
    <w:pPr>
      <w:spacing w:after="0" w:before="0" w:line="240" w:lineRule="auto"/>
      <w:jc w:val="center"/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1438275" cy="24241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95950" y="1541550"/>
                        <a:ext cx="1679700" cy="10200"/>
                      </a:xfrm>
                      <a:prstGeom prst="rect">
                        <a:avLst/>
                      </a:prstGeom>
                      <a:solidFill>
                        <a:srgbClr val="8FAFE8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1438275" cy="24241"/>
              <wp:effectExtent b="0" l="0" r="0" t="0"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8275" cy="24241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-914399</wp:posOffset>
          </wp:positionH>
          <wp:positionV relativeFrom="margin">
            <wp:posOffset>-914399</wp:posOffset>
          </wp:positionV>
          <wp:extent cx="7600950" cy="10746557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074655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3" w:cs="Source Sans 3" w:eastAsia="Source Sans 3" w:hAnsi="Source Sans 3"/>
        <w:sz w:val="22"/>
        <w:szCs w:val="22"/>
        <w:lang w:val="en_GB"/>
      </w:rPr>
    </w:rPrDefault>
    <w:pPrDefault>
      <w:pPr>
        <w:spacing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Inter" w:cs="Inter" w:eastAsia="Inter" w:hAnsi="Inter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480" w:lineRule="auto"/>
    </w:pPr>
    <w:rPr>
      <w:rFonts w:ascii="Inter" w:cs="Inter" w:eastAsia="Inter" w:hAnsi="Inter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  <w:color w:val="3c78d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Inter" w:cs="Inter" w:eastAsia="Inter" w:hAnsi="Inter"/>
      <w:sz w:val="72"/>
      <w:szCs w:val="72"/>
    </w:rPr>
  </w:style>
  <w:style w:type="paragraph" w:styleId="Subtitle">
    <w:name w:val="Subtitle"/>
    <w:basedOn w:val="Normal"/>
    <w:next w:val="Normal"/>
    <w:pPr>
      <w:jc w:val="center"/>
    </w:pPr>
    <w:rPr>
      <w:color w:val="3c78d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SourceSans3-italic.ttf"/><Relationship Id="rId10" Type="http://schemas.openxmlformats.org/officeDocument/2006/relationships/font" Target="fonts/SourceSans3-bold.ttf"/><Relationship Id="rId12" Type="http://schemas.openxmlformats.org/officeDocument/2006/relationships/font" Target="fonts/SourceSans3-boldItalic.ttf"/><Relationship Id="rId9" Type="http://schemas.openxmlformats.org/officeDocument/2006/relationships/font" Target="fonts/SourceSans3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