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Resumo Geral do Trabalho</w:t>
      </w:r>
    </w:p>
    <w:p>
      <w:pPr>
        <w:pStyle w:val="Subtitle"/>
      </w:pPr>
      <w:r>
        <w:t xml:space="preserve">TP de Introdução a Bancos de Dados — SELIC e Tesouro Direto — DCC/UFMG 2026/1</w:t>
      </w:r>
    </w:p>
    <w:p>
      <w:pPr>
        <w:spacing w:after="120"/>
      </w:pPr>
      <w:r>
        <w:rPr>
          <w:b/>
          <w:bCs/>
        </w:rPr>
        <w:t xml:space="preserve">Tema:</w:t>
      </w:r>
      <w:r>
        <w:t xml:space="preserve"> Análise integrada da Taxa SELIC diária (BACEN) e dos preços/taxas do Tesouro Direto (Tesouro Nacional), no PostgreSQL.</w:t>
      </w:r>
    </w:p>
    <w:p>
      <w:pPr>
        <w:spacing w:after="120"/>
      </w:pPr>
      <w:r>
        <w:rPr>
          <w:b/>
          <w:bCs/>
        </w:rPr>
        <w:t xml:space="preserve">Autores:</w:t>
      </w:r>
      <w:r>
        <w:t xml:space="preserve"> Davi Ladeira Balsamão, Enzo de Freitas Alencar, Fernando Thales Santana Lopes, Otávio Fagundes Rodrigues de Oliveira, Pedro Puliti Dias.</w:t>
      </w:r>
    </w:p>
    <w:p>
      <w:pPr>
        <w:spacing w:after="120"/>
      </w:pPr>
      <w:r>
        <w:t xml:space="preserve">Documento de apoio para a apresentação — pensado para responder perguntas do professor.</w:t>
      </w:r>
    </w:p>
    <w:p>
      <w:pPr>
        <w:pStyle w:val="Heading1"/>
      </w:pPr>
      <w:r>
        <w:t xml:space="preserve">1. Visão geral em uma frase</w:t>
      </w:r>
    </w:p>
    <w:p>
      <w:pPr>
        <w:spacing w:after="120"/>
      </w:pPr>
      <w:r>
        <w:t xml:space="preserve">Modelamos e carregamos no PostgreSQL duas fontes públicas — SELIC diária e Tesouro Direto (2021–2025) — e, com 20 consultas SQL, mostramos que </w:t>
      </w:r>
      <w:r>
        <w:rPr>
          <w:b/>
          <w:bCs/>
        </w:rPr>
        <w:t xml:space="preserve">quando a SELIC sobe, o prêmio dos títulos IPCA+ aumenta e o preço dos títulos Prefixados cai</w:t>
      </w:r>
      <w:r>
        <w:t xml:space="preserve"> (efeito gangorra).</w:t>
      </w:r>
    </w:p>
    <w:p>
      <w:pPr>
        <w:pStyle w:val="Heading1"/>
      </w:pPr>
      <w:r>
        <w:t xml:space="preserve">2. As fontes de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1100"/>
        <w:gridCol w:w="1400"/>
        <w:gridCol w:w="306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Fonte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Órgão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Registros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Cobertura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Granularidade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Taxa SELIC Diária (SGS nº 11)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BACEN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1.256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2021–2025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Taxa efetiva diária (% ao dia), dias úteis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Preços e Taxas do Tesouro Direto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Tesouro Nacional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52.706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2021–2025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Cotação da manhã, dias úteis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Total integrado:</w:t>
      </w:r>
      <w:r>
        <w:t xml:space="preserve"> 53.962 registros.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Licença: dados públicos (LAI — Lei nº 12.527/2011).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Aquisição: baixados em CSV (</w:t>
      </w:r>
      <w:r>
        <w:rPr>
          <w:rFonts w:ascii="Consolas" w:cs="Consolas" w:eastAsia="Consolas" w:hAnsi="Consolas"/>
          <w:color w:val="9C2C2C"/>
        </w:rPr>
        <w:t xml:space="preserve">;</w:t>
      </w:r>
      <w:r>
        <w:t xml:space="preserve">, decimal </w:t>
      </w:r>
      <w:r>
        <w:rPr>
          <w:rFonts w:ascii="Consolas" w:cs="Consolas" w:eastAsia="Consolas" w:hAnsi="Consolas"/>
          <w:color w:val="9C2C2C"/>
        </w:rPr>
        <w:t xml:space="preserve">,</w:t>
      </w:r>
      <w:r>
        <w:t xml:space="preserve">); o script </w:t>
      </w:r>
      <w:r>
        <w:rPr>
          <w:rFonts w:ascii="Consolas" w:cs="Consolas" w:eastAsia="Consolas" w:hAnsi="Consolas"/>
          <w:color w:val="9C2C2C"/>
        </w:rPr>
        <w:t xml:space="preserve">tratar_dados.py</w:t>
      </w:r>
      <w:r>
        <w:t xml:space="preserve"> converteu datas para ISO 8601 e decimais para ponto, gerando </w:t>
      </w:r>
      <w:r>
        <w:rPr>
          <w:rFonts w:ascii="Consolas" w:cs="Consolas" w:eastAsia="Consolas" w:hAnsi="Consolas"/>
          <w:color w:val="9C2C2C"/>
        </w:rPr>
        <w:t xml:space="preserve">selic_limpo.csv</w:t>
      </w:r>
      <w:r>
        <w:t xml:space="preserve"> e </w:t>
      </w:r>
      <w:r>
        <w:rPr>
          <w:rFonts w:ascii="Consolas" w:cs="Consolas" w:eastAsia="Consolas" w:hAnsi="Consolas"/>
          <w:color w:val="9C2C2C"/>
        </w:rPr>
        <w:t xml:space="preserve">tesouro_absoluto.csv</w:t>
      </w:r>
      <w:r>
        <w:t xml:space="preserve">.</w:t>
      </w:r>
    </w:p>
    <w:p>
      <w:pPr>
        <w:spacing w:after="120"/>
      </w:pPr>
      <w:r>
        <w:t xml:space="preserve">⚠️ </w:t>
      </w:r>
      <w:r>
        <w:rPr>
          <w:b/>
          <w:bCs/>
        </w:rPr>
        <w:t xml:space="preserve">Ponto sensível (saiba explicar):</w:t>
      </w:r>
      <w:r>
        <w:t xml:space="preserve"> a coluna </w:t>
      </w:r>
      <w:r>
        <w:rPr>
          <w:rFonts w:ascii="Consolas" w:cs="Consolas" w:eastAsia="Consolas" w:hAnsi="Consolas"/>
          <w:color w:val="9C2C2C"/>
        </w:rPr>
        <w:t xml:space="preserve">selic_diaria.valor</w:t>
      </w:r>
      <w:r>
        <w:t xml:space="preserve"> é a taxa </w:t>
      </w:r>
      <w:r>
        <w:rPr>
          <w:b/>
          <w:bCs/>
        </w:rPr>
        <w:t xml:space="preserve">diária</w:t>
      </w:r>
      <w:r>
        <w:t xml:space="preserve"> (% ao dia), valores ~0,0075 a 0,0551 — </w:t>
      </w:r>
      <w:r>
        <w:rPr>
          <w:b/>
          <w:bCs/>
        </w:rPr>
        <w:t xml:space="preserve">não</w:t>
      </w:r>
      <w:r>
        <w:t xml:space="preserve"> é a SELIC anualizada do Copom. Para anualizar: (1 + taxa_diária)^252 − 1. Referência: 0,0551%/dia ≈ 15% a.a.; 0,0075%/dia ≈ 2% a.a.</w:t>
      </w:r>
    </w:p>
    <w:p>
      <w:pPr>
        <w:pStyle w:val="Heading1"/>
      </w:pPr>
      <w:r>
        <w:t xml:space="preserve">3. Modelagem (Parte 1)</w:t>
      </w:r>
    </w:p>
    <w:p>
      <w:pPr>
        <w:spacing w:after="120"/>
      </w:pPr>
      <w:r>
        <w:t xml:space="preserve">Duas tabelas no PostgreSQL (banco </w:t>
      </w:r>
      <w:r>
        <w:rPr>
          <w:rFonts w:ascii="Consolas" w:cs="Consolas" w:eastAsia="Consolas" w:hAnsi="Consolas"/>
          <w:color w:val="9C2C2C"/>
        </w:rPr>
        <w:t xml:space="preserve">ibd_tp</w:t>
      </w:r>
      <w:r>
        <w:t xml:space="preserve">):</w:t>
      </w:r>
    </w:p>
    <w:p>
      <w:pPr>
        <w:pStyle w:val="Heading3"/>
      </w:pPr>
      <w:r>
        <w:t xml:space="preserve">Tabela selic_diaria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C2C"/>
        </w:rPr>
        <w:t xml:space="preserve">data</w:t>
      </w:r>
      <w:r>
        <w:t xml:space="preserve"> </w:t>
      </w:r>
      <w:r>
        <w:rPr>
          <w:rFonts w:ascii="Consolas" w:cs="Consolas" w:eastAsia="Consolas" w:hAnsi="Consolas"/>
          <w:color w:val="9C2C2C"/>
        </w:rPr>
        <w:t xml:space="preserve">DATE</w:t>
      </w:r>
      <w:r>
        <w:t xml:space="preserve"> — </w:t>
      </w:r>
      <w:r>
        <w:rPr>
          <w:b/>
          <w:bCs/>
        </w:rPr>
        <w:t xml:space="preserve">PK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C2C"/>
        </w:rPr>
        <w:t xml:space="preserve">valor</w:t>
      </w:r>
      <w:r>
        <w:t xml:space="preserve"> </w:t>
      </w:r>
      <w:r>
        <w:rPr>
          <w:rFonts w:ascii="Consolas" w:cs="Consolas" w:eastAsia="Consolas" w:hAnsi="Consolas"/>
          <w:color w:val="9C2C2C"/>
        </w:rPr>
        <w:t xml:space="preserve">NUMERIC(10,6)</w:t>
      </w:r>
      <w:r>
        <w:t xml:space="preserve"> — taxa SELIC efetiva diária (% ao dia)</w:t>
      </w:r>
    </w:p>
    <w:p>
      <w:pPr>
        <w:pStyle w:val="Heading3"/>
      </w:pPr>
      <w:r>
        <w:t xml:space="preserve">Tabela tesouro_direto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C2C"/>
        </w:rPr>
        <w:t xml:space="preserve">tipo_titulo</w:t>
      </w:r>
      <w:r>
        <w:t xml:space="preserve"> </w:t>
      </w:r>
      <w:r>
        <w:rPr>
          <w:rFonts w:ascii="Consolas" w:cs="Consolas" w:eastAsia="Consolas" w:hAnsi="Consolas"/>
          <w:color w:val="9C2C2C"/>
        </w:rPr>
        <w:t xml:space="preserve">VARCHAR(80)</w:t>
      </w:r>
      <w:r>
        <w:t xml:space="preserve"> — </w:t>
      </w:r>
      <w:r>
        <w:rPr>
          <w:b/>
          <w:bCs/>
        </w:rPr>
        <w:t xml:space="preserve">PK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C2C"/>
        </w:rPr>
        <w:t xml:space="preserve">data_vencimento</w:t>
      </w:r>
      <w:r>
        <w:t xml:space="preserve"> </w:t>
      </w:r>
      <w:r>
        <w:rPr>
          <w:rFonts w:ascii="Consolas" w:cs="Consolas" w:eastAsia="Consolas" w:hAnsi="Consolas"/>
          <w:color w:val="9C2C2C"/>
        </w:rPr>
        <w:t xml:space="preserve">DATE</w:t>
      </w:r>
      <w:r>
        <w:t xml:space="preserve"> — </w:t>
      </w:r>
      <w:r>
        <w:rPr>
          <w:b/>
          <w:bCs/>
        </w:rPr>
        <w:t xml:space="preserve">PK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C2C"/>
        </w:rPr>
        <w:t xml:space="preserve">data_base</w:t>
      </w:r>
      <w:r>
        <w:t xml:space="preserve"> </w:t>
      </w:r>
      <w:r>
        <w:rPr>
          <w:rFonts w:ascii="Consolas" w:cs="Consolas" w:eastAsia="Consolas" w:hAnsi="Consolas"/>
          <w:color w:val="9C2C2C"/>
        </w:rPr>
        <w:t xml:space="preserve">DATE</w:t>
      </w:r>
      <w:r>
        <w:t xml:space="preserve"> — </w:t>
      </w:r>
      <w:r>
        <w:rPr>
          <w:b/>
          <w:bCs/>
        </w:rPr>
        <w:t xml:space="preserve">PK + FK</w:t>
      </w:r>
      <w:r>
        <w:t xml:space="preserve"> → </w:t>
      </w:r>
      <w:r>
        <w:rPr>
          <w:rFonts w:ascii="Consolas" w:cs="Consolas" w:eastAsia="Consolas" w:hAnsi="Consolas"/>
          <w:color w:val="9C2C2C"/>
        </w:rPr>
        <w:t xml:space="preserve">selic_diaria.data</w:t>
      </w:r>
      <w:r>
        <w:t xml:space="preserve"> (data da cotação)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C2C"/>
        </w:rPr>
        <w:t xml:space="preserve">taxa_compra_manha</w:t>
      </w:r>
      <w:r>
        <w:t xml:space="preserve"> / </w:t>
      </w:r>
      <w:r>
        <w:rPr>
          <w:rFonts w:ascii="Consolas" w:cs="Consolas" w:eastAsia="Consolas" w:hAnsi="Consolas"/>
          <w:color w:val="9C2C2C"/>
        </w:rPr>
        <w:t xml:space="preserve">taxa_venda_manha</w:t>
      </w:r>
      <w:r>
        <w:t xml:space="preserve"> </w:t>
      </w:r>
      <w:r>
        <w:rPr>
          <w:rFonts w:ascii="Consolas" w:cs="Consolas" w:eastAsia="Consolas" w:hAnsi="Consolas"/>
          <w:color w:val="9C2C2C"/>
        </w:rPr>
        <w:t xml:space="preserve">NUMERIC(8,4)</w:t>
      </w:r>
      <w:r>
        <w:t xml:space="preserve"> — taxas (% a.a.)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C2C"/>
        </w:rPr>
        <w:t xml:space="preserve">pu_compra_manha</w:t>
      </w:r>
      <w:r>
        <w:t xml:space="preserve"> / </w:t>
      </w:r>
      <w:r>
        <w:rPr>
          <w:rFonts w:ascii="Consolas" w:cs="Consolas" w:eastAsia="Consolas" w:hAnsi="Consolas"/>
          <w:color w:val="9C2C2C"/>
        </w:rPr>
        <w:t xml:space="preserve">pu_venda_manha</w:t>
      </w:r>
      <w:r>
        <w:t xml:space="preserve"> / </w:t>
      </w:r>
      <w:r>
        <w:rPr>
          <w:rFonts w:ascii="Consolas" w:cs="Consolas" w:eastAsia="Consolas" w:hAnsi="Consolas"/>
          <w:color w:val="9C2C2C"/>
        </w:rPr>
        <w:t xml:space="preserve">pu_base_manha</w:t>
      </w:r>
      <w:r>
        <w:t xml:space="preserve"> </w:t>
      </w:r>
      <w:r>
        <w:rPr>
          <w:rFonts w:ascii="Consolas" w:cs="Consolas" w:eastAsia="Consolas" w:hAnsi="Consolas"/>
          <w:color w:val="9C2C2C"/>
        </w:rPr>
        <w:t xml:space="preserve">NUMERIC(12,6)</w:t>
      </w:r>
      <w:r>
        <w:t xml:space="preserve"> — Preços Unitários (R$)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Chave primária composta:</w:t>
      </w:r>
      <w:r>
        <w:t xml:space="preserve"> (tipo_titulo, data_vencimento, data_base) — garante unicidade.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Junção</w:t>
      </w:r>
      <w:r>
        <w:t xml:space="preserve"> entre as tabelas: </w:t>
      </w:r>
      <w:r>
        <w:rPr>
          <w:rFonts w:ascii="Consolas" w:cs="Consolas" w:eastAsia="Consolas" w:hAnsi="Consolas"/>
          <w:color w:val="9C2C2C"/>
        </w:rPr>
        <w:t xml:space="preserve">tesouro_direto.data_base = selic_diaria.data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 famílias de título: Selic, Prefixado, IPCA+, IGPM+, Renda+, Educa+ e variantes “com Juros Semestrais”.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Campos de compra podem ser NULL quando o Tesouro suspende a recompra — esperado, não é erro.</w:t>
      </w:r>
    </w:p>
    <w:p>
      <w:pPr>
        <w:pStyle w:val="Heading1"/>
      </w:pPr>
      <w:r>
        <w:t xml:space="preserve">4. Metodologia (Parte 2): 20 consultas em 5 etapas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Caracterização</w:t>
      </w:r>
      <w:r>
        <w:t xml:space="preserve"> (5 consultas) — volume, período, tipos de título, perfil da SELIC.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Definição dos objetivos</w:t>
      </w:r>
      <w:r>
        <w:t xml:space="preserve"> (2 questões de pesquisa).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Preparação</w:t>
      </w:r>
      <w:r>
        <w:t xml:space="preserve"> (5 consultas) — nulos, duplicatas, domínio, cronologia, atributos derivados.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Análise descritiva</w:t>
      </w:r>
      <w:r>
        <w:t xml:space="preserve"> (5 consultas) — estatísticas de taxas e PU, SELIC por ano, volatilidade.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Análise por objetivos</w:t>
      </w:r>
      <w:r>
        <w:t xml:space="preserve"> (5 consultas) — cruzamento SELIC × Tesouro para responder às perguntas.</w:t>
      </w:r>
    </w:p>
    <w:p>
      <w:pPr>
        <w:pStyle w:val="Heading1"/>
      </w:pPr>
      <w:r>
        <w:t xml:space="preserve">5. Principais achados</w:t>
      </w:r>
    </w:p>
    <w:p>
      <w:pPr>
        <w:pStyle w:val="Heading2"/>
      </w:pPr>
      <w:r>
        <w:t xml:space="preserve">Caracterização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53.962 registros, 2021–2025.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Distribuição por família: </w:t>
      </w:r>
      <w:r>
        <w:rPr>
          <w:b/>
          <w:bCs/>
        </w:rPr>
        <w:t xml:space="preserve">IPCA+ = 16.656</w:t>
      </w:r>
      <w:r>
        <w:t xml:space="preserve">; </w:t>
      </w:r>
      <w:r>
        <w:rPr>
          <w:b/>
          <w:bCs/>
        </w:rPr>
        <w:t xml:space="preserve">Prefixado = 12.875</w:t>
      </w:r>
      <w:r>
        <w:t xml:space="preserve">; Educa+ = 10.369; Renda+ = 5.832; Selic = 5.668; IGPM+ = 1.306 (residual).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SELIC diária: mín 0,007469; máx 0,055131; média ~0,04 (≈ ~10,6% a.a.).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Maior taxa de venda: </w:t>
      </w:r>
      <w:r>
        <w:rPr>
          <w:b/>
          <w:bCs/>
        </w:rPr>
        <w:t xml:space="preserve">16,33%</w:t>
      </w:r>
      <w:r>
        <w:t xml:space="preserve"> (Tesouro Prefixado).</w:t>
      </w:r>
    </w:p>
    <w:p>
      <w:pPr>
        <w:pStyle w:val="Heading2"/>
      </w:pPr>
      <w:r>
        <w:t xml:space="preserve">Preparação / qualidade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0 duplicatas</w:t>
      </w:r>
      <w:r>
        <w:t xml:space="preserve"> (chave primária íntegra).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0 nulos</w:t>
      </w:r>
      <w:r>
        <w:t xml:space="preserve"> nas colunas de venda (</w:t>
      </w:r>
      <w:r>
        <w:rPr>
          <w:rFonts w:ascii="Consolas" w:cs="Consolas" w:eastAsia="Consolas" w:hAnsi="Consolas"/>
          <w:color w:val="9C2C2C"/>
        </w:rPr>
        <w:t xml:space="preserve">taxa_venda_manha</w:t>
      </w:r>
      <w:r>
        <w:t xml:space="preserve">, </w:t>
      </w:r>
      <w:r>
        <w:rPr>
          <w:rFonts w:ascii="Consolas" w:cs="Consolas" w:eastAsia="Consolas" w:hAnsi="Consolas"/>
          <w:color w:val="9C2C2C"/>
        </w:rPr>
        <w:t xml:space="preserve">pu_venda_manha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Cronologia consistente</w:t>
      </w:r>
      <w:r>
        <w:t xml:space="preserve"> (nenhum vencimento ≤ data de cotação).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Atributos derivados criados: </w:t>
      </w:r>
      <w:r>
        <w:rPr>
          <w:rFonts w:ascii="Consolas" w:cs="Consolas" w:eastAsia="Consolas" w:hAnsi="Consolas"/>
          <w:color w:val="9C2C2C"/>
        </w:rPr>
        <w:t xml:space="preserve">ano_cotacao</w:t>
      </w:r>
      <w:r>
        <w:t xml:space="preserve">, </w:t>
      </w:r>
      <w:r>
        <w:rPr>
          <w:rFonts w:ascii="Consolas" w:cs="Consolas" w:eastAsia="Consolas" w:hAnsi="Consolas"/>
          <w:color w:val="9C2C2C"/>
        </w:rPr>
        <w:t xml:space="preserve">mes_cotacao</w:t>
      </w:r>
      <w:r>
        <w:t xml:space="preserve">, </w:t>
      </w:r>
      <w:r>
        <w:rPr>
          <w:rFonts w:ascii="Consolas" w:cs="Consolas" w:eastAsia="Consolas" w:hAnsi="Consolas"/>
          <w:color w:val="9C2C2C"/>
        </w:rPr>
        <w:t xml:space="preserve">dias_para_vencer</w:t>
      </w:r>
      <w:r>
        <w:t xml:space="preserve">.</w:t>
      </w:r>
    </w:p>
    <w:p>
      <w:pPr>
        <w:pStyle w:val="Heading2"/>
      </w:pPr>
      <w:r>
        <w:t xml:space="preserve">Descritiva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Prefixados: maiores taxas nominais médias (~11,8%). IPCA+: entrega taxa </w:t>
      </w:r>
      <w:r>
        <w:rPr>
          <w:b/>
          <w:bCs/>
        </w:rPr>
        <w:t xml:space="preserve">real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Volatilidade do PU cresce com o prazo: Prefixado venc. 2022 → amplitude R$ 35,59; venc. 2026 → R$ 393,19 (títulos longos têm duration maior).</w:t>
      </w:r>
    </w:p>
    <w:p>
      <w:pPr>
        <w:pStyle w:val="Heading2"/>
      </w:pPr>
      <w:r>
        <w:t xml:space="preserve">Objetivo 1 — Prêmio do IPCA+ vs. cenário da SELIC ✅ confirmado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rPr>
          <w:tblHeader/>
        </w:trP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Cenário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SELIC diária média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Taxa média IPCA+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Selic Alta (≥ 0,05)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t xml:space="preserve">0,0526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t xml:space="preserve">6,88%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Selic Intermediária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t xml:space="preserve">0,0420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t xml:space="preserve">6,19%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Selic Baixa (≤ 0,02)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t xml:space="preserve">0,0129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t xml:space="preserve">3,98%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/>
      </w:pPr>
      <w:r>
        <w:t xml:space="preserve">O prêmio real médio do IPCA+ </w:t>
      </w:r>
      <w:r>
        <w:rPr>
          <w:b/>
          <w:bCs/>
        </w:rPr>
        <w:t xml:space="preserve">quase dobra</w:t>
      </w:r>
      <w:r>
        <w:t xml:space="preserve"> (3,98% → 6,88%), com picos de </w:t>
      </w:r>
      <w:r>
        <w:rPr>
          <w:b/>
          <w:bCs/>
        </w:rPr>
        <w:t xml:space="preserve">10,49%</w:t>
      </w:r>
      <w:r>
        <w:t xml:space="preserve"> em dez/2025 (auge do aperto). O Tesouro paga mais para atrair o investidor em ciclos de juros altos.</w:t>
      </w:r>
    </w:p>
    <w:p>
      <w:pPr>
        <w:pStyle w:val="Heading2"/>
      </w:pPr>
      <w:r>
        <w:t xml:space="preserve">Objetivo 2 — Efeito gangorra no Prefixado ✅ confirmado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Ano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SELIC diária máx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PU médio Prefixado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2021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t xml:space="preserve">0,0347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t xml:space="preserve">933,70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2022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t xml:space="preserve">0,0508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t xml:space="preserve">848,09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2023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t xml:space="preserve">0,0508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t xml:space="preserve">873,87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2024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t xml:space="preserve">0,0455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t xml:space="preserve">864,80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2025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t xml:space="preserve">0,0551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t xml:space="preserve">773,10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/>
      </w:pPr>
      <w:r>
        <w:t xml:space="preserve">Quando a SELIC sobe, o PU cai: de </w:t>
      </w:r>
      <w:r>
        <w:rPr>
          <w:b/>
          <w:bCs/>
        </w:rPr>
        <w:t xml:space="preserve">R$ 933,70 (2021)</w:t>
      </w:r>
      <w:r>
        <w:t xml:space="preserve"> para </w:t>
      </w:r>
      <w:r>
        <w:rPr>
          <w:b/>
          <w:bCs/>
        </w:rPr>
        <w:t xml:space="preserve">R$ 773,10 (2025)</w:t>
      </w:r>
      <w:r>
        <w:t xml:space="preserve">, com mínima histórica de </w:t>
      </w:r>
      <w:r>
        <w:rPr>
          <w:b/>
          <w:bCs/>
        </w:rPr>
        <w:t xml:space="preserve">R$ 381,26</w:t>
      </w:r>
      <w:r>
        <w:t xml:space="preserve">. O efeito é mais forte nos vencimentos longos.</w:t>
      </w:r>
    </w:p>
    <w:p>
      <w:pPr>
        <w:pStyle w:val="Heading1"/>
      </w:pPr>
      <w:r>
        <w:t xml:space="preserve">6. Análise crítica (limitações das fontes)</w:t>
      </w:r>
    </w:p>
    <w:p>
      <w:pPr>
        <w:pStyle w:val="Heading3"/>
      </w:pPr>
      <w:r>
        <w:t xml:space="preserve">SELIC Diária (BACEN)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Cobre só dias úteis (sem fins de semana/feriados) — cuidado em retornos acumulados.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Publicada com 1 dia útil de atraso; sem granularidade intradiária; não reflete expectativas futuras.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É a série </w:t>
      </w:r>
      <w:r>
        <w:rPr>
          <w:b/>
          <w:bCs/>
        </w:rPr>
        <w:t xml:space="preserve">diária</w:t>
      </w:r>
      <w:r>
        <w:t xml:space="preserve"> (SGS 11), distinta da SELIC oficial anualizada do Copom (base 252 dias úteis).</w:t>
      </w:r>
    </w:p>
    <w:p>
      <w:pPr>
        <w:pStyle w:val="Heading3"/>
      </w:pPr>
      <w:r>
        <w:t xml:space="preserve">Tesouro Direto (Tesouro Nacional)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Apenas cotações da manhã — sem análise intradiária.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Viés de sobrevivência:</w:t>
      </w:r>
      <w:r>
        <w:t xml:space="preserve"> títulos descontinuados antes de 2021 não aparecem.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C2C"/>
        </w:rPr>
        <w:t xml:space="preserve">tipo_titulo</w:t>
      </w:r>
      <w:r>
        <w:t xml:space="preserve"> mistura categoria, produto e vencimento — exige normalização.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Sem volume negociado</w:t>
      </w:r>
      <w:r>
        <w:t xml:space="preserve"> — impossível medir liquidez (por isso só há 2 objetivos, não 3).</w:t>
      </w:r>
    </w:p>
    <w:p>
      <w:pPr>
        <w:pStyle w:val="Heading1"/>
      </w:pPr>
      <w:r>
        <w:t xml:space="preserve">7. Pontos de atenção / honestidade metodológica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Mistura de subtipos de Prefixado:</w:t>
      </w:r>
      <w:r>
        <w:t xml:space="preserve"> consultas com </w:t>
      </w:r>
      <w:r>
        <w:rPr>
          <w:rFonts w:ascii="Consolas" w:cs="Consolas" w:eastAsia="Consolas" w:hAnsi="Consolas"/>
          <w:color w:val="9C2C2C"/>
        </w:rPr>
        <w:t xml:space="preserve">LIKE 'Tesouro Prefixado%'</w:t>
      </w:r>
      <w:r>
        <w:t xml:space="preserve"> capturam tanto o “Tesouro Prefixado” (zero-cupom) quanto o “...com Juros Semestrais” — o PU médio mistura os dois.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Valores anômalos no Tesouro:</w:t>
      </w:r>
      <w:r>
        <w:t xml:space="preserve"> PU = R$ 0,00 no IGPM+ e taxas negativas (IGPM+ −3,28%; Selic −0,04%). A verificação de domínio cobriu só a SELIC, não os preços/taxas do Tesouro.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Consulta 20 redundante:</w:t>
      </w:r>
      <w:r>
        <w:t xml:space="preserve"> repete a 14 e faz um JOIN inútil com </w:t>
      </w:r>
      <w:r>
        <w:rPr>
          <w:rFonts w:ascii="Consolas" w:cs="Consolas" w:eastAsia="Consolas" w:hAnsi="Consolas"/>
          <w:color w:val="9C2C2C"/>
        </w:rPr>
        <w:t xml:space="preserve">selic_diaria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Verificação de nulos parcial:</w:t>
      </w:r>
      <w:r>
        <w:t xml:space="preserve"> testou só colunas de venda; os nulos previstos estão nas de compra.</w:t>
      </w:r>
    </w:p>
    <w:p>
      <w:pPr>
        <w:pStyle w:val="Heading1"/>
      </w:pPr>
      <w:r>
        <w:t xml:space="preserve">8. Possíveis perguntas do professor (FAQ)</w:t>
      </w:r>
    </w:p>
    <w:p>
      <w:pPr>
        <w:spacing w:after="40" w:before="120"/>
      </w:pPr>
      <w:r>
        <w:rPr>
          <w:b/>
          <w:bCs/>
          <w:color w:val="1F4E79"/>
        </w:rPr>
        <w:t xml:space="preserve">P: </w:t>
      </w:r>
      <w:r>
        <w:rPr>
          <w:b/>
          <w:bCs/>
        </w:rPr>
        <w:t xml:space="preserve">Por que a SELIC aparece com valores ~0,04 e não ~13%?</w:t>
      </w:r>
    </w:p>
    <w:p>
      <w:pPr>
        <w:spacing w:after="80"/>
        <w:ind w:left="240"/>
      </w:pPr>
      <w:r>
        <w:rPr>
          <w:b/>
          <w:bCs/>
          <w:color w:val="2E7D32"/>
        </w:rPr>
        <w:t xml:space="preserve">R: </w:t>
      </w:r>
      <w:r>
        <w:t xml:space="preserve">Porque é a série </w:t>
      </w:r>
      <w:r>
        <w:rPr>
          <w:b/>
          <w:bCs/>
        </w:rPr>
        <w:t xml:space="preserve">diária</w:t>
      </w:r>
      <w:r>
        <w:t xml:space="preserve"> (SGS 11), em % ao dia. Para anualizar: (1+valor)^252 − 1.</w:t>
      </w:r>
    </w:p>
    <w:p>
      <w:pPr>
        <w:spacing w:after="40" w:before="120"/>
      </w:pPr>
      <w:r>
        <w:rPr>
          <w:b/>
          <w:bCs/>
          <w:color w:val="1F4E79"/>
        </w:rPr>
        <w:t xml:space="preserve">P: </w:t>
      </w:r>
      <w:r>
        <w:rPr>
          <w:b/>
          <w:bCs/>
        </w:rPr>
        <w:t xml:space="preserve">O que é o PU (Preço Unitário)?</w:t>
      </w:r>
    </w:p>
    <w:p>
      <w:pPr>
        <w:spacing w:after="80"/>
        <w:ind w:left="240"/>
      </w:pPr>
      <w:r>
        <w:rPr>
          <w:b/>
          <w:bCs/>
          <w:color w:val="2E7D32"/>
        </w:rPr>
        <w:t xml:space="preserve">R: </w:t>
      </w:r>
      <w:r>
        <w:t xml:space="preserve">É o preço, em reais, de uma unidade do título numa data. Sobe e desce com os juros de mercado.</w:t>
      </w:r>
    </w:p>
    <w:p>
      <w:pPr>
        <w:spacing w:after="40" w:before="120"/>
      </w:pPr>
      <w:r>
        <w:rPr>
          <w:b/>
          <w:bCs/>
          <w:color w:val="1F4E79"/>
        </w:rPr>
        <w:t xml:space="preserve">P: </w:t>
      </w:r>
      <w:r>
        <w:rPr>
          <w:b/>
          <w:bCs/>
        </w:rPr>
        <w:t xml:space="preserve">Por que o preço do Prefixado cai quando a SELIC sobe?</w:t>
      </w:r>
    </w:p>
    <w:p>
      <w:pPr>
        <w:spacing w:after="80"/>
        <w:ind w:left="240"/>
      </w:pPr>
      <w:r>
        <w:rPr>
          <w:b/>
          <w:bCs/>
          <w:color w:val="2E7D32"/>
        </w:rPr>
        <w:t xml:space="preserve">R: </w:t>
      </w:r>
      <w:r>
        <w:t xml:space="preserve">O Prefixado tem taxa fixa. Se a SELIC (juros de mercado) sobe, títulos novos pagam mais; para o título antigo competir, seu preço precisa cair — é a marcação a mercado (efeito gangorra). Mais intenso em vencimentos longos (maior duration).</w:t>
      </w:r>
    </w:p>
    <w:p>
      <w:pPr>
        <w:spacing w:after="40" w:before="120"/>
      </w:pPr>
      <w:r>
        <w:rPr>
          <w:b/>
          <w:bCs/>
          <w:color w:val="1F4E79"/>
        </w:rPr>
        <w:t xml:space="preserve">P: </w:t>
      </w:r>
      <w:r>
        <w:rPr>
          <w:b/>
          <w:bCs/>
        </w:rPr>
        <w:t xml:space="preserve">Por que o IPCA+ paga mais em juros altos?</w:t>
      </w:r>
    </w:p>
    <w:p>
      <w:pPr>
        <w:spacing w:after="80"/>
        <w:ind w:left="240"/>
      </w:pPr>
      <w:r>
        <w:rPr>
          <w:b/>
          <w:bCs/>
          <w:color w:val="2E7D32"/>
        </w:rPr>
        <w:t xml:space="preserve">R: </w:t>
      </w:r>
      <w:r>
        <w:t xml:space="preserve">Em ciclos de aperto, o Tesouro eleva o prêmio real para atrair investidores — vimos o prêmio médio quase dobrar (3,98% → 6,88%).</w:t>
      </w:r>
    </w:p>
    <w:p>
      <w:pPr>
        <w:spacing w:after="40" w:before="120"/>
      </w:pPr>
      <w:r>
        <w:rPr>
          <w:b/>
          <w:bCs/>
          <w:color w:val="1F4E79"/>
        </w:rPr>
        <w:t xml:space="preserve">P: </w:t>
      </w:r>
      <w:r>
        <w:rPr>
          <w:b/>
          <w:bCs/>
        </w:rPr>
        <w:t xml:space="preserve">Como as duas tabelas se relacionam?</w:t>
      </w:r>
    </w:p>
    <w:p>
      <w:pPr>
        <w:spacing w:after="80"/>
        <w:ind w:left="240"/>
      </w:pPr>
      <w:r>
        <w:rPr>
          <w:b/>
          <w:bCs/>
          <w:color w:val="2E7D32"/>
        </w:rPr>
        <w:t xml:space="preserve">R: </w:t>
      </w:r>
      <w:r>
        <w:t xml:space="preserve">Por data: </w:t>
      </w:r>
      <w:r>
        <w:rPr>
          <w:rFonts w:ascii="Consolas" w:cs="Consolas" w:eastAsia="Consolas" w:hAnsi="Consolas"/>
          <w:color w:val="9C2C2C"/>
        </w:rPr>
        <w:t xml:space="preserve">tesouro_direto.data_base</w:t>
      </w:r>
      <w:r>
        <w:t xml:space="preserve"> é FK para </w:t>
      </w:r>
      <w:r>
        <w:rPr>
          <w:rFonts w:ascii="Consolas" w:cs="Consolas" w:eastAsia="Consolas" w:hAnsi="Consolas"/>
          <w:color w:val="9C2C2C"/>
        </w:rPr>
        <w:t xml:space="preserve">selic_diaria.data</w:t>
      </w:r>
      <w:r>
        <w:t xml:space="preserve">. Os JOINs casam cada cotação do Tesouro com a SELIC do mesmo dia.</w:t>
      </w:r>
    </w:p>
    <w:p>
      <w:pPr>
        <w:spacing w:after="40" w:before="120"/>
      </w:pPr>
      <w:r>
        <w:rPr>
          <w:b/>
          <w:bCs/>
          <w:color w:val="1F4E79"/>
        </w:rPr>
        <w:t xml:space="preserve">P: </w:t>
      </w:r>
      <w:r>
        <w:rPr>
          <w:b/>
          <w:bCs/>
        </w:rPr>
        <w:t xml:space="preserve">Qual é a chave primária do Tesouro? Por que composta?</w:t>
      </w:r>
    </w:p>
    <w:p>
      <w:pPr>
        <w:spacing w:after="80"/>
        <w:ind w:left="240"/>
      </w:pPr>
      <w:r>
        <w:rPr>
          <w:b/>
          <w:bCs/>
          <w:color w:val="2E7D32"/>
        </w:rPr>
        <w:t xml:space="preserve">R: </w:t>
      </w:r>
      <w:r>
        <w:t xml:space="preserve">(tipo_titulo, data_vencimento, data_base) — um mesmo tipo/vencimento aparece uma vez por dia de cotação; a tripla identifica unicamente cada linha. Confirmado: 0 duplicatas.</w:t>
      </w:r>
    </w:p>
    <w:p>
      <w:pPr>
        <w:spacing w:after="40" w:before="120"/>
      </w:pPr>
      <w:r>
        <w:rPr>
          <w:b/>
          <w:bCs/>
          <w:color w:val="1F4E79"/>
        </w:rPr>
        <w:t xml:space="preserve">P: </w:t>
      </w:r>
      <w:r>
        <w:rPr>
          <w:b/>
          <w:bCs/>
        </w:rPr>
        <w:t xml:space="preserve">Tem dados faltando (nulos)?</w:t>
      </w:r>
    </w:p>
    <w:p>
      <w:pPr>
        <w:spacing w:after="80"/>
        <w:ind w:left="240"/>
      </w:pPr>
      <w:r>
        <w:rPr>
          <w:b/>
          <w:bCs/>
          <w:color w:val="2E7D32"/>
        </w:rPr>
        <w:t xml:space="preserve">R: </w:t>
      </w:r>
      <w:r>
        <w:t xml:space="preserve">Nas colunas de venda, não — 0 nulos. Nas de compra, pode haver NULL quando o Tesouro suspende a recompra (esperado). Não verificamos exaustivamente as colunas de compra.</w:t>
      </w:r>
    </w:p>
    <w:p>
      <w:pPr>
        <w:spacing w:after="40" w:before="120"/>
      </w:pPr>
      <w:r>
        <w:rPr>
          <w:b/>
          <w:bCs/>
          <w:color w:val="1F4E79"/>
        </w:rPr>
        <w:t xml:space="preserve">P: </w:t>
      </w:r>
      <w:r>
        <w:rPr>
          <w:b/>
          <w:bCs/>
        </w:rPr>
        <w:t xml:space="preserve">Por que só 2 objetivos e não análise de liquidez?</w:t>
      </w:r>
    </w:p>
    <w:p>
      <w:pPr>
        <w:spacing w:after="80"/>
        <w:ind w:left="240"/>
      </w:pPr>
      <w:r>
        <w:rPr>
          <w:b/>
          <w:bCs/>
          <w:color w:val="2E7D32"/>
        </w:rPr>
        <w:t xml:space="preserve">R: </w:t>
      </w:r>
      <w:r>
        <w:t xml:space="preserve">A fonte do Tesouro não traz volume negociado, então não há como medir liquidez.</w:t>
      </w:r>
    </w:p>
    <w:p>
      <w:pPr>
        <w:spacing w:after="40" w:before="120"/>
      </w:pPr>
      <w:r>
        <w:rPr>
          <w:b/>
          <w:bCs/>
          <w:color w:val="1F4E79"/>
        </w:rPr>
        <w:t xml:space="preserve">P: </w:t>
      </w:r>
      <w:r>
        <w:rPr>
          <w:b/>
          <w:bCs/>
        </w:rPr>
        <w:t xml:space="preserve">E os valores negativos / PU zerado?</w:t>
      </w:r>
    </w:p>
    <w:p>
      <w:pPr>
        <w:spacing w:after="80"/>
        <w:ind w:left="240"/>
      </w:pPr>
      <w:r>
        <w:rPr>
          <w:b/>
          <w:bCs/>
          <w:color w:val="2E7D32"/>
        </w:rPr>
        <w:t xml:space="preserve">R: </w:t>
      </w:r>
      <w:r>
        <w:t xml:space="preserve">São anomalias de domínio no Tesouro (IGPM+ e Selic), tratadas como limitação na análise crítica — não como resultado.</w:t>
      </w:r>
    </w:p>
    <w:p>
      <w:pPr>
        <w:spacing w:after="40" w:before="120"/>
      </w:pPr>
      <w:r>
        <w:rPr>
          <w:b/>
          <w:bCs/>
          <w:color w:val="1F4E79"/>
        </w:rPr>
        <w:t xml:space="preserve">P: </w:t>
      </w:r>
      <w:r>
        <w:rPr>
          <w:b/>
          <w:bCs/>
        </w:rPr>
        <w:t xml:space="preserve">Por que PostgreSQL?</w:t>
      </w:r>
    </w:p>
    <w:p>
      <w:pPr>
        <w:spacing w:after="80"/>
        <w:ind w:left="240"/>
      </w:pPr>
      <w:r>
        <w:rPr>
          <w:b/>
          <w:bCs/>
          <w:color w:val="2E7D32"/>
        </w:rPr>
        <w:t xml:space="preserve">R: </w:t>
      </w:r>
      <w:r>
        <w:t xml:space="preserve">SGBD relacional robusto, gratuito, com bom suporte a tipos </w:t>
      </w:r>
      <w:r>
        <w:rPr>
          <w:rFonts w:ascii="Consolas" w:cs="Consolas" w:eastAsia="Consolas" w:hAnsi="Consolas"/>
          <w:color w:val="9C2C2C"/>
        </w:rPr>
        <w:t xml:space="preserve">DATE</w:t>
      </w:r>
      <w:r>
        <w:t xml:space="preserve">/</w:t>
      </w:r>
      <w:r>
        <w:rPr>
          <w:rFonts w:ascii="Consolas" w:cs="Consolas" w:eastAsia="Consolas" w:hAnsi="Consolas"/>
          <w:color w:val="9C2C2C"/>
        </w:rPr>
        <w:t xml:space="preserve">NUMERIC</w:t>
      </w:r>
      <w:r>
        <w:t xml:space="preserve">, chaves compostas e funções de agregação/data usadas nas consultas (</w:t>
      </w:r>
      <w:r>
        <w:rPr>
          <w:rFonts w:ascii="Consolas" w:cs="Consolas" w:eastAsia="Consolas" w:hAnsi="Consolas"/>
          <w:color w:val="9C2C2C"/>
        </w:rPr>
        <w:t xml:space="preserve">EXTRACT</w:t>
      </w:r>
      <w:r>
        <w:t xml:space="preserve">, </w:t>
      </w:r>
      <w:r>
        <w:rPr>
          <w:rFonts w:ascii="Consolas" w:cs="Consolas" w:eastAsia="Consolas" w:hAnsi="Consolas"/>
          <w:color w:val="9C2C2C"/>
        </w:rPr>
        <w:t xml:space="preserve">AVG</w:t>
      </w:r>
      <w:r>
        <w:t xml:space="preserve">, </w:t>
      </w:r>
      <w:r>
        <w:rPr>
          <w:rFonts w:ascii="Consolas" w:cs="Consolas" w:eastAsia="Consolas" w:hAnsi="Consolas"/>
          <w:color w:val="9C2C2C"/>
        </w:rPr>
        <w:t xml:space="preserve">GROUP BY</w:t>
      </w:r>
      <w:r>
        <w:t xml:space="preserve">).</w:t>
      </w:r>
    </w:p>
    <w:p>
      <w:pPr>
        <w:pStyle w:val="Heading1"/>
      </w:pPr>
      <w:r>
        <w:t xml:space="preserve">9. Entregáveis e publicação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Dados tratados: </w:t>
      </w:r>
      <w:r>
        <w:rPr>
          <w:rFonts w:ascii="Consolas" w:cs="Consolas" w:eastAsia="Consolas" w:hAnsi="Consolas"/>
          <w:color w:val="9C2C2C"/>
        </w:rPr>
        <w:t xml:space="preserve">dados/selic_limpo.csv</w:t>
      </w:r>
      <w:r>
        <w:t xml:space="preserve">, </w:t>
      </w:r>
      <w:r>
        <w:rPr>
          <w:rFonts w:ascii="Consolas" w:cs="Consolas" w:eastAsia="Consolas" w:hAnsi="Consolas"/>
          <w:color w:val="9C2C2C"/>
        </w:rPr>
        <w:t xml:space="preserve">dados/tesouro_absoluto.csv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Modelo ER: </w:t>
      </w:r>
      <w:r>
        <w:rPr>
          <w:rFonts w:ascii="Consolas" w:cs="Consolas" w:eastAsia="Consolas" w:hAnsi="Consolas"/>
          <w:color w:val="9C2C2C"/>
        </w:rPr>
        <w:t xml:space="preserve">metadados/ModeloER.png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Relatórios: </w:t>
      </w:r>
      <w:r>
        <w:rPr>
          <w:rFonts w:ascii="Consolas" w:cs="Consolas" w:eastAsia="Consolas" w:hAnsi="Consolas"/>
          <w:color w:val="9C2C2C"/>
        </w:rPr>
        <w:t xml:space="preserve">Relatorio_Parte1_IBD.pdf</w:t>
      </w:r>
      <w:r>
        <w:t xml:space="preserve">, </w:t>
      </w:r>
      <w:r>
        <w:rPr>
          <w:rFonts w:ascii="Consolas" w:cs="Consolas" w:eastAsia="Consolas" w:hAnsi="Consolas"/>
          <w:color w:val="9C2C2C"/>
        </w:rPr>
        <w:t xml:space="preserve">Relatorio_Parte2.md</w:t>
      </w:r>
      <w:r>
        <w:t xml:space="preserve">, </w:t>
      </w:r>
      <w:r>
        <w:rPr>
          <w:rFonts w:ascii="Consolas" w:cs="Consolas" w:eastAsia="Consolas" w:hAnsi="Consolas"/>
          <w:color w:val="9C2C2C"/>
        </w:rPr>
        <w:t xml:space="preserve">analise_critica.md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Resultados das consultas: </w:t>
      </w:r>
      <w:r>
        <w:rPr>
          <w:rFonts w:ascii="Consolas" w:cs="Consolas" w:eastAsia="Consolas" w:hAnsi="Consolas"/>
          <w:color w:val="9C2C2C"/>
        </w:rPr>
        <w:t xml:space="preserve">docs/consultas-resultados/consulta_1..20</w:t>
      </w:r>
      <w:r>
        <w:t xml:space="preserve"> (CSV).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Apresentação: </w:t>
      </w:r>
      <w:r>
        <w:rPr>
          <w:rFonts w:ascii="Consolas" w:cs="Consolas" w:eastAsia="Consolas" w:hAnsi="Consolas"/>
          <w:color w:val="9C2C2C"/>
        </w:rPr>
        <w:t xml:space="preserve">Apresentacao_TP-IBD.pptx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Repositório: github.com/davi-balsamao/TP-IBD.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6"/>
      </w:pBdr>
      <w:jc w:val="center"/>
    </w:pPr>
    <w:r>
      <w:rPr>
        <w:color w:val="595959"/>
        <w:sz w:val="16"/>
        <w:szCs w:val="16"/>
      </w:rPr>
      <w:t xml:space="preserve">Resumo Geral — TP IBD   •   </w:t>
    </w:r>
    <w:r>
      <w:rPr>
        <w:color w:val="595959"/>
        <w:sz w:val="16"/>
        <w:szCs w:val="16"/>
      </w:rPr>
      <w:t xml:space="preserve">Pág.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F4E79"/>
      <w:sz w:val="40"/>
      <w:szCs w:val="40"/>
    </w:rPr>
  </w:style>
  <w:style w:type="paragraph" w:styleId="Subtitle">
    <w:name w:val="Subtitle"/>
    <w:basedOn w:val="Normal"/>
    <w:next w:val="Normal"/>
    <w:pPr>
      <w:spacing w:after="240"/>
    </w:pPr>
    <w:rPr>
      <w:rFonts w:ascii="Calibri" w:cs="Calibri" w:eastAsia="Calibri" w:hAnsi="Calibri"/>
      <w:i/>
      <w:iCs/>
      <w:color w:val="595959"/>
      <w:sz w:val="22"/>
      <w:szCs w:val="22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2"/>
      </w:pBdr>
      <w:spacing w:after="160" w:before="32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2026-06-11T12:26:27.711Z</dcterms:created>
  <dcterms:modified xsi:type="dcterms:W3CDTF">2026-06-11T12:26:27.711Z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