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de Apresentação</w:t>
      </w:r>
    </w:p>
    <w:p>
      <w:pPr>
        <w:pStyle w:val="Subtitle"/>
      </w:pPr>
      <w:r>
        <w:t xml:space="preserve">TP de Introdução a Bancos de Dados — SELIC e Tesouro Direto — DCC/UFMG 2026/1</w:t>
      </w:r>
    </w:p>
    <w:p>
      <w:pPr>
        <w:spacing w:after="120"/>
      </w:pPr>
      <w:r>
        <w:t xml:space="preserve">Base: apresentacao de 13 slides. Os numeros vem do Relatorio da Parte 2 (fonte da verdade). Tempo-alvo: ~10–12 min.</w:t>
      </w:r>
    </w:p>
    <w:p>
      <w:pPr>
        <w:pStyle w:val="Heading1"/>
      </w:pPr>
      <w:r>
        <w:t xml:space="preserve">Divisão de falas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Slides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Bloco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Responsável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1–2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Abertura: capa e roteiro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Enzo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Fontes de dados: SELIC, Tesouro Direto e PU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Fernando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4–5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Modelagem (Parte 1) + Metodologia (Parte 2)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Davi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6–7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Caracterização + introdução aos objetivos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Fernando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8–9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Preparação dos dados + Análise descritiva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Enzo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10–11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Objetivo 1 e Objetivo 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Pedro Puliti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12–13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Análise crítica + Conclusões e fechamento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Otávio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t xml:space="preserve">Carga: Enzo 4 slides · Fernando 3 · Davi 2 · Puliti 2 · Otávio 2.</w:t>
      </w:r>
    </w:p>
    <w:p>
      <w:pPr>
        <w:pStyle w:val="Heading1"/>
      </w:pPr>
      <w:r>
        <w:t xml:space="preserve">Enzo — Abertura (slides 1 e 2)</w:t>
      </w:r>
    </w:p>
    <w:p>
      <w:pPr>
        <w:pStyle w:val="Heading3"/>
      </w:pPr>
      <w:r>
        <w:t xml:space="preserve">Slide 1 — Capa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Bom dia/boa tarde. Nosso trabalho integra duas fontes públicas: a </w:t>
      </w:r>
      <w:r>
        <w:rPr>
          <w:b/>
          <w:bCs/>
          <w:i/>
          <w:iCs/>
        </w:rPr>
        <w:t xml:space="preserve">taxa SELIC diária</w:t>
      </w:r>
      <w:r>
        <w:rPr>
          <w:i/>
          <w:iCs/>
        </w:rPr>
        <w:t xml:space="preserve">, do Banco Central, e os </w:t>
      </w:r>
      <w:r>
        <w:rPr>
          <w:b/>
          <w:bCs/>
          <w:i/>
          <w:iCs/>
        </w:rPr>
        <w:t xml:space="preserve">preços e taxas do Tesouro Direto</w:t>
      </w:r>
      <w:r>
        <w:rPr>
          <w:i/>
          <w:iCs/>
        </w:rPr>
        <w:t xml:space="preserve">, do Tesouro Nacional. A ideia é investigar como as decisões de juros do Banco Central afetam os títulos públicos.</w:t>
      </w:r>
    </w:p>
    <w:p>
      <w:pPr>
        <w:pStyle w:val="Heading3"/>
      </w:pPr>
      <w:r>
        <w:t xml:space="preserve">Slide 2 — Roteiro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Vamos passar por: fontes e motivação, a modelagem da Parte 1, a metodologia da Parte 2 com 20 consultas SQL, os principais achados, a análise crítica e as conclusões. Começando pelas fontes, passo para o Fernando.</w:t>
      </w:r>
    </w:p>
    <w:p>
      <w:pPr>
        <w:pStyle w:val="Heading1"/>
      </w:pPr>
      <w:r>
        <w:t xml:space="preserve">Fernando — Fontes de dados (slide 3)</w:t>
      </w:r>
    </w:p>
    <w:p>
      <w:pPr>
        <w:pStyle w:val="Heading3"/>
      </w:pPr>
      <w:r>
        <w:t xml:space="preserve">Slide 3 — Fontes de dados (introduzir SELIC, Tesouro e PU)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A </w:t>
      </w:r>
      <w:r>
        <w:rPr>
          <w:b/>
          <w:bCs/>
          <w:i/>
          <w:iCs/>
        </w:rPr>
        <w:t xml:space="preserve">SELIC</w:t>
      </w:r>
      <w:r>
        <w:rPr>
          <w:i/>
          <w:iCs/>
        </w:rPr>
        <w:t xml:space="preserve"> é a taxa básica de juros da economia. Usamos a série diária do BACEN (SGS nº 11): </w:t>
      </w:r>
      <w:r>
        <w:rPr>
          <w:b/>
          <w:bCs/>
          <w:i/>
          <w:iCs/>
        </w:rPr>
        <w:t xml:space="preserve">1.256 registros</w:t>
      </w:r>
      <w:r>
        <w:rPr>
          <w:i/>
          <w:iCs/>
        </w:rPr>
        <w:t xml:space="preserve">, de 2021 a 2025, em dias úteis. Importante: é a taxa </w:t>
      </w:r>
      <w:r>
        <w:rPr>
          <w:b/>
          <w:bCs/>
          <w:i/>
          <w:iCs/>
        </w:rPr>
        <w:t xml:space="preserve">efetiva diária</w:t>
      </w:r>
      <w:r>
        <w:rPr>
          <w:i/>
          <w:iCs/>
        </w:rPr>
        <w:t xml:space="preserve"> (% ao dia), não a anualizada do Copom.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O </w:t>
      </w:r>
      <w:r>
        <w:rPr>
          <w:b/>
          <w:bCs/>
          <w:i/>
          <w:iCs/>
        </w:rPr>
        <w:t xml:space="preserve">Tesouro Direto</w:t>
      </w:r>
      <w:r>
        <w:rPr>
          <w:i/>
          <w:iCs/>
        </w:rPr>
        <w:t xml:space="preserve"> é o programa de venda de títulos públicos a pessoas físicas. São </w:t>
      </w:r>
      <w:r>
        <w:rPr>
          <w:b/>
          <w:bCs/>
          <w:i/>
          <w:iCs/>
        </w:rPr>
        <w:t xml:space="preserve">52.706 cotações</w:t>
      </w:r>
      <w:r>
        <w:rPr>
          <w:i/>
          <w:iCs/>
        </w:rPr>
        <w:t xml:space="preserve">, de 8 famílias de títulos. Cada título tem uma </w:t>
      </w:r>
      <w:r>
        <w:rPr>
          <w:b/>
          <w:bCs/>
          <w:i/>
          <w:iCs/>
        </w:rPr>
        <w:t xml:space="preserve">taxa</w:t>
      </w:r>
      <w:r>
        <w:rPr>
          <w:i/>
          <w:iCs/>
        </w:rPr>
        <w:t xml:space="preserve"> (% ao ano) e um </w:t>
      </w:r>
      <w:r>
        <w:rPr>
          <w:b/>
          <w:bCs/>
          <w:i/>
          <w:iCs/>
        </w:rPr>
        <w:t xml:space="preserve">Preço Unitário, o PU</w:t>
      </w:r>
      <w:r>
        <w:rPr>
          <w:i/>
          <w:iCs/>
        </w:rPr>
        <w:t xml:space="preserve"> — que é, em reais, quanto custa o título naquele dia. Guardem o conceito de PU, porque ele é central no Objetivo 2. Sobre a modelagem disso, passo para o Davi.</w:t>
      </w:r>
    </w:p>
    <w:p>
      <w:pPr>
        <w:pStyle w:val="Heading1"/>
      </w:pPr>
      <w:r>
        <w:t xml:space="preserve">Davi — Modelagem e metodologia (slides 4 e 5)</w:t>
      </w:r>
    </w:p>
    <w:p>
      <w:pPr>
        <w:pStyle w:val="Heading3"/>
      </w:pPr>
      <w:r>
        <w:t xml:space="preserve">Slide 4 — Parte 1: Modelagem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Modelamos duas tabelas: </w:t>
      </w:r>
      <w:r>
        <w:rPr>
          <w:rFonts w:ascii="Consolas" w:cs="Consolas" w:eastAsia="Consolas" w:hAnsi="Consolas"/>
          <w:i/>
          <w:iCs/>
          <w:color w:val="9C2C2C"/>
        </w:rPr>
        <w:t xml:space="preserve">selic_diaria</w:t>
      </w:r>
      <w:r>
        <w:rPr>
          <w:i/>
          <w:iCs/>
        </w:rPr>
        <w:t xml:space="preserve"> e </w:t>
      </w:r>
      <w:r>
        <w:rPr>
          <w:rFonts w:ascii="Consolas" w:cs="Consolas" w:eastAsia="Consolas" w:hAnsi="Consolas"/>
          <w:i/>
          <w:iCs/>
          <w:color w:val="9C2C2C"/>
        </w:rPr>
        <w:t xml:space="preserve">tesouro_direto</w:t>
      </w:r>
      <w:r>
        <w:rPr>
          <w:i/>
          <w:iCs/>
        </w:rPr>
        <w:t xml:space="preserve">, no PostgreSQL. A junção é pela data: </w:t>
      </w:r>
      <w:r>
        <w:rPr>
          <w:rFonts w:ascii="Consolas" w:cs="Consolas" w:eastAsia="Consolas" w:hAnsi="Consolas"/>
          <w:i/>
          <w:iCs/>
          <w:color w:val="9C2C2C"/>
        </w:rPr>
        <w:t xml:space="preserve">tesouro_direto.data_base</w:t>
      </w:r>
      <w:r>
        <w:rPr>
          <w:i/>
          <w:iCs/>
        </w:rPr>
        <w:t xml:space="preserve"> referencia </w:t>
      </w:r>
      <w:r>
        <w:rPr>
          <w:rFonts w:ascii="Consolas" w:cs="Consolas" w:eastAsia="Consolas" w:hAnsi="Consolas"/>
          <w:i/>
          <w:iCs/>
          <w:color w:val="9C2C2C"/>
        </w:rPr>
        <w:t xml:space="preserve">selic_diaria.data</w:t>
      </w:r>
      <w:r>
        <w:rPr>
          <w:i/>
          <w:iCs/>
        </w:rPr>
        <w:t xml:space="preserve"> (chave estrangeira). A chave primária do Tesouro é composta — tipo de título, vencimento e data de cotação. São 8 tipos de título no total.</w:t>
      </w:r>
    </w:p>
    <w:p>
      <w:pPr>
        <w:pStyle w:val="Heading3"/>
      </w:pPr>
      <w:r>
        <w:t xml:space="preserve">Slide 5 — Parte 2: Metodologia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A análise foi feita direto em SQL no PostgreSQL: </w:t>
      </w:r>
      <w:r>
        <w:rPr>
          <w:b/>
          <w:bCs/>
          <w:i/>
          <w:iCs/>
        </w:rPr>
        <w:t xml:space="preserve">20 consultas em 5 etapas</w:t>
      </w:r>
      <w:r>
        <w:rPr>
          <w:i/>
          <w:iCs/>
        </w:rPr>
        <w:t xml:space="preserve"> — caracterização, definição dos objetivos, preparação, análise descritiva e análise por objetivos. Volto ao Fernando para a caracterização e as perguntas de pesquisa.</w:t>
      </w:r>
    </w:p>
    <w:p>
      <w:pPr>
        <w:pStyle w:val="Heading1"/>
      </w:pPr>
      <w:r>
        <w:t xml:space="preserve">Fernando — Caracterização e objetivos (slides 6 e 7)</w:t>
      </w:r>
    </w:p>
    <w:p>
      <w:pPr>
        <w:pStyle w:val="Heading3"/>
      </w:pPr>
      <w:r>
        <w:t xml:space="preserve">Slide 6 — Etapa 1: Caracterização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No total são </w:t>
      </w:r>
      <w:r>
        <w:rPr>
          <w:b/>
          <w:bCs/>
          <w:i/>
          <w:iCs/>
        </w:rPr>
        <w:t xml:space="preserve">53.962 registros</w:t>
      </w:r>
      <w:r>
        <w:rPr>
          <w:i/>
          <w:iCs/>
        </w:rPr>
        <w:t xml:space="preserve"> integrados, cobrindo 2021 a 2025. A SELIC diária variou de </w:t>
      </w:r>
      <w:r>
        <w:rPr>
          <w:b/>
          <w:bCs/>
          <w:i/>
          <w:iCs/>
        </w:rPr>
        <w:t xml:space="preserve">0,0075% a 0,0551% ao dia</w:t>
      </w:r>
      <w:r>
        <w:rPr>
          <w:i/>
          <w:iCs/>
        </w:rPr>
        <w:t xml:space="preserve"> — algo como ~2% a ~15% ao ano: um período de forte aperto monetário. E a maior taxa de venda registrada foi </w:t>
      </w:r>
      <w:r>
        <w:rPr>
          <w:b/>
          <w:bCs/>
          <w:i/>
          <w:iCs/>
        </w:rPr>
        <w:t xml:space="preserve">16,33%</w:t>
      </w:r>
      <w:r>
        <w:rPr>
          <w:i/>
          <w:iCs/>
        </w:rPr>
        <w:t xml:space="preserve">, num Tesouro Prefixado.</w:t>
      </w:r>
    </w:p>
    <w:p>
      <w:pPr>
        <w:pStyle w:val="Heading3"/>
      </w:pPr>
      <w:r>
        <w:t xml:space="preserve">Slide 7 — Objetivos de pesquisa (introduzir as perguntas)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Com os dados caracterizados, definimos duas perguntas de pesquisa: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b/>
          <w:bCs/>
          <w:i/>
          <w:iCs/>
        </w:rPr>
        <w:t xml:space="preserve">Objetivo 1</w:t>
      </w:r>
      <w:r>
        <w:rPr>
          <w:i/>
          <w:iCs/>
        </w:rPr>
        <w:t xml:space="preserve"> — em ciclos de alta da SELIC, o Tesouro paga prêmios maiores nos títulos </w:t>
      </w:r>
      <w:r>
        <w:rPr>
          <w:b/>
          <w:bCs/>
          <w:i/>
          <w:iCs/>
        </w:rPr>
        <w:t xml:space="preserve">IPCA+</w:t>
      </w:r>
      <w:r>
        <w:rPr>
          <w:i/>
          <w:iCs/>
        </w:rPr>
        <w:t xml:space="preserve"> para atrair o investidor?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b/>
          <w:bCs/>
          <w:i/>
          <w:iCs/>
        </w:rPr>
        <w:t xml:space="preserve">Objetivo 2</w:t>
      </w:r>
      <w:r>
        <w:rPr>
          <w:i/>
          <w:iCs/>
        </w:rPr>
        <w:t xml:space="preserve"> — como a alta e a queda da SELIC afetam o </w:t>
      </w:r>
      <w:r>
        <w:rPr>
          <w:b/>
          <w:bCs/>
          <w:i/>
          <w:iCs/>
        </w:rPr>
        <w:t xml:space="preserve">Preço Unitário</w:t>
      </w:r>
      <w:r>
        <w:rPr>
          <w:i/>
          <w:iCs/>
        </w:rPr>
        <w:t xml:space="preserve"> dos títulos </w:t>
      </w:r>
      <w:r>
        <w:rPr>
          <w:b/>
          <w:bCs/>
          <w:i/>
          <w:iCs/>
        </w:rPr>
        <w:t xml:space="preserve">Prefixados</w:t>
      </w:r>
      <w:r>
        <w:rPr>
          <w:i/>
          <w:iCs/>
        </w:rPr>
        <w:t xml:space="preserve">?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Antes de responder, o Enzo mostra como preparamos e descrevemos os dados.</w:t>
      </w:r>
    </w:p>
    <w:p>
      <w:pPr>
        <w:pStyle w:val="Heading1"/>
      </w:pPr>
      <w:r>
        <w:t xml:space="preserve">Enzo — Preparação e análise descritiva (slides 8 e 9)</w:t>
      </w:r>
    </w:p>
    <w:p>
      <w:pPr>
        <w:pStyle w:val="Heading3"/>
      </w:pPr>
      <w:r>
        <w:t xml:space="preserve">Slide 8 — Etapa 3: Preparação dos dados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Antes de analisar, validamos a qualidade: </w:t>
      </w:r>
      <w:r>
        <w:rPr>
          <w:b/>
          <w:bCs/>
          <w:i/>
          <w:iCs/>
        </w:rPr>
        <w:t xml:space="preserve">zero duplicatas</w:t>
      </w:r>
      <w:r>
        <w:rPr>
          <w:i/>
          <w:iCs/>
        </w:rPr>
        <w:t xml:space="preserve"> (a chave primária composta garante unicidade), </w:t>
      </w:r>
      <w:r>
        <w:rPr>
          <w:b/>
          <w:bCs/>
          <w:i/>
          <w:iCs/>
        </w:rPr>
        <w:t xml:space="preserve">zero nulos</w:t>
      </w:r>
      <w:r>
        <w:rPr>
          <w:i/>
          <w:iCs/>
        </w:rPr>
        <w:t xml:space="preserve"> nas colunas de venda, </w:t>
      </w:r>
      <w:r>
        <w:rPr>
          <w:b/>
          <w:bCs/>
          <w:i/>
          <w:iCs/>
        </w:rPr>
        <w:t xml:space="preserve">cronologia consistente</w:t>
      </w:r>
      <w:r>
        <w:rPr>
          <w:i/>
          <w:iCs/>
        </w:rPr>
        <w:t xml:space="preserve"> (nenhum vencimento antes da cotação) e criamos atributos derivados (ano, mês, dias para vencer). Um ponto de atenção: achamos valores fora do domínio no Tesouro — </w:t>
      </w:r>
      <w:r>
        <w:rPr>
          <w:b/>
          <w:bCs/>
          <w:i/>
          <w:iCs/>
        </w:rPr>
        <w:t xml:space="preserve">PU de R$ 0,00</w:t>
      </w:r>
      <w:r>
        <w:rPr>
          <w:i/>
          <w:iCs/>
        </w:rPr>
        <w:t xml:space="preserve"> no IGPM+ e </w:t>
      </w:r>
      <w:r>
        <w:rPr>
          <w:b/>
          <w:bCs/>
          <w:i/>
          <w:iCs/>
        </w:rPr>
        <w:t xml:space="preserve">taxas negativas</w:t>
      </w:r>
      <w:r>
        <w:rPr>
          <w:i/>
          <w:iCs/>
        </w:rPr>
        <w:t xml:space="preserve"> (IGPM+ −3,28%; Selic −0,04%) — que retomamos na análise crítica.</w:t>
      </w:r>
    </w:p>
    <w:p>
      <w:pPr>
        <w:pStyle w:val="Heading3"/>
      </w:pPr>
      <w:r>
        <w:t xml:space="preserve">Slide 9 — Etapa 4: Análise descritiva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Na descritiva, os </w:t>
      </w:r>
      <w:r>
        <w:rPr>
          <w:b/>
          <w:bCs/>
          <w:i/>
          <w:iCs/>
        </w:rPr>
        <w:t xml:space="preserve">Prefixados</w:t>
      </w:r>
      <w:r>
        <w:rPr>
          <w:i/>
          <w:iCs/>
        </w:rPr>
        <w:t xml:space="preserve"> pagam as maiores taxas nominais médias (~11,8%); o </w:t>
      </w:r>
      <w:r>
        <w:rPr>
          <w:b/>
          <w:bCs/>
          <w:i/>
          <w:iCs/>
        </w:rPr>
        <w:t xml:space="preserve">IPCA+</w:t>
      </w:r>
      <w:r>
        <w:rPr>
          <w:i/>
          <w:iCs/>
        </w:rPr>
        <w:t xml:space="preserve"> entrega taxa real, acima da inflação. E fica visível o ciclo: 2021 com juros baixos e, a partir de 2022, aperto monetário sustentado. As taxas em vermelho são as negativas, que extrapolam o domínio esperado. Com isso, o Puliti responde às duas perguntas.</w:t>
      </w:r>
    </w:p>
    <w:p>
      <w:pPr>
        <w:pStyle w:val="Heading1"/>
      </w:pPr>
      <w:r>
        <w:t xml:space="preserve">Pedro Puliti — Objetivos 1 e 2 (slides 10 e 11)</w:t>
      </w:r>
    </w:p>
    <w:p>
      <w:pPr>
        <w:pStyle w:val="Heading3"/>
      </w:pPr>
      <w:r>
        <w:t xml:space="preserve">Slide 10 — Etapa 5, Objetivo 1: prêmio do IPCA+ vs. SELIC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Retomando o Objetivo 1: o Tesouro paga mais no IPCA+ quando os juros sobem? </w:t>
      </w:r>
      <w:r>
        <w:rPr>
          <w:b/>
          <w:bCs/>
          <w:i/>
          <w:iCs/>
        </w:rPr>
        <w:t xml:space="preserve">Confirmado.</w:t>
      </w:r>
      <w:r>
        <w:rPr>
          <w:i/>
          <w:iCs/>
        </w:rPr>
        <w:t xml:space="preserve"> Separando os dias por cenário de SELIC, o prêmio real médio do IPCA+ </w:t>
      </w:r>
      <w:r>
        <w:rPr>
          <w:b/>
          <w:bCs/>
          <w:i/>
          <w:iCs/>
        </w:rPr>
        <w:t xml:space="preserve">quase dobra</w:t>
      </w:r>
      <w:r>
        <w:rPr>
          <w:i/>
          <w:iCs/>
        </w:rPr>
        <w:t xml:space="preserve">: </w:t>
      </w:r>
      <w:r>
        <w:rPr>
          <w:b/>
          <w:bCs/>
          <w:i/>
          <w:iCs/>
        </w:rPr>
        <w:t xml:space="preserve">3,98%</w:t>
      </w:r>
      <w:r>
        <w:rPr>
          <w:i/>
          <w:iCs/>
        </w:rPr>
        <w:t xml:space="preserve"> em dias de juros baixos contra </w:t>
      </w:r>
      <w:r>
        <w:rPr>
          <w:b/>
          <w:bCs/>
          <w:i/>
          <w:iCs/>
        </w:rPr>
        <w:t xml:space="preserve">6,88%</w:t>
      </w:r>
      <w:r>
        <w:rPr>
          <w:i/>
          <w:iCs/>
        </w:rPr>
        <w:t xml:space="preserve"> em dias de juros altos, com picos de </w:t>
      </w:r>
      <w:r>
        <w:rPr>
          <w:b/>
          <w:bCs/>
          <w:i/>
          <w:iCs/>
        </w:rPr>
        <w:t xml:space="preserve">10,49%</w:t>
      </w:r>
      <w:r>
        <w:rPr>
          <w:i/>
          <w:iCs/>
        </w:rPr>
        <w:t xml:space="preserve"> no auge do aperto, em dezembro de 2025. Ou seja, o governo eleva o prêmio para atrair o investidor em ciclos de aperto.</w:t>
      </w:r>
    </w:p>
    <w:p>
      <w:pPr>
        <w:pStyle w:val="Heading3"/>
      </w:pPr>
      <w:r>
        <w:t xml:space="preserve">Slide 11 — Etapa 5, Objetivo 2: efeito gangorra no Prefixado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No Objetivo 2, o </w:t>
      </w:r>
      <w:r>
        <w:rPr>
          <w:b/>
          <w:bCs/>
          <w:i/>
          <w:iCs/>
        </w:rPr>
        <w:t xml:space="preserve">efeito gangorra</w:t>
      </w:r>
      <w:r>
        <w:rPr>
          <w:i/>
          <w:iCs/>
        </w:rPr>
        <w:t xml:space="preserve">: juros sobem, preço do título antigo cai. </w:t>
      </w:r>
      <w:r>
        <w:rPr>
          <w:b/>
          <w:bCs/>
          <w:i/>
          <w:iCs/>
        </w:rPr>
        <w:t xml:space="preserve">Confirmado.</w:t>
      </w:r>
      <w:r>
        <w:rPr>
          <w:i/>
          <w:iCs/>
        </w:rPr>
        <w:t xml:space="preserve"> O PU médio do Prefixado caiu de </w:t>
      </w:r>
      <w:r>
        <w:rPr>
          <w:b/>
          <w:bCs/>
          <w:i/>
          <w:iCs/>
        </w:rPr>
        <w:t xml:space="preserve">R$ 933,70 em 2021</w:t>
      </w:r>
      <w:r>
        <w:rPr>
          <w:i/>
          <w:iCs/>
        </w:rPr>
        <w:t xml:space="preserve"> (SELIC mais baixa) para </w:t>
      </w:r>
      <w:r>
        <w:rPr>
          <w:b/>
          <w:bCs/>
          <w:i/>
          <w:iCs/>
        </w:rPr>
        <w:t xml:space="preserve">R$ 773,10 em 2025</w:t>
      </w:r>
      <w:r>
        <w:rPr>
          <w:i/>
          <w:iCs/>
        </w:rPr>
        <w:t xml:space="preserve"> (pico da SELIC), com mínima histórica de </w:t>
      </w:r>
      <w:r>
        <w:rPr>
          <w:b/>
          <w:bCs/>
          <w:i/>
          <w:iCs/>
        </w:rPr>
        <w:t xml:space="preserve">R$ 381,26</w:t>
      </w:r>
      <w:r>
        <w:rPr>
          <w:i/>
          <w:iCs/>
        </w:rPr>
        <w:t xml:space="preserve">. E o efeito é mais forte nos títulos de vencimento </w:t>
      </w:r>
      <w:r>
        <w:rPr>
          <w:b/>
          <w:bCs/>
          <w:i/>
          <w:iCs/>
        </w:rPr>
        <w:t xml:space="preserve">mais longo</w:t>
      </w:r>
      <w:r>
        <w:rPr>
          <w:i/>
          <w:iCs/>
        </w:rPr>
        <w:t xml:space="preserve">, que são mais sensíveis. Passo para o Otávio, que fecha com a análise crítica e as conclusões.</w:t>
      </w:r>
    </w:p>
    <w:p>
      <w:pPr>
        <w:pStyle w:val="Heading1"/>
      </w:pPr>
      <w:r>
        <w:t xml:space="preserve">Otávio — Análise crítica e conclusões (slides 12 e 13)</w:t>
      </w:r>
    </w:p>
    <w:p>
      <w:pPr>
        <w:pStyle w:val="Heading3"/>
      </w:pPr>
      <w:r>
        <w:t xml:space="preserve">Slide 12 — Análise crítica (penúltimo)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Antes de concluir, é importante sermos honestos sobre os limites das fontes.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Na </w:t>
      </w:r>
      <w:r>
        <w:rPr>
          <w:b/>
          <w:bCs/>
          <w:i/>
          <w:iCs/>
        </w:rPr>
        <w:t xml:space="preserve">SELIC</w:t>
      </w:r>
      <w:r>
        <w:rPr>
          <w:i/>
          <w:iCs/>
        </w:rPr>
        <w:t xml:space="preserve">: ela cobre só dias úteis, é publicada com um dia de atraso e não tem granularidade intradiária. E é a série </w:t>
      </w:r>
      <w:r>
        <w:rPr>
          <w:b/>
          <w:bCs/>
          <w:i/>
          <w:iCs/>
        </w:rPr>
        <w:t xml:space="preserve">diária</w:t>
      </w:r>
      <w:r>
        <w:rPr>
          <w:i/>
          <w:iCs/>
        </w:rPr>
        <w:t xml:space="preserve"> (SGS 11), diferente da SELIC oficial anualizada do Copom — por isso todo cuidado ao converter entre as duas convenções.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No </w:t>
      </w:r>
      <w:r>
        <w:rPr>
          <w:b/>
          <w:bCs/>
          <w:i/>
          <w:iCs/>
        </w:rPr>
        <w:t xml:space="preserve">Tesouro Direto</w:t>
      </w:r>
      <w:r>
        <w:rPr>
          <w:i/>
          <w:iCs/>
        </w:rPr>
        <w:t xml:space="preserve">: só temos a cotação da manhã, então não dá para analisar variação ao longo do dia; há </w:t>
      </w:r>
      <w:r>
        <w:rPr>
          <w:b/>
          <w:bCs/>
          <w:i/>
          <w:iCs/>
        </w:rPr>
        <w:t xml:space="preserve">viés de sobrevivência</w:t>
      </w:r>
      <w:r>
        <w:rPr>
          <w:i/>
          <w:iCs/>
        </w:rPr>
        <w:t xml:space="preserve"> (títulos descontinuados antes de 2021 não aparecem); a coluna </w:t>
      </w:r>
      <w:r>
        <w:rPr>
          <w:rFonts w:ascii="Consolas" w:cs="Consolas" w:eastAsia="Consolas" w:hAnsi="Consolas"/>
          <w:i/>
          <w:iCs/>
          <w:color w:val="9C2C2C"/>
        </w:rPr>
        <w:t xml:space="preserve">tipo_titulo</w:t>
      </w:r>
      <w:r>
        <w:rPr>
          <w:i/>
          <w:iCs/>
        </w:rPr>
        <w:t xml:space="preserve"> mistura categoria, produto e vencimento, exigindo normalização; e </w:t>
      </w:r>
      <w:r>
        <w:rPr>
          <w:b/>
          <w:bCs/>
          <w:i/>
          <w:iCs/>
        </w:rPr>
        <w:t xml:space="preserve">não há dados de volume</w:t>
      </w:r>
      <w:r>
        <w:rPr>
          <w:i/>
          <w:iCs/>
        </w:rPr>
        <w:t xml:space="preserve"> negociado, então não conseguimos medir liquidez.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Foi também aqui que tratamos as anomalias do slide de preparação — os PU zerados e as taxas negativas — como limitações de domínio, não como conclusões.</w:t>
      </w:r>
    </w:p>
    <w:p>
      <w:pPr>
        <w:pStyle w:val="Heading3"/>
      </w:pPr>
      <w:r>
        <w:t xml:space="preserve">Slide 13 — Conclusões (fechamento)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Concluindo: </w:t>
      </w:r>
      <w:r>
        <w:rPr>
          <w:b/>
          <w:bCs/>
          <w:i/>
          <w:iCs/>
        </w:rPr>
        <w:t xml:space="preserve">política monetária e precificação de títulos andam juntas.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No </w:t>
      </w:r>
      <w:r>
        <w:rPr>
          <w:b/>
          <w:bCs/>
          <w:i/>
          <w:iCs/>
        </w:rPr>
        <w:t xml:space="preserve">Objetivo 1</w:t>
      </w:r>
      <w:r>
        <w:rPr>
          <w:i/>
          <w:iCs/>
        </w:rPr>
        <w:t xml:space="preserve">, o prêmio real do IPCA+ quase dobra (3,98% → 6,88%) quando a SELIC sobe — o governo paga mais para atrair investidores no aperto.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No </w:t>
      </w:r>
      <w:r>
        <w:rPr>
          <w:b/>
          <w:bCs/>
          <w:i/>
          <w:iCs/>
        </w:rPr>
        <w:t xml:space="preserve">Objetivo 2</w:t>
      </w:r>
      <w:r>
        <w:rPr>
          <w:i/>
          <w:iCs/>
        </w:rPr>
        <w:t xml:space="preserve">, confirmamos o efeito gangorra: o PU do Prefixado cai quando a SELIC sobe, e mais ainda nos vencimentos longos.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Sobre </w:t>
      </w:r>
      <w:r>
        <w:rPr>
          <w:b/>
          <w:bCs/>
          <w:i/>
          <w:iCs/>
        </w:rPr>
        <w:t xml:space="preserve">qualidade dos dados</w:t>
      </w:r>
      <w:r>
        <w:rPr>
          <w:i/>
          <w:iCs/>
        </w:rPr>
        <w:t xml:space="preserve">: chave primária íntegra, cronologia consistente e colunas de venda sem nulos, com os pontos de atenção documentados.</w:t>
      </w:r>
    </w:p>
    <w:p>
      <w:pPr>
        <w:pBdr>
          <w:left w:val="single" w:color="1F4E79" w:sz="18" w:space="8"/>
        </w:pBdr>
        <w:shd w:fill="F2F5FB" w:val="clear"/>
        <w:spacing w:after="140" w:before="40"/>
        <w:ind w:left="360"/>
      </w:pPr>
      <w:r>
        <w:rPr>
          <w:i/>
          <w:iCs/>
        </w:rPr>
        <w:t xml:space="preserve">Tudo — dados, modelo ER, dicionário, análise crítica e relatórios — está publicado no nosso repositório no GitHub. Obrigado, ficamos à disposição para perguntas.</w:t>
      </w:r>
    </w:p>
    <w:p>
      <w:pPr>
        <w:pStyle w:val="Heading1"/>
      </w:pPr>
      <w:r>
        <w:t xml:space="preserve">Transições (quem entrega para quem)</w:t>
      </w:r>
    </w:p>
    <w:p>
      <w:pPr>
        <w:spacing w:after="120"/>
      </w:pPr>
      <w:r>
        <w:t xml:space="preserve">Enzo (1–2) → Fernando (3) → Davi (4–5) → Fernando (6–7) → Enzo (8–9) → Puliti (10–11) → Otávio (12–13)</w:t>
      </w:r>
    </w:p>
    <w:p>
      <w:pPr>
        <w:spacing w:after="120"/>
      </w:pPr>
      <w:r>
        <w:t xml:space="preserve">Cada slide final de bloco já tem a deixa de passagem embutida na fala. Números-chave para decorar: </w:t>
      </w:r>
      <w:r>
        <w:rPr>
          <w:b/>
          <w:bCs/>
        </w:rPr>
        <w:t xml:space="preserve">53.962 registros</w:t>
      </w:r>
      <w:r>
        <w:t xml:space="preserve">, </w:t>
      </w:r>
      <w:r>
        <w:rPr>
          <w:b/>
          <w:bCs/>
        </w:rPr>
        <w:t xml:space="preserve">3,98% → 6,88%</w:t>
      </w:r>
      <w:r>
        <w:t xml:space="preserve"> (Obj. 1), </w:t>
      </w:r>
      <w:r>
        <w:rPr>
          <w:b/>
          <w:bCs/>
        </w:rPr>
        <w:t xml:space="preserve">R$ 933,70 → R$ 773,10</w:t>
      </w:r>
      <w:r>
        <w:t xml:space="preserve"> (Obj. 2), </w:t>
      </w:r>
      <w:r>
        <w:rPr>
          <w:b/>
          <w:bCs/>
        </w:rPr>
        <w:t xml:space="preserve">16,33%</w:t>
      </w:r>
      <w:r>
        <w:t xml:space="preserve"> (maior taxa).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jc w:val="center"/>
    </w:pPr>
    <w:r>
      <w:rPr>
        <w:color w:val="595959"/>
        <w:sz w:val="16"/>
        <w:szCs w:val="16"/>
      </w:rPr>
      <w:t xml:space="preserve">Roteiro de Apresentação — TP IBD   •   </w:t>
    </w:r>
    <w:r>
      <w:rPr>
        <w:color w:val="595959"/>
        <w:sz w:val="16"/>
        <w:szCs w:val="16"/>
      </w:rPr>
      <w:t xml:space="preserve">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Subtitle">
    <w:name w:val="Subtitle"/>
    <w:basedOn w:val="Normal"/>
    <w:next w:val="Normal"/>
    <w:pPr>
      <w:spacing w:after="240"/>
    </w:pPr>
    <w:rPr>
      <w:rFonts w:ascii="Calibri" w:cs="Calibri" w:eastAsia="Calibri" w:hAnsi="Calibri"/>
      <w:i/>
      <w:iCs/>
      <w:color w:val="595959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2026-06-11T12:26:27.660Z</dcterms:created>
  <dcterms:modified xsi:type="dcterms:W3CDTF">2026-06-11T12:26:27.662Z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