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143125" cy="12805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80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ICT - Instituto de Ciência e Tecnologia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FINAL: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Modelagem Matemática da Disseminação e Controle do Sarampo no Brasil em 2019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Nomes:</w:t>
        <w:tab/>
        <w:tab/>
        <w:tab/>
        <w:tab/>
        <w:tab/>
        <w:t xml:space="preserve">          </w:t>
        <w:tab/>
        <w:t xml:space="preserve">          RA: 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Abraão Lincoln Ferreira Moreira </w:t>
        <w:tab/>
        <w:tab/>
        <w:tab/>
        <w:t xml:space="preserve">112165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Andressa Antonio Segeti </w:t>
        <w:tab/>
        <w:tab/>
        <w:tab/>
        <w:tab/>
        <w:t xml:space="preserve">112275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Davi Juliano Ferreira Alves</w:t>
        <w:tab/>
        <w:tab/>
        <w:tab/>
        <w:t xml:space="preserve">  133595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Rodrigo de Novaes Pacheco</w:t>
        <w:tab/>
        <w:t xml:space="preserve">  </w:t>
        <w:tab/>
        <w:t xml:space="preserve"> </w:t>
        <w:tab/>
        <w:t xml:space="preserve">86541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Professor Dr. Luiz Leduino Neto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Cálculo Numérico - Turma Noturno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sz w:val="28"/>
          <w:szCs w:val="28"/>
          <w:rtl w:val="0"/>
        </w:rPr>
        <w:t xml:space="preserve">São José dos Campos, 26 de Novembro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0" w:firstLine="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 início do século XX começaram os estudos de Epidemiologia Matemática para doenças transmissíveis. Dentre estes, o Método SIR, desenvolvido por Kermack e McKendrick, contribuiu para a compreensão da propagação de doenças infecciosas de transmissão direta, utilizando equações diferenciais ordinárias [4]. Visto que houve um surto de Sarampo no ano de 2019 no Brasil, propõe-se analisar a disseminação da doença e seu controle, aplicando métodos matemáticos, como Euler e Runge-Kutta de quarta ordem, para a resolução da EDO, implementado em Python. Os dados do número de infectados, suscetíveis e removidos, foram retirados do Boletim Epidemiológico 33 do Ministério da Saúde. Por meio dos caminhos numéricos de resolução de EDO’s, foi encontrado o valor exponencial do aumento da infecção de Sarampo no Brasil e analisado o gráfico gerado. </w:t>
      </w:r>
      <w:r w:rsidDel="00000000" w:rsidR="00000000" w:rsidRPr="00000000">
        <w:rPr>
          <w:sz w:val="24"/>
          <w:szCs w:val="24"/>
          <w:rtl w:val="0"/>
        </w:rPr>
        <w:t xml:space="preserve">Conclui-se que apesar de a doença não estar erradicada,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ela não pode ser encarada como epidemia neste quadro, visto que o R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é menor que 0.</w:t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1927, o trabalho de Kermack e McKendrick, intitulado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A contribution to the mathematical theory of epidemics</w:t>
      </w:r>
      <w:r w:rsidDel="00000000" w:rsidR="00000000" w:rsidRPr="00000000">
        <w:rPr>
          <w:sz w:val="24"/>
          <w:szCs w:val="24"/>
          <w:rtl w:val="0"/>
        </w:rPr>
        <w:t xml:space="preserve">”, teve grande contribuição na compreensão da dinâmica de doenças transmissíveis (DT), graças às modelagens matemáticas, que levaram aos chamados Modelos SIR (Suscetível Infectado-Recuperado), utilizado como base para a maioria dos modelos epidêmicos (Keeling &amp; Rohani 2008). O objetivo dessas modelagens é obter dados relativos aos diversos fatores que influenciam a disseminação das DT, visto que há uma grande dificuldade de se estabelecer sua causa [1,2].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SIR é dado pela dinâmica de uma população, em relação aos indivíduos contaminados, suscetíveis e removidos, que são aqueles que já se curaram ou vieram a óbito. Essas três classes são mostradas na Figura 1.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22950" cy="184785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41786" l="32984" r="33225" t="12587"/>
                    <a:stretch>
                      <a:fillRect/>
                    </a:stretch>
                  </pic:blipFill>
                  <pic:spPr>
                    <a:xfrm>
                      <a:off x="0" y="0"/>
                      <a:ext cx="18229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1:</w:t>
      </w:r>
      <w:r w:rsidDel="00000000" w:rsidR="00000000" w:rsidRPr="00000000">
        <w:rPr>
          <w:rtl w:val="0"/>
        </w:rPr>
        <w:t xml:space="preserve"> Classificação dos indivíduos no Modelo SIR. (Fonte: Autores)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Além dessas três classes, também leva-se em consideração a transição entre elas, que são definidas conforme as Equações 1, 2 e 3 a seguir.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dS</m:t>
            </m:r>
          </m:num>
          <m:den>
            <m:r>
              <w:rPr>
                <w:b w:val="1"/>
                <w:sz w:val="36"/>
                <w:szCs w:val="36"/>
              </w:rPr>
              <m:t xml:space="preserve">dt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: Taxa de Mudança de Suscetíveis</w:t>
        <w:tab/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Equação 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dl</m:t>
            </m:r>
          </m:num>
          <m:den>
            <m:r>
              <w:rPr>
                <w:b w:val="1"/>
                <w:sz w:val="36"/>
                <w:szCs w:val="36"/>
              </w:rPr>
              <m:t xml:space="preserve">dt</m:t>
            </m:r>
          </m:den>
        </m:f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 Taxa de Mudança de Infectados</w:t>
        <w:tab/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Equação 2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dR</m:t>
            </m:r>
          </m:num>
          <m:den>
            <m:r>
              <w:rPr>
                <w:b w:val="1"/>
                <w:sz w:val="36"/>
                <w:szCs w:val="36"/>
              </w:rPr>
              <m:t xml:space="preserve">dt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: Taxa de Mudança de Removidos</w:t>
        <w:tab/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Equação 3</w:t>
      </w:r>
      <w:r w:rsidDel="00000000" w:rsidR="00000000" w:rsidRPr="00000000">
        <w:rPr>
          <w:sz w:val="24"/>
          <w:szCs w:val="24"/>
          <w:rtl w:val="0"/>
        </w:rPr>
        <w:t xml:space="preserve">)  [4]</w:t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modelo leva em consideração três fatores: 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(i) O número total de indivíduos é constante, ou seja, não há nascimentos nem fenômenos migratórios; 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(ii) A razão entre o número de indivíduos suscetíveis à doença é proporcional ao número de encontros entre essa população e à população infectada; 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(iii) A variação entre o número de indivíduos removidos é proporcional ao número de infectados [4].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Deste modo, através do uso dessas hipóteses, o Modelo SIR pode ser descrito pelas Equações 4, 5 ou 6:</w:t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ind w:firstLine="720"/>
        <w:jc w:val="center"/>
        <w:rPr>
          <w:sz w:val="24"/>
          <w:szCs w:val="24"/>
        </w:rPr>
      </w:pP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dS</m:t>
            </m:r>
          </m:num>
          <m:den>
            <m:r>
              <w:rPr>
                <w:b w:val="1"/>
                <w:sz w:val="36"/>
                <w:szCs w:val="36"/>
              </w:rPr>
              <m:t xml:space="preserve">dt</m:t>
            </m:r>
          </m:den>
        </m:f>
        <m:r>
          <w:rPr>
            <w:b w:val="1"/>
            <w:sz w:val="36"/>
            <w:szCs w:val="36"/>
          </w:rPr>
          <m:t xml:space="preserve">+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dl</m:t>
            </m:r>
          </m:num>
          <m:den>
            <m:r>
              <w:rPr>
                <w:b w:val="1"/>
                <w:sz w:val="36"/>
                <w:szCs w:val="36"/>
              </w:rPr>
              <m:t xml:space="preserve">dt</m:t>
            </m:r>
          </m:den>
        </m:f>
        <m:r>
          <w:rPr>
            <w:b w:val="1"/>
            <w:sz w:val="36"/>
            <w:szCs w:val="36"/>
          </w:rPr>
          <m:t xml:space="preserve">+</m:t>
        </m:r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dR</m:t>
            </m:r>
          </m:num>
          <m:den>
            <m:r>
              <w:rPr>
                <w:b w:val="1"/>
                <w:sz w:val="36"/>
                <w:szCs w:val="36"/>
              </w:rPr>
              <m:t xml:space="preserve">dt</m:t>
            </m:r>
          </m:den>
        </m:f>
        <m:r>
          <w:rPr>
            <w:b w:val="1"/>
            <w:sz w:val="36"/>
            <w:szCs w:val="36"/>
          </w:rPr>
          <m:t xml:space="preserve"> = 0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(Equação 4)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ind w:left="0" w:firstLine="720"/>
        <w:jc w:val="center"/>
        <w:rPr>
          <w:sz w:val="24"/>
          <w:szCs w:val="24"/>
        </w:rPr>
      </w:pPr>
      <m:oMath>
        <m:r>
          <w:rPr>
            <w:b w:val="1"/>
            <w:sz w:val="28"/>
            <w:szCs w:val="28"/>
          </w:rPr>
          <m:t xml:space="preserve">l(t+1) = l(t) + </m:t>
        </m:r>
        <m:r>
          <w:rPr>
            <w:b w:val="1"/>
            <w:sz w:val="28"/>
            <w:szCs w:val="28"/>
          </w:rPr>
          <m:t>λ</m:t>
        </m:r>
        <m:r>
          <w:rPr>
            <w:b w:val="1"/>
            <w:sz w:val="28"/>
            <w:szCs w:val="28"/>
          </w:rPr>
          <m:t xml:space="preserve">l(t)-rl(t)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Equação 5</w:t>
      </w: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I é a fração de pessoas infectadas na população no tempo t.</w:t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ind w:firstLine="720"/>
        <w:jc w:val="center"/>
        <w:rPr>
          <w:sz w:val="24"/>
          <w:szCs w:val="24"/>
        </w:rPr>
      </w:pP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dl</m:t>
            </m:r>
          </m:num>
          <m:den>
            <m:r>
              <w:rPr>
                <w:b w:val="1"/>
                <w:sz w:val="36"/>
                <w:szCs w:val="36"/>
              </w:rPr>
              <m:t xml:space="preserve">dt</m:t>
            </m:r>
          </m:den>
        </m:f>
      </m:oMath>
      <m:oMath>
        <m:r>
          <w:rPr>
            <w:b w:val="1"/>
            <w:sz w:val="28"/>
            <w:szCs w:val="28"/>
          </w:rPr>
          <m:t xml:space="preserve">=l(t)(</m:t>
        </m:r>
        <m:r>
          <w:rPr>
            <w:b w:val="1"/>
            <w:sz w:val="28"/>
            <w:szCs w:val="28"/>
          </w:rPr>
          <m:t>λ</m:t>
        </m:r>
        <m:r>
          <w:rPr>
            <w:b w:val="1"/>
            <w:sz w:val="28"/>
            <w:szCs w:val="28"/>
          </w:rPr>
          <m:t xml:space="preserve">-r)</m:t>
        </m:r>
      </m:oMath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Equação 6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</w:t>
      </w:r>
      <m:oMath>
        <m:r>
          <w:rPr>
            <w:b w:val="1"/>
            <w:sz w:val="28"/>
            <w:szCs w:val="28"/>
          </w:rPr>
          <m:t xml:space="preserve">λ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é a força de infecção e </w:t>
      </w:r>
      <m:oMath>
        <m:r>
          <w:rPr>
            <w:b w:val="1"/>
            <w:sz w:val="28"/>
            <w:szCs w:val="28"/>
          </w:rPr>
          <m:t xml:space="preserve">r</m:t>
        </m:r>
      </m:oMath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taxa de recuperação. [1,4]</w:t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representar matematicamente casos de doenças por transmissão direta, que depende da interação entre indivíduos infectados (I) e outro saudável (S) para a propagação, como é o caso do sarampo,  Kermack e McKendrick propuseram uma taxa </w:t>
      </w:r>
      <w:r w:rsidDel="00000000" w:rsidR="00000000" w:rsidRPr="00000000">
        <w:rPr>
          <w:rtl w:val="0"/>
        </w:rPr>
        <w:t xml:space="preserve">β</w:t>
      </w:r>
      <w:r w:rsidDel="00000000" w:rsidR="00000000" w:rsidRPr="00000000">
        <w:rPr>
          <w:sz w:val="24"/>
          <w:szCs w:val="24"/>
          <w:rtl w:val="0"/>
        </w:rPr>
        <w:t xml:space="preserve">, que é a taxa com que novos casos são gerados de acordo com o contato entre S e I [1]. Assim, </w:t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m:oMath>
        <m:r>
          <w:rPr>
            <w:b w:val="1"/>
            <w:sz w:val="28"/>
            <w:szCs w:val="28"/>
          </w:rPr>
          <m:t xml:space="preserve">λ=βS(t)</m:t>
        </m:r>
      </m:oMath>
      <w:r w:rsidDel="00000000" w:rsidR="00000000" w:rsidRPr="00000000">
        <w:rPr>
          <w:sz w:val="24"/>
          <w:szCs w:val="24"/>
          <w:rtl w:val="0"/>
        </w:rPr>
        <w:tab/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Equação 7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pageBreakBefore w:val="0"/>
        <w:spacing w:line="360" w:lineRule="auto"/>
        <w:ind w:left="0" w:firstLine="0"/>
        <w:jc w:val="center"/>
        <w:rPr>
          <w:sz w:val="24"/>
          <w:szCs w:val="24"/>
        </w:rPr>
      </w:pPr>
      <m:oMath>
        <m:r>
          <w:rPr>
            <w:b w:val="1"/>
            <w:sz w:val="28"/>
            <w:szCs w:val="28"/>
          </w:rPr>
          <m:t xml:space="preserve">R</m:t>
        </m:r>
        <m:sSub>
          <m:sSubPr>
            <m:ctrlPr>
              <w:rPr>
                <w:b w:val="1"/>
                <w:sz w:val="28"/>
                <w:szCs w:val="28"/>
              </w:rPr>
            </m:ctrlPr>
          </m:sSubPr>
          <m:e/>
          <m:sub>
            <m:r>
              <w:rPr>
                <w:b w:val="1"/>
                <w:sz w:val="28"/>
                <w:szCs w:val="28"/>
              </w:rPr>
              <m:t xml:space="preserve">0</m:t>
            </m:r>
          </m:sub>
        </m:sSub>
        <m:r>
          <w:rPr>
            <w:b w:val="1"/>
            <w:sz w:val="28"/>
            <w:szCs w:val="28"/>
          </w:rPr>
          <m:t xml:space="preserve">= β</m:t>
        </m:r>
        <m:f>
          <m:fPr>
            <m:ctrlPr>
              <w:rPr>
                <w:b w:val="1"/>
                <w:sz w:val="28"/>
                <w:szCs w:val="28"/>
              </w:rPr>
            </m:ctrlPr>
          </m:fPr>
          <m:num>
            <m:r>
              <w:rPr>
                <w:b w:val="1"/>
                <w:sz w:val="28"/>
                <w:szCs w:val="28"/>
              </w:rPr>
              <m:t xml:space="preserve">S</m:t>
            </m:r>
          </m:num>
          <m:den>
            <m:r>
              <w:rPr>
                <w:b w:val="1"/>
                <w:sz w:val="28"/>
                <w:szCs w:val="28"/>
              </w:rPr>
              <m:t>λ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ab/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Equação 8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Multiplicando-se a taxa de infectados causadores de novas doenças (βS) pelo tempo médio de infecção (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λ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), tem-se a variável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que representa o número médio de infecções causadas por um indivíduo.</w:t>
      </w:r>
      <w:r w:rsidDel="00000000" w:rsidR="00000000" w:rsidRPr="00000000">
        <w:rPr>
          <w:sz w:val="24"/>
          <w:szCs w:val="24"/>
          <w:rtl w:val="0"/>
        </w:rPr>
        <w:t xml:space="preserve"> Resumidamente: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Há epidemia quando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&gt; 1;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Não há epidemia quando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&lt; 1; 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 também a possibilidade de classificar a doença quanto à sua transmissividade, através da análise da relação</w:t>
      </w:r>
      <m:oMath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 β</m:t>
            </m:r>
          </m:num>
          <m:den>
            <m:r>
              <w:rPr>
                <w:sz w:val="36"/>
                <w:szCs w:val="36"/>
              </w:rPr>
              <m:t xml:space="preserve"> r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. Quanto maior essa relação, maior o esforço para a vacinação [1]. </w:t>
      </w:r>
    </w:p>
    <w:p w:rsidR="00000000" w:rsidDel="00000000" w:rsidP="00000000" w:rsidRDefault="00000000" w:rsidRPr="00000000" w14:paraId="00000053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a definição dada pelo Ministério da Saúde,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o sarampo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é uma doença viral aguda similar a uma infecção do trato respiratório superior”</w:t>
      </w:r>
      <w:r w:rsidDel="00000000" w:rsidR="00000000" w:rsidRPr="00000000">
        <w:rPr>
          <w:sz w:val="24"/>
          <w:szCs w:val="24"/>
          <w:rtl w:val="0"/>
        </w:rPr>
        <w:t xml:space="preserve">. É uma doença grave, altamente transmissível, pois ocorre através das gotículas de saliva de pessoas doentes ao espirrar, tossir ou falar próximo de indivíduos suscetíveis à contração do vírus [3,5].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Segundo dados do Ministério da Saúde, entre os meses de agosto e outubro de 2019, o Brasil registrou 5.660 de casos confirmados de sarampo, representando 54,3% do total de casos confirmados neste ano [3,5]. A relação dos números de casos, tanto infectados quanto suspeitas e descartados, entre esses meses, foi publicada no 33º Boletim Epidemiológico emitido pela Secretaria de Vigilância em Saúde, como ilustra a Figura 2 [5]. </w:t>
      </w:r>
      <w:r w:rsidDel="00000000" w:rsidR="00000000" w:rsidRPr="00000000">
        <w:rPr>
          <w:sz w:val="24"/>
          <w:szCs w:val="24"/>
          <w:rtl w:val="0"/>
        </w:rPr>
        <w:t xml:space="preserve">Conforme a Tabela 1, o coeficiente de incidência dos estados com surto no país é equivalente à 7,3 casos/100.000 habitantes. </w:t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4013" cy="247407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6021" l="24777" r="25464" t="23677"/>
                    <a:stretch>
                      <a:fillRect/>
                    </a:stretch>
                  </pic:blipFill>
                  <pic:spPr>
                    <a:xfrm>
                      <a:off x="0" y="0"/>
                      <a:ext cx="4354013" cy="2474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6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2: </w:t>
      </w:r>
      <w:r w:rsidDel="00000000" w:rsidR="00000000" w:rsidRPr="00000000">
        <w:rPr>
          <w:sz w:val="20"/>
          <w:szCs w:val="20"/>
          <w:rtl w:val="0"/>
        </w:rPr>
        <w:t xml:space="preserve">Distribuição dos casos de Sarampo por Semanas Epidemiológicas e classificação final (semanas 32 a 43 de 2019, Brasil).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6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Fonte: Boletim Epidemiológico 33, Figura 1.</w:t>
      </w:r>
    </w:p>
    <w:p w:rsidR="00000000" w:rsidDel="00000000" w:rsidP="00000000" w:rsidRDefault="00000000" w:rsidRPr="00000000" w14:paraId="00000059">
      <w:pPr>
        <w:pageBreakBefore w:val="0"/>
        <w:spacing w:line="36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36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36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Tabela 1 - </w:t>
      </w:r>
      <w:r w:rsidDel="00000000" w:rsidR="00000000" w:rsidRPr="00000000">
        <w:rPr>
          <w:sz w:val="20"/>
          <w:szCs w:val="20"/>
          <w:rtl w:val="0"/>
        </w:rPr>
        <w:t xml:space="preserve">Distribuição dos casos confirmados de sarampo e coeficiente de incidência dos Estados com surto no Brasil por Semanas Epidemiológicas (semanas 32 a 43 de 2019, Brasil).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60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w:drawing>
          <wp:inline distB="114300" distT="114300" distL="114300" distR="114300">
            <wp:extent cx="5038725" cy="3025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0387" l="28984" r="30403" t="4609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2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Fonte: Boletim Epidemiológico 33, Tabela 3.</w:t>
      </w:r>
    </w:p>
    <w:p w:rsidR="00000000" w:rsidDel="00000000" w:rsidP="00000000" w:rsidRDefault="00000000" w:rsidRPr="00000000" w14:paraId="00000060">
      <w:pPr>
        <w:pageBreakBefore w:val="0"/>
        <w:spacing w:line="360" w:lineRule="auto"/>
        <w:ind w:lef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da modelagem matemática, observar a transmissividade do Sarampo no Brasil, em 2019, bem como suas flutuações e regularidades e com base nos resultados observados no Boletim Epidemiológico 33, prever a evolução da doença. Também identificar o fator 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definindo a suscetibilidade e esforço de vacinação para o sarampo.</w:t>
      </w:r>
    </w:p>
    <w:p w:rsidR="00000000" w:rsidDel="00000000" w:rsidP="00000000" w:rsidRDefault="00000000" w:rsidRPr="00000000" w14:paraId="00000064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MATERIAIS E MÉTODOS</w:t>
      </w:r>
    </w:p>
    <w:p w:rsidR="00000000" w:rsidDel="00000000" w:rsidP="00000000" w:rsidRDefault="00000000" w:rsidRPr="00000000" w14:paraId="00000066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utilização do código em Python3 de modelamento matemático foi dado pelo código mostrado na Figura 3 , utilizando a Equação 6 como a base do código:</w:t>
      </w:r>
    </w:p>
    <w:tbl>
      <w:tblPr>
        <w:tblStyle w:val="Table1"/>
        <w:tblW w:w="85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6"/>
        <w:tblGridChange w:id="0">
          <w:tblGrid>
            <w:gridCol w:w="85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numpy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math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plt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calcr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lamb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y0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r=lamb*y0/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100000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#print (r)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r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calclamb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beta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y0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lamb=beta*y0/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#print (lamb)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lamb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eulerEDO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y0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lamb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yn=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yn=y0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tn=t0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(x!=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(tn&lt;=x):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yn = yn + h*yn*(lamb - r)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#Função: dy/dt = yn(lambda-r)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tn+=h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yn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rungeKutta4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y0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t0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1"/>
                <w:szCs w:val="21"/>
                <w:rtl w:val="0"/>
              </w:rPr>
              <w:t xml:space="preserve">lamb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yn=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yn=y0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tn=t0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s1=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s2=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s3=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s4=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(x!=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(tn&lt;=x):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s1=yn*(lamb-r)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#Função: dy/dt = yn(lambda-r)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s2=(yn+s1*h/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)*(lamb-r)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#Função: dy/dt = yn(lambda-r),  para yn = yn+s1*h/2</w:t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s3=(yn+s2*h/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)*(lamb-r)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#Função: dy/dt = yn(lambda-r)  para yn = yn+s2*h/2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s4=(yn+s3*h)*(lamb-r)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#Função: dy/dt = yn(lambda-r), para yn = yn+s3*h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yn = yn + (h/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)*(s1+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*s2+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*s3+s4)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tn+=h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yn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t0=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y0=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5660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#Quantidade de pessoas confirmadas com sarampo EM 3 MESES!!!!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h=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x=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beta=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73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100000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lamb=calclamb(beta,y0)  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r=calcr(lamb,y0)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R=beta*y0*lamb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"O valor do R0 para a determinação epidêmica será"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R)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xP = []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yPeuler = []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yPkutta = []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00"/>
                <w:sz w:val="21"/>
                <w:szCs w:val="21"/>
                <w:rtl w:val="0"/>
              </w:rPr>
              <w:t xml:space="preserve">#Número de períodos projetados (1 ano)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xP.append(i+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eu = eulerEDO(h,y0,t0,(i+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),r,lamb)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yPeuler.append(eulerEDO(h,y0,t0,(i+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),r,lamb))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yPkutta.append(rungeKutta4(h,y0,t0,(i+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),r,lamb))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"A quantidade de pessoas infectadas em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(i+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 trimestres será(De acordo com o Método de Euler) de"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eulerEDO(h,y0,t0,(i+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),r,lamb)) 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"A quantidade de pessoas infectadas em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67f99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(i+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 trimestres será(De acordo com o Método de Kutta de Quarta Ordem) de"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rungeKutta4(h,y0,t0,(i+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),r,lamb))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y0 = eulerEDO(h,y0,t0,i,r,lamb)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x1 = xP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x2 = xP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y1 = yPeuler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y2 = yPkutta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plt.subplot(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plt.plot(x1, y1, label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'Método de euler'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plt.title(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'Evolução do número de infecções de sarampo'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plt.xlabel(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'Trimestres'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plt.ylabel(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'Número de infectados'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plt.legend()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plt.subplot(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plt.plot(x2, y2, label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'Método de Kutta'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color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plt.xlabel(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'Trimestres'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plt.ylabel(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'Número de infectados'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plt.legend()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plt.savefig(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31515"/>
                <w:sz w:val="21"/>
                <w:szCs w:val="21"/>
                <w:rtl w:val="0"/>
              </w:rPr>
              <w:t xml:space="preserve">"grafico.png"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spacing w:line="24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Figura 3: </w:t>
      </w:r>
      <w:r w:rsidDel="00000000" w:rsidR="00000000" w:rsidRPr="00000000">
        <w:rPr>
          <w:rtl w:val="0"/>
        </w:rPr>
        <w:t xml:space="preserve">Código implementado em Python para a resolução do modelamento do Sarampo no Brasil em 2019  (</w:t>
      </w:r>
      <w:r w:rsidDel="00000000" w:rsidR="00000000" w:rsidRPr="00000000">
        <w:rPr>
          <w:i w:val="1"/>
          <w:rtl w:val="0"/>
        </w:rPr>
        <w:t xml:space="preserve">Fonte: Autores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C1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métodos para resolução de EDO’s no caso numérico são os métodos de Euler e o método de Kutta de quarta Ordem. A aproximação e a comparação dos valores obtidos por ambos os métodos numéricos são resultados de valores próximos do resultado real da EDO de primeira ordem dada.</w:t>
      </w:r>
    </w:p>
    <w:p w:rsidR="00000000" w:rsidDel="00000000" w:rsidP="00000000" w:rsidRDefault="00000000" w:rsidRPr="00000000" w14:paraId="000000C3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DISCUSSÃO E RESULTADOS</w:t>
      </w:r>
    </w:p>
    <w:p w:rsidR="00000000" w:rsidDel="00000000" w:rsidP="00000000" w:rsidRDefault="00000000" w:rsidRPr="00000000" w14:paraId="000000C5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quantidade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 pessoas infectadas em uma quantidade t de tempo (dado em anos) é dada pela relação matemática obtida na EDO</w:t>
      </w:r>
    </w:p>
    <w:p w:rsidR="00000000" w:rsidDel="00000000" w:rsidP="00000000" w:rsidRDefault="00000000" w:rsidRPr="00000000" w14:paraId="000000C7">
      <w:pPr>
        <w:pageBreakBefore w:val="0"/>
        <w:spacing w:line="360" w:lineRule="auto"/>
        <w:ind w:left="0" w:firstLine="0"/>
        <w:jc w:val="center"/>
        <w:rPr>
          <w:sz w:val="28"/>
          <w:szCs w:val="28"/>
        </w:rPr>
      </w:pPr>
      <m:oMath>
        <m:f>
          <m:fPr>
            <m:ctrlPr>
              <w:rPr>
                <w:b w:val="1"/>
                <w:sz w:val="36"/>
                <w:szCs w:val="36"/>
              </w:rPr>
            </m:ctrlPr>
          </m:fPr>
          <m:num>
            <m:r>
              <w:rPr>
                <w:b w:val="1"/>
                <w:sz w:val="36"/>
                <w:szCs w:val="36"/>
              </w:rPr>
              <m:t xml:space="preserve">dl</m:t>
            </m:r>
          </m:num>
          <m:den>
            <m:r>
              <w:rPr>
                <w:b w:val="1"/>
                <w:sz w:val="36"/>
                <w:szCs w:val="36"/>
              </w:rPr>
              <m:t xml:space="preserve">dt</m:t>
            </m:r>
          </m:den>
        </m:f>
      </m:oMath>
      <m:oMath>
        <m:r>
          <w:rPr>
            <w:b w:val="1"/>
            <w:sz w:val="28"/>
            <w:szCs w:val="28"/>
          </w:rPr>
          <m:t xml:space="preserve">=l(t)(</m:t>
        </m:r>
        <m:r>
          <w:rPr>
            <w:b w:val="1"/>
            <w:sz w:val="28"/>
            <w:szCs w:val="28"/>
          </w:rPr>
          <m:t>λ</m:t>
        </m:r>
        <m:r>
          <w:rPr>
            <w:b w:val="1"/>
            <w:sz w:val="28"/>
            <w:szCs w:val="28"/>
          </w:rPr>
          <m:t xml:space="preserve">-r)</m:t>
        </m:r>
      </m:oMath>
      <w:r w:rsidDel="00000000" w:rsidR="00000000" w:rsidRPr="00000000">
        <w:rPr>
          <w:sz w:val="24"/>
          <w:szCs w:val="24"/>
          <w:rtl w:val="0"/>
        </w:rPr>
        <w:t xml:space="preserve"> (Equação 6)</w:t>
      </w:r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C8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gerada pelo programa em questão que foi utilizado para o cálculo das pessoas infectadas a cada 3 anos. </w:t>
      </w:r>
    </w:p>
    <w:p w:rsidR="00000000" w:rsidDel="00000000" w:rsidP="00000000" w:rsidRDefault="00000000" w:rsidRPr="00000000" w14:paraId="000000C9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 código, foram utilizados os dados da Tabela 1, e posteriormente funções já especificadas para a obtenção dos valores que podem ser prescritos e definidos por meio dos métodos numéricos. De acordo com as previsões dos resultados remanescentes do sistema epidemiológico, tem-se a Figura 4.</w:t>
      </w:r>
    </w:p>
    <w:p w:rsidR="00000000" w:rsidDel="00000000" w:rsidP="00000000" w:rsidRDefault="00000000" w:rsidRPr="00000000" w14:paraId="000000CA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161925</wp:posOffset>
            </wp:positionV>
            <wp:extent cx="6916238" cy="1804236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38202" l="5222" r="30518" t="31882"/>
                    <a:stretch>
                      <a:fillRect/>
                    </a:stretch>
                  </pic:blipFill>
                  <pic:spPr>
                    <a:xfrm>
                      <a:off x="0" y="0"/>
                      <a:ext cx="6916238" cy="1804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pageBreakBefore w:val="0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Figura 4: </w:t>
      </w:r>
      <w:r w:rsidDel="00000000" w:rsidR="00000000" w:rsidRPr="00000000">
        <w:rPr>
          <w:rtl w:val="0"/>
        </w:rPr>
        <w:t xml:space="preserve">Resultado encontrado da implementação em Python para a quantidade de infectados previsto para 1 ano, com base nos dados do Boletim Epidemiológico 33. (</w:t>
      </w:r>
      <w:r w:rsidDel="00000000" w:rsidR="00000000" w:rsidRPr="00000000">
        <w:rPr>
          <w:i w:val="1"/>
          <w:rtl w:val="0"/>
        </w:rPr>
        <w:t xml:space="preserve">Fonte: Autores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Por meio dos gráficos (Figura 5) e dos padrões obtidos, vemos que a doença é altamente contagiosa, como esperado, e como é uma doença viral, pode ser um grande foco de epidemias nos próximos anos. Mesmo com a tentativa da erradicação, tem-se grande foco evolutivo nas obtenções de novas características genéticas no vírus </w:t>
      </w:r>
      <w:r w:rsidDel="00000000" w:rsidR="00000000" w:rsidRPr="00000000">
        <w:rPr>
          <w:i w:val="1"/>
          <w:color w:val="222222"/>
          <w:sz w:val="24"/>
          <w:szCs w:val="24"/>
          <w:highlight w:val="white"/>
          <w:rtl w:val="0"/>
        </w:rPr>
        <w:t xml:space="preserve">Measles morbillivirus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pageBreakBefore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6571" cy="298046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8309" l="4870" r="67664" t="59689"/>
                    <a:stretch>
                      <a:fillRect/>
                    </a:stretch>
                  </pic:blipFill>
                  <pic:spPr>
                    <a:xfrm>
                      <a:off x="0" y="0"/>
                      <a:ext cx="4556571" cy="298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Figura 5: </w:t>
      </w:r>
      <w:r w:rsidDel="00000000" w:rsidR="00000000" w:rsidRPr="00000000">
        <w:rPr>
          <w:rtl w:val="0"/>
        </w:rPr>
        <w:t xml:space="preserve">Evolução do sarampo em 4 trimestres (</w:t>
      </w:r>
      <w:r w:rsidDel="00000000" w:rsidR="00000000" w:rsidRPr="00000000">
        <w:rPr>
          <w:i w:val="1"/>
          <w:rtl w:val="0"/>
        </w:rPr>
        <w:t xml:space="preserve">Fonte: Autores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2">
      <w:pPr>
        <w:pageBreakBefore w:val="0"/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Considerando que não há nascimentos, imigração, ou aumentos necessariamente grandes na população que possam fazer a doença se espalhar de maneira mais rápida ou até mesmo que possa contribuir para a erradicação da mesma, o valor obtido nos gráficos e no programa foi dado por uma determinada exponencial de valores, visto que a infecção do vírus é dada de uma maneira mais rápida e concisa do que a erradicação da mesma. </w:t>
      </w:r>
    </w:p>
    <w:p w:rsidR="00000000" w:rsidDel="00000000" w:rsidP="00000000" w:rsidRDefault="00000000" w:rsidRPr="00000000" w14:paraId="000000D4">
      <w:pPr>
        <w:pageBreakBefore w:val="0"/>
        <w:spacing w:line="360" w:lineRule="auto"/>
        <w:ind w:left="0"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D6">
      <w:pPr>
        <w:pageBreakBefore w:val="0"/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line="360" w:lineRule="auto"/>
        <w:ind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Devido à alta transmissividade da doença viral Sarampo, tem-se que a erradicação da doença está longe de existir, porém a doença não é encarada como uma grande epidemia, visto que o R</w:t>
      </w:r>
      <w:r w:rsidDel="00000000" w:rsidR="00000000" w:rsidRPr="00000000">
        <w:rPr>
          <w:color w:val="222222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analisado é menor que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line="360" w:lineRule="auto"/>
        <w:ind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Portanto, a previsão por meios matemáticos do controle do sarampo deve ser encarada de uma maneira mais séria com relação à exponencial dos valores que o vírus pode produzir, uma vez que mais cresce o número de doenças virais para um grupo determinado, mesmo com uma baixa adesão do grupo infectado.</w:t>
      </w:r>
    </w:p>
    <w:p w:rsidR="00000000" w:rsidDel="00000000" w:rsidP="00000000" w:rsidRDefault="00000000" w:rsidRPr="00000000" w14:paraId="000000D9">
      <w:pPr>
        <w:pageBreakBefore w:val="0"/>
        <w:spacing w:line="360" w:lineRule="auto"/>
        <w:ind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 incentivo à vacinação de sarampo deve ser uma realidade no país, visto que a doença, como foi estudada, ela tem um potencial grande para exponenciação. O incentivo à vacinação pode e deve utilizar de argumentação matemática para mostrar o efeito de contaminação da doença estudada e seus efeitos sociais.</w:t>
      </w:r>
    </w:p>
    <w:p w:rsidR="00000000" w:rsidDel="00000000" w:rsidP="00000000" w:rsidRDefault="00000000" w:rsidRPr="00000000" w14:paraId="000000DA">
      <w:pPr>
        <w:pageBreakBefore w:val="0"/>
        <w:spacing w:line="360" w:lineRule="auto"/>
        <w:ind w:firstLine="72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line="360" w:lineRule="auto"/>
        <w:ind w:left="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line="360" w:lineRule="auto"/>
        <w:ind w:left="0" w:firstLine="0"/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CODEÇO, Cláudia Torres; COELHO, Flávio Codeço.</w:t>
      </w:r>
      <w:r w:rsidDel="00000000" w:rsidR="00000000" w:rsidRPr="00000000">
        <w:rPr>
          <w:b w:val="1"/>
          <w:sz w:val="24"/>
          <w:szCs w:val="24"/>
          <w:rtl w:val="0"/>
        </w:rPr>
        <w:t xml:space="preserve"> Modelagem de Doenças Transmissíveis. </w:t>
      </w:r>
      <w:r w:rsidDel="00000000" w:rsidR="00000000" w:rsidRPr="00000000">
        <w:rPr>
          <w:sz w:val="24"/>
          <w:szCs w:val="24"/>
          <w:rtl w:val="0"/>
        </w:rPr>
        <w:t xml:space="preserve">Março, 2012. Disponível em: &lt;</w:t>
      </w:r>
      <w:hyperlink r:id="rId12">
        <w:r w:rsidDel="00000000" w:rsidR="00000000" w:rsidRPr="00000000">
          <w:rPr>
            <w:sz w:val="24"/>
            <w:szCs w:val="24"/>
            <w:u w:val="single"/>
            <w:rtl w:val="0"/>
          </w:rPr>
          <w:t xml:space="preserve">https://bit.ly/2IzvWsm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01 de Outubro de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CABELLA, </w:t>
      </w:r>
      <w:r w:rsidDel="00000000" w:rsidR="00000000" w:rsidRPr="00000000">
        <w:rPr>
          <w:sz w:val="24"/>
          <w:szCs w:val="24"/>
          <w:rtl w:val="0"/>
        </w:rPr>
        <w:t xml:space="preserve">Br</w:t>
      </w:r>
      <w:r w:rsidDel="00000000" w:rsidR="00000000" w:rsidRPr="00000000">
        <w:rPr>
          <w:sz w:val="24"/>
          <w:szCs w:val="24"/>
          <w:rtl w:val="0"/>
        </w:rPr>
        <w:t xml:space="preserve">enno Caetano Troca.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Modelos aplicados ao crescimento e tratamento de tumores e à disseminação da dengue e tuberculose. </w:t>
      </w:r>
      <w:r w:rsidDel="00000000" w:rsidR="00000000" w:rsidRPr="00000000">
        <w:rPr>
          <w:sz w:val="24"/>
          <w:szCs w:val="24"/>
          <w:rtl w:val="0"/>
        </w:rPr>
        <w:t xml:space="preserve">Ribeirão Preto, 2012. Disponível em: &lt;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https://bit.ly/31XsNKh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29 de Setembro de 2019.</w:t>
      </w:r>
    </w:p>
    <w:p w:rsidR="00000000" w:rsidDel="00000000" w:rsidP="00000000" w:rsidRDefault="00000000" w:rsidRPr="00000000" w14:paraId="000000E0">
      <w:pPr>
        <w:pageBreakBefore w:val="0"/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[3] Ministério da Saúde.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Saúde lança publicação com dados de doenças que atingiram o país nos últimos 16 anos. </w:t>
      </w:r>
      <w:r w:rsidDel="00000000" w:rsidR="00000000" w:rsidRPr="00000000">
        <w:rPr>
          <w:sz w:val="24"/>
          <w:szCs w:val="24"/>
          <w:rtl w:val="0"/>
        </w:rPr>
        <w:t xml:space="preserve">Disponível em</w:t>
      </w:r>
      <w:r w:rsidDel="00000000" w:rsidR="00000000" w:rsidRPr="00000000">
        <w:rPr>
          <w:sz w:val="24"/>
          <w:szCs w:val="24"/>
          <w:rtl w:val="0"/>
        </w:rPr>
        <w:t xml:space="preserve">: &lt;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https://bit.ly/2LYDF5m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06 de Outubro de 2019.</w:t>
      </w:r>
    </w:p>
    <w:p w:rsidR="00000000" w:rsidDel="00000000" w:rsidP="00000000" w:rsidRDefault="00000000" w:rsidRPr="00000000" w14:paraId="000000E2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[4]</w:t>
      </w:r>
      <w:r w:rsidDel="00000000" w:rsidR="00000000" w:rsidRPr="00000000">
        <w:rPr>
          <w:sz w:val="24"/>
          <w:szCs w:val="24"/>
          <w:rtl w:val="0"/>
        </w:rPr>
        <w:t xml:space="preserve"> BARROS, Aline Mide Romano de Barros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Modelos matemáticos de equações diferenciais ordinárias aplicadas à epidemiologia. </w:t>
      </w:r>
      <w:r w:rsidDel="00000000" w:rsidR="00000000" w:rsidRPr="00000000">
        <w:rPr>
          <w:sz w:val="24"/>
          <w:szCs w:val="24"/>
          <w:rtl w:val="0"/>
        </w:rPr>
        <w:t xml:space="preserve">Agosto, 2017. Disponível em: &lt;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https://bit.ly/2QVbk2K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20 de Novembro de 2019.</w:t>
      </w:r>
    </w:p>
    <w:p w:rsidR="00000000" w:rsidDel="00000000" w:rsidP="00000000" w:rsidRDefault="00000000" w:rsidRPr="00000000" w14:paraId="000000E4">
      <w:pPr>
        <w:pageBreakBefore w:val="0"/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[5] Ministério da Saúde. </w:t>
      </w:r>
      <w:r w:rsidDel="00000000" w:rsidR="00000000" w:rsidRPr="00000000">
        <w:rPr>
          <w:b w:val="1"/>
          <w:sz w:val="24"/>
          <w:szCs w:val="24"/>
          <w:rtl w:val="0"/>
        </w:rPr>
        <w:t xml:space="preserve">Vigilância Epidemiológica do Sarampo no Brasil 2019: Semanas Epidemiológicas 32 a 43 de 2019. </w:t>
      </w:r>
      <w:r w:rsidDel="00000000" w:rsidR="00000000" w:rsidRPr="00000000">
        <w:rPr>
          <w:sz w:val="24"/>
          <w:szCs w:val="24"/>
          <w:rtl w:val="0"/>
        </w:rPr>
        <w:t xml:space="preserve">Boletim Epidemiológico 33. Disponível em: &lt;</w:t>
      </w: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https://bit.ly/2OROS7I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20 de Novembro de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133.8582677165355" w:top="1133.8582677165355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ageBreakBefore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yperlink" Target="https://bit.ly/31XsNKh" TargetMode="External"/><Relationship Id="rId12" Type="http://schemas.openxmlformats.org/officeDocument/2006/relationships/hyperlink" Target="https://bit.ly/2IzvWs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bit.ly/2QVbk2K" TargetMode="External"/><Relationship Id="rId14" Type="http://schemas.openxmlformats.org/officeDocument/2006/relationships/hyperlink" Target="https://bit.ly/2LYDF5m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bit.ly/2OROS7I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