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 w:val="0"/>
          <w:i w:val="0"/>
          <w:color w:val="6B6B6B"/>
          <w:sz w:val="20"/>
        </w:rPr>
        <w:t>QM 47400 · Predictive Analytics · Fall 2026</w:t>
      </w:r>
    </w:p>
    <w:p>
      <w:pPr>
        <w:spacing w:after="40"/>
      </w:pPr>
      <w:r>
        <w:rPr>
          <w:rFonts w:ascii="Calibri" w:hAnsi="Calibri"/>
          <w:b/>
          <w:sz w:val="40"/>
        </w:rPr>
        <w:t>Final Project Group Contract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6B6B6B"/>
          <w:sz w:val="20"/>
        </w:rPr>
        <w:t>Professor Davi Moreira · Mitch Daniels School of Business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000000"/>
          <w:sz w:val="20"/>
        </w:rPr>
        <w:t>Complete this contract as a group, agree on every section together, and have all members sign. Export it as a PDF and submit it with Milestone 00 on Brightspace.</w:t>
      </w:r>
    </w:p>
    <w:p>
      <w:pPr>
        <w:spacing w:after="160" w:before="0"/>
      </w:pPr>
      <w:r>
        <w:rPr>
          <w:rFonts w:ascii="Calibri" w:hAnsi="Calibri"/>
          <w:b w:val="0"/>
          <w:i/>
          <w:color w:val="6B6B6B"/>
          <w:sz w:val="20"/>
        </w:rPr>
        <w:t>Fill this in honestly rather than generically. A contract that says "we will communicate well" helps nobody. One that names a channel, a response time, and an escalation point is a document your group can actually use, and it is what Professor Moreira refers back to if a contribution dispute is ever raised.</w:t>
      </w:r>
    </w:p>
    <w:p>
      <w:pPr>
        <w:spacing w:before="280" w:after="80"/>
        <w:pBdr>
          <w:bottom w:val="single" w:sz="8" w:space="2" w:color="CFB991"/>
        </w:pBdr>
      </w:pPr>
      <w:r>
        <w:rPr>
          <w:rFonts w:ascii="Calibri" w:hAnsi="Calibri"/>
          <w:b/>
          <w:color w:val="000000"/>
          <w:sz w:val="24"/>
        </w:rPr>
        <w:t>1. Group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Group number</w:t>
            </w:r>
          </w:p>
        </w:tc>
        <w:tc>
          <w:tcPr>
            <w:tcW w:type="dxa" w:w="3312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Course section</w:t>
            </w:r>
          </w:p>
        </w:tc>
        <w:tc>
          <w:tcPr>
            <w:tcW w:type="dxa" w:w="3312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Date completed</w:t>
            </w:r>
          </w:p>
        </w:tc>
      </w:tr>
      <w:tr>
        <w:trPr>
          <w:trHeight w:val="432"/>
        </w:trPr>
        <w:tc>
          <w:tcPr>
            <w:tcW w:type="dxa" w:w="3312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3312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3312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</w:tbl>
    <w:p>
      <w:pPr>
        <w:spacing w:after="40" w:before="0"/>
      </w:pPr>
    </w:p>
    <w:p>
      <w:pPr>
        <w:spacing w:before="280" w:after="80"/>
        <w:pBdr>
          <w:bottom w:val="single" w:sz="8" w:space="2" w:color="CFB991"/>
        </w:pBdr>
      </w:pPr>
      <w:r>
        <w:rPr>
          <w:rFonts w:ascii="Calibri" w:hAnsi="Calibri"/>
          <w:b/>
          <w:color w:val="000000"/>
          <w:sz w:val="24"/>
        </w:rPr>
        <w:t>2. Members and Contact Information</w:t>
      </w:r>
    </w:p>
    <w:p>
      <w:pPr>
        <w:spacing w:after="80" w:before="0"/>
      </w:pPr>
      <w:r>
        <w:rPr>
          <w:rFonts w:ascii="Calibri" w:hAnsi="Calibri"/>
          <w:b w:val="0"/>
          <w:i/>
          <w:color w:val="6B6B6B"/>
          <w:sz w:val="19"/>
        </w:rPr>
        <w:t>One row per member. Use Purdue email addresses.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3744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Purdue email</w:t>
            </w:r>
          </w:p>
        </w:tc>
        <w:tc>
          <w:tcPr>
            <w:tcW w:type="dxa" w:w="3168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Preferred contact method</w:t>
            </w:r>
          </w:p>
        </w:tc>
      </w:tr>
      <w:tr>
        <w:trPr>
          <w:trHeight w:val="432"/>
        </w:trPr>
        <w:tc>
          <w:tcPr>
            <w:tcW w:type="dxa" w:w="302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374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  <w:tr>
        <w:trPr>
          <w:trHeight w:val="432"/>
        </w:trPr>
        <w:tc>
          <w:tcPr>
            <w:tcW w:type="dxa" w:w="302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374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</w:tr>
      <w:tr>
        <w:trPr>
          <w:trHeight w:val="432"/>
        </w:trPr>
        <w:tc>
          <w:tcPr>
            <w:tcW w:type="dxa" w:w="302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374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  <w:tr>
        <w:trPr>
          <w:trHeight w:val="432"/>
        </w:trPr>
        <w:tc>
          <w:tcPr>
            <w:tcW w:type="dxa" w:w="302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374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</w:tr>
      <w:tr>
        <w:trPr>
          <w:trHeight w:val="432"/>
        </w:trPr>
        <w:tc>
          <w:tcPr>
            <w:tcW w:type="dxa" w:w="302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3744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</w:tbl>
    <w:p>
      <w:pPr>
        <w:spacing w:after="40" w:before="0"/>
      </w:pPr>
    </w:p>
    <w:p>
      <w:pPr>
        <w:spacing w:before="280" w:after="80"/>
        <w:pBdr>
          <w:bottom w:val="single" w:sz="8" w:space="2" w:color="CFB991"/>
        </w:pBdr>
      </w:pPr>
      <w:r>
        <w:rPr>
          <w:rFonts w:ascii="Calibri" w:hAnsi="Calibri"/>
          <w:b/>
          <w:color w:val="000000"/>
          <w:sz w:val="24"/>
        </w:rPr>
        <w:t>3. Communication Norms</w:t>
      </w:r>
    </w:p>
    <w:p>
      <w:pPr>
        <w:spacing w:after="80" w:before="0"/>
      </w:pPr>
      <w:r>
        <w:rPr>
          <w:rFonts w:ascii="Calibri" w:hAnsi="Calibri"/>
          <w:b w:val="0"/>
          <w:i/>
          <w:color w:val="6B6B6B"/>
          <w:sz w:val="19"/>
        </w:rPr>
        <w:t>Name your primary channel and the response time every member commits to. Example: "Slack, replies within 24 hours on weekdays."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</w:tbl>
    <w:p>
      <w:pPr>
        <w:spacing w:after="40" w:before="0"/>
      </w:pPr>
    </w:p>
    <w:p>
      <w:pPr>
        <w:spacing w:before="280" w:after="80"/>
        <w:pBdr>
          <w:bottom w:val="single" w:sz="8" w:space="2" w:color="CFB991"/>
        </w:pBdr>
      </w:pPr>
      <w:r>
        <w:rPr>
          <w:rFonts w:ascii="Calibri" w:hAnsi="Calibri"/>
          <w:b/>
          <w:color w:val="000000"/>
          <w:sz w:val="24"/>
        </w:rPr>
        <w:t>4. Meeting Cadence</w:t>
      </w:r>
    </w:p>
    <w:p>
      <w:pPr>
        <w:spacing w:after="80" w:before="0"/>
      </w:pPr>
      <w:r>
        <w:rPr>
          <w:rFonts w:ascii="Calibri" w:hAnsi="Calibri"/>
          <w:b w:val="0"/>
          <w:i/>
          <w:color w:val="6B6B6B"/>
          <w:sz w:val="19"/>
        </w:rPr>
        <w:t>When does your group meet, where, and who is responsible for scheduling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</w:tbl>
    <w:p>
      <w:pPr>
        <w:spacing w:after="40" w:before="0"/>
      </w:pPr>
    </w:p>
    <w:p>
      <w:pPr>
        <w:spacing w:before="280" w:after="80"/>
        <w:pBdr>
          <w:bottom w:val="single" w:sz="8" w:space="2" w:color="CFB991"/>
        </w:pBdr>
      </w:pPr>
      <w:r>
        <w:rPr>
          <w:rFonts w:ascii="Calibri" w:hAnsi="Calibri"/>
          <w:b/>
          <w:color w:val="000000"/>
          <w:sz w:val="24"/>
        </w:rPr>
        <w:t>5. Roles and Responsibilities</w:t>
      </w:r>
    </w:p>
    <w:p>
      <w:pPr>
        <w:spacing w:after="80" w:before="0"/>
      </w:pPr>
      <w:r>
        <w:rPr>
          <w:rFonts w:ascii="Calibri" w:hAnsi="Calibri"/>
          <w:b w:val="0"/>
          <w:i/>
          <w:color w:val="6B6B6B"/>
          <w:sz w:val="19"/>
        </w:rPr>
        <w:t>Who takes point on each area? Roles may rotate. If they do, say how and when.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3168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Who takes point</w:t>
            </w:r>
          </w:p>
        </w:tc>
        <w:tc>
          <w:tcPr>
            <w:tcW w:type="dxa" w:w="4032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rPr>
          <w:trHeight w:val="432"/>
        </w:trPr>
        <w:tc>
          <w:tcPr>
            <w:tcW w:type="dxa" w:w="273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Data collection and cleaning</w:t>
            </w:r>
          </w:p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4032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  <w:tr>
        <w:trPr>
          <w:trHeight w:val="432"/>
        </w:trPr>
        <w:tc>
          <w:tcPr>
            <w:tcW w:type="dxa" w:w="273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Modeling and evaluation</w:t>
            </w:r>
          </w:p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4032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</w:tr>
      <w:tr>
        <w:trPr>
          <w:trHeight w:val="432"/>
        </w:trPr>
        <w:tc>
          <w:tcPr>
            <w:tcW w:type="dxa" w:w="273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Writing and abstract</w:t>
            </w:r>
          </w:p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4032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  <w:tr>
        <w:trPr>
          <w:trHeight w:val="432"/>
        </w:trPr>
        <w:tc>
          <w:tcPr>
            <w:tcW w:type="dxa" w:w="273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Poster design</w:t>
            </w:r>
          </w:p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4032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</w:tr>
      <w:tr>
        <w:trPr>
          <w:trHeight w:val="432"/>
        </w:trPr>
        <w:tc>
          <w:tcPr>
            <w:tcW w:type="dxa" w:w="273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Brightspace submissions</w:t>
            </w:r>
          </w:p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4032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  <w:tr>
        <w:trPr>
          <w:trHeight w:val="432"/>
        </w:trPr>
        <w:tc>
          <w:tcPr>
            <w:tcW w:type="dxa" w:w="273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Other</w:t>
            </w:r>
          </w:p>
        </w:tc>
        <w:tc>
          <w:tcPr>
            <w:tcW w:type="dxa" w:w="3168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4032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</w:tr>
    </w:tbl>
    <w:p>
      <w:pPr>
        <w:spacing w:after="40" w:before="0"/>
      </w:pPr>
    </w:p>
    <w:p>
      <w:r>
        <w:br w:type="page"/>
      </w:r>
    </w:p>
    <w:p>
      <w:pPr>
        <w:spacing w:before="280" w:after="80"/>
        <w:pBdr>
          <w:bottom w:val="single" w:sz="8" w:space="2" w:color="CFB991"/>
        </w:pBdr>
      </w:pPr>
      <w:r>
        <w:rPr>
          <w:rFonts w:ascii="Calibri" w:hAnsi="Calibri"/>
          <w:b/>
          <w:color w:val="000000"/>
          <w:sz w:val="24"/>
        </w:rPr>
        <w:t>6. Decision Making</w:t>
      </w:r>
    </w:p>
    <w:p>
      <w:pPr>
        <w:spacing w:after="80" w:before="0"/>
      </w:pPr>
      <w:r>
        <w:rPr>
          <w:rFonts w:ascii="Calibri" w:hAnsi="Calibri"/>
          <w:b w:val="0"/>
          <w:i/>
          <w:color w:val="6B6B6B"/>
          <w:sz w:val="19"/>
        </w:rPr>
        <w:t>How does your group settle a disagreement about project direction? Majority vote, consensus, or the member who owns that area decides?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</w:tbl>
    <w:p>
      <w:pPr>
        <w:spacing w:after="40" w:before="0"/>
      </w:pPr>
    </w:p>
    <w:p>
      <w:pPr>
        <w:spacing w:before="280" w:after="80"/>
        <w:pBdr>
          <w:bottom w:val="single" w:sz="8" w:space="2" w:color="CFB991"/>
        </w:pBdr>
      </w:pPr>
      <w:r>
        <w:rPr>
          <w:rFonts w:ascii="Calibri" w:hAnsi="Calibri"/>
          <w:b/>
          <w:color w:val="000000"/>
          <w:sz w:val="24"/>
        </w:rPr>
        <w:t>7. Work Distribution and Internal Deadlines</w:t>
      </w:r>
    </w:p>
    <w:p>
      <w:pPr>
        <w:spacing w:after="80" w:before="0"/>
      </w:pPr>
      <w:r>
        <w:rPr>
          <w:rFonts w:ascii="Calibri" w:hAnsi="Calibri"/>
          <w:b w:val="0"/>
          <w:i/>
          <w:color w:val="6B6B6B"/>
          <w:sz w:val="19"/>
        </w:rPr>
        <w:t>How do tasks get assigned, where are they tracked, and how far ahead of a Brightspace deadline does your group set its own internal deadline?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</w:tbl>
    <w:p>
      <w:pPr>
        <w:spacing w:after="40" w:before="0"/>
      </w:pPr>
    </w:p>
    <w:p>
      <w:pPr>
        <w:spacing w:before="280" w:after="80"/>
        <w:pBdr>
          <w:bottom w:val="single" w:sz="8" w:space="2" w:color="CFB991"/>
        </w:pBdr>
      </w:pPr>
      <w:r>
        <w:rPr>
          <w:rFonts w:ascii="Calibri" w:hAnsi="Calibri"/>
          <w:b/>
          <w:color w:val="000000"/>
          <w:sz w:val="24"/>
        </w:rPr>
        <w:t>8. Accountability</w:t>
      </w:r>
    </w:p>
    <w:p>
      <w:pPr>
        <w:spacing w:after="80" w:before="0"/>
      </w:pPr>
      <w:r>
        <w:rPr>
          <w:rFonts w:ascii="Calibri" w:hAnsi="Calibri"/>
          <w:b w:val="0"/>
          <w:i/>
          <w:color w:val="6B6B6B"/>
          <w:sz w:val="19"/>
        </w:rPr>
        <w:t>This is the section groups most want to leave vague and the one that matters most if something goes wrong. Be specific.</w:t>
      </w:r>
    </w:p>
    <w:p>
      <w:pPr>
        <w:spacing w:after="40" w:before="80"/>
      </w:pPr>
      <w:r>
        <w:rPr>
          <w:rFonts w:ascii="Calibri" w:hAnsi="Calibri"/>
          <w:b/>
          <w:i w:val="0"/>
          <w:color w:val="000000"/>
          <w:sz w:val="20"/>
        </w:rPr>
        <w:t>What does your group do when a member misses an internal deadline?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</w:tbl>
    <w:p>
      <w:pPr>
        <w:spacing w:after="40" w:before="120"/>
      </w:pPr>
      <w:r>
        <w:rPr>
          <w:rFonts w:ascii="Calibri" w:hAnsi="Calibri"/>
          <w:b/>
          <w:i w:val="0"/>
          <w:color w:val="000000"/>
          <w:sz w:val="20"/>
        </w:rPr>
        <w:t>What does your group do when a member is unreachable? After how many days does that trigger a response?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</w:tbl>
    <w:p>
      <w:pPr>
        <w:spacing w:after="40" w:before="120"/>
      </w:pPr>
      <w:r>
        <w:rPr>
          <w:rFonts w:ascii="Calibri" w:hAnsi="Calibri"/>
          <w:b/>
          <w:i w:val="0"/>
          <w:color w:val="000000"/>
          <w:sz w:val="20"/>
        </w:rPr>
        <w:t>At what point does your group bring the issue to Professor Moreira?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  <w:tr>
        <w:trPr>
          <w:trHeight w:val="403"/>
        </w:trPr>
        <w:tc>
          <w:tcPr>
            <w:tcW w:type="dxa" w:w="9936"/>
            <w:vAlign w:val="bottom"/>
            <w:tcBorders>
              <w:top w:val="nil"/>
              <w:left w:val="nil"/>
              <w:right w:val="nil"/>
              <w:bottom w:val="single" w:sz="4" w:color="BFBFBF"/>
            </w:tcBorders>
          </w:tcPr>
          <w:p/>
        </w:tc>
      </w:tr>
    </w:tbl>
    <w:p>
      <w:pPr>
        <w:spacing w:after="40" w:before="0"/>
      </w:pPr>
    </w:p>
    <w:p>
      <w:pPr>
        <w:spacing w:before="280" w:after="80"/>
        <w:pBdr>
          <w:bottom w:val="single" w:sz="8" w:space="2" w:color="CFB991"/>
        </w:pBdr>
      </w:pPr>
      <w:r>
        <w:rPr>
          <w:rFonts w:ascii="Calibri" w:hAnsi="Calibri"/>
          <w:b/>
          <w:color w:val="000000"/>
          <w:sz w:val="24"/>
        </w:rPr>
        <w:t>9. Acknowledgement and Signatures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00000"/>
          <w:sz w:val="20"/>
        </w:rPr>
        <w:t>By signing below, each member confirms that they helped write this contract, agree to its terms, and understand that intra-group peer evaluation is worth 20% of the Final Project grade and is assessed per member.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4320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Signature</w:t>
            </w:r>
          </w:p>
        </w:tc>
        <w:tc>
          <w:tcPr>
            <w:tcW w:type="dxa" w:w="2160"/>
            <w:shd w:val="clear" w:color="auto" w:fill="CFB991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</w:tr>
      <w:tr>
        <w:trPr>
          <w:trHeight w:val="432"/>
        </w:trPr>
        <w:tc>
          <w:tcPr>
            <w:tcW w:type="dxa" w:w="345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432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216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  <w:tr>
        <w:trPr>
          <w:trHeight w:val="432"/>
        </w:trPr>
        <w:tc>
          <w:tcPr>
            <w:tcW w:type="dxa" w:w="345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432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216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</w:tr>
      <w:tr>
        <w:trPr>
          <w:trHeight w:val="432"/>
        </w:trPr>
        <w:tc>
          <w:tcPr>
            <w:tcW w:type="dxa" w:w="345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432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216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  <w:tr>
        <w:trPr>
          <w:trHeight w:val="432"/>
        </w:trPr>
        <w:tc>
          <w:tcPr>
            <w:tcW w:type="dxa" w:w="345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432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  <w:tc>
          <w:tcPr>
            <w:tcW w:type="dxa" w:w="216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  <w:shd w:val="clear" w:color="auto" w:fill="F7F5F1"/>
          </w:tcPr>
          <w:p/>
        </w:tc>
      </w:tr>
      <w:tr>
        <w:trPr>
          <w:trHeight w:val="432"/>
        </w:trPr>
        <w:tc>
          <w:tcPr>
            <w:tcW w:type="dxa" w:w="3456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432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  <w:tc>
          <w:tcPr>
            <w:tcW w:type="dxa" w:w="2160"/>
            <w:tcBorders>
              <w:top w:val="single" w:sz="4" w:color="CFB991"/>
              <w:left w:val="single" w:sz="4" w:color="CFB991"/>
              <w:bottom w:val="single" w:sz="4" w:color="CFB991"/>
              <w:right w:val="single" w:sz="4" w:color="CFB991"/>
            </w:tcBorders>
          </w:tcPr>
          <w:p/>
        </w:tc>
      </w:tr>
    </w:tbl>
    <w:p>
      <w:pPr>
        <w:spacing w:after="80" w:before="0"/>
      </w:pPr>
    </w:p>
    <w:p>
      <w:pPr>
        <w:spacing w:after="120" w:before="200"/>
        <w:jc w:val="center"/>
      </w:pPr>
      <w:r>
        <w:rPr>
          <w:rFonts w:ascii="Calibri" w:hAnsi="Calibri"/>
          <w:b w:val="0"/>
          <w:i/>
          <w:color w:val="6B6B6B"/>
          <w:sz w:val="19"/>
        </w:rPr>
        <w:t>Submit as NN_group_contract.pdf, where NN is your group number, with the Milestone 00 assignment on Brightspace.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