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F15E3" w14:textId="77777777" w:rsidR="00E836EF" w:rsidRPr="00FA1792" w:rsidRDefault="00000000" w:rsidP="00FA1792">
      <w:pPr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1"/>
          <w:szCs w:val="21"/>
        </w:rPr>
        <w:t>Predictive Analytics Poster Rubric (Poster-Only Assessment)</w:t>
      </w:r>
    </w:p>
    <w:tbl>
      <w:tblPr>
        <w:tblStyle w:val="PlainTable1"/>
        <w:tblW w:w="5000" w:type="pct"/>
        <w:tblLook w:val="04A0" w:firstRow="1" w:lastRow="0" w:firstColumn="1" w:lastColumn="0" w:noHBand="0" w:noVBand="1"/>
      </w:tblPr>
      <w:tblGrid>
        <w:gridCol w:w="353"/>
        <w:gridCol w:w="1900"/>
        <w:gridCol w:w="860"/>
        <w:gridCol w:w="5439"/>
        <w:gridCol w:w="2656"/>
        <w:gridCol w:w="3228"/>
      </w:tblGrid>
      <w:tr w:rsidR="00E836EF" w:rsidRPr="00FA1792" w14:paraId="5D60FBBB" w14:textId="77777777" w:rsidTr="00FA17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6B375318" w14:textId="77777777" w:rsidR="00E836EF" w:rsidRPr="00FA1792" w:rsidRDefault="00000000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#</w:t>
            </w:r>
          </w:p>
        </w:tc>
        <w:tc>
          <w:tcPr>
            <w:tcW w:w="658" w:type="pct"/>
          </w:tcPr>
          <w:p w14:paraId="447BB14F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Criterion</w:t>
            </w:r>
          </w:p>
        </w:tc>
        <w:tc>
          <w:tcPr>
            <w:tcW w:w="298" w:type="pct"/>
          </w:tcPr>
          <w:p w14:paraId="584E0BA0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Points</w:t>
            </w:r>
          </w:p>
        </w:tc>
        <w:tc>
          <w:tcPr>
            <w:tcW w:w="1884" w:type="pct"/>
          </w:tcPr>
          <w:p w14:paraId="4520D07E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Exemplary (Full Points)</w:t>
            </w:r>
          </w:p>
        </w:tc>
        <w:tc>
          <w:tcPr>
            <w:tcW w:w="920" w:type="pct"/>
          </w:tcPr>
          <w:p w14:paraId="16EB43AC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Competent (Partial Points)</w:t>
            </w:r>
          </w:p>
        </w:tc>
        <w:tc>
          <w:tcPr>
            <w:tcW w:w="1118" w:type="pct"/>
          </w:tcPr>
          <w:p w14:paraId="5A8FE56A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Needs Improvement (Minimal Points)</w:t>
            </w:r>
          </w:p>
        </w:tc>
      </w:tr>
      <w:tr w:rsidR="00E836EF" w:rsidRPr="00FA1792" w14:paraId="2C04A550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6CA6282C" w14:textId="4A55466D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658" w:type="pct"/>
          </w:tcPr>
          <w:p w14:paraId="3D6007C3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Prediction Goal(s)</w:t>
            </w:r>
          </w:p>
        </w:tc>
        <w:tc>
          <w:tcPr>
            <w:tcW w:w="298" w:type="pct"/>
          </w:tcPr>
          <w:p w14:paraId="28168D59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1884" w:type="pct"/>
          </w:tcPr>
          <w:p w14:paraId="04394A1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 pts: Clear, specific predictive objective(s); response type (regression/classification) explicitly identified and justified; names the stakeholder and the decision the predictions support; strong business/research rationale.</w:t>
            </w:r>
          </w:p>
        </w:tc>
        <w:tc>
          <w:tcPr>
            <w:tcW w:w="920" w:type="pct"/>
          </w:tcPr>
          <w:p w14:paraId="24DBA45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3–4 pts: Goal and response type stated, but the stakeholder, the decision, or the rationale is thin; limited link to context.</w:t>
            </w:r>
            <w:proofErr w:type="gramStart"/>
            <w:proofErr w:type="gramEnd"/>
          </w:p>
        </w:tc>
        <w:tc>
          <w:tcPr>
            <w:tcW w:w="1118" w:type="pct"/>
          </w:tcPr>
          <w:p w14:paraId="193BF3CC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0–2 pts: Goal unclear/missing; response type unspecified; no link to a stakeholder's decision.</w:t>
            </w:r>
          </w:p>
        </w:tc>
      </w:tr>
      <w:tr w:rsidR="00E836EF" w:rsidRPr="00FA1792" w14:paraId="70E6E868" w14:textId="77777777" w:rsidTr="00FA179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4946BD7C" w14:textId="56001B99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658" w:type="pct"/>
          </w:tcPr>
          <w:p w14:paraId="39E02C91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Dataset Overview</w:t>
            </w:r>
          </w:p>
        </w:tc>
        <w:tc>
          <w:tcPr>
            <w:tcW w:w="298" w:type="pct"/>
          </w:tcPr>
          <w:p w14:paraId="681A8D71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1884" w:type="pct"/>
          </w:tcPr>
          <w:p w14:paraId="5DB10EED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7–8 pts: Reports #obs/#features; types for key features; response variable identified/typed; data provenance/window stated.</w:t>
            </w:r>
          </w:p>
        </w:tc>
        <w:tc>
          <w:tcPr>
            <w:tcW w:w="920" w:type="pct"/>
          </w:tcPr>
          <w:p w14:paraId="6C9682FF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4–6 pts: Size and response identified; partial feature typing; minimal provenance.</w:t>
            </w:r>
          </w:p>
        </w:tc>
        <w:tc>
          <w:tcPr>
            <w:tcW w:w="1118" w:type="pct"/>
          </w:tcPr>
          <w:p w14:paraId="652C55DD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0–3 pts: Missing size/response ID; little/no feature typing or context.</w:t>
            </w:r>
          </w:p>
        </w:tc>
      </w:tr>
      <w:tr w:rsidR="00E836EF" w:rsidRPr="00FA1792" w14:paraId="48A5133C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656ED7EA" w14:textId="08C99AF5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658" w:type="pct"/>
          </w:tcPr>
          <w:p w14:paraId="685E08B1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Exploratory Data Analysis (EDA)</w:t>
            </w:r>
          </w:p>
        </w:tc>
        <w:tc>
          <w:tcPr>
            <w:tcW w:w="298" w:type="pct"/>
          </w:tcPr>
          <w:p w14:paraId="7A806296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12</w:t>
            </w:r>
          </w:p>
        </w:tc>
        <w:tc>
          <w:tcPr>
            <w:tcW w:w="1884" w:type="pct"/>
          </w:tcPr>
          <w:p w14:paraId="2A531119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10–12 pts: Appropriate summaries (response + key predictors); ≥2 relevant plots; interprets skew/outliers/imbalance/seasonality; connects insights to modeling choices and metric selection.</w:t>
            </w:r>
          </w:p>
        </w:tc>
        <w:tc>
          <w:tcPr>
            <w:tcW w:w="920" w:type="pct"/>
          </w:tcPr>
          <w:p w14:paraId="4FC3C89E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6–9 pts: Basic stats and ≥1 plot; some interpretation but limited linkage to modeling.</w:t>
            </w:r>
          </w:p>
        </w:tc>
        <w:tc>
          <w:tcPr>
            <w:tcW w:w="1118" w:type="pct"/>
          </w:tcPr>
          <w:p w14:paraId="24F43BC1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0–5 pts: Incomplete stats; weak/irrelevant visuals; minimal/no interpretation.</w:t>
            </w:r>
          </w:p>
        </w:tc>
      </w:tr>
      <w:tr w:rsidR="00E836EF" w:rsidRPr="00FA1792" w14:paraId="6DE7B164" w14:textId="77777777" w:rsidTr="00FA179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7FDFC081" w14:textId="7582A413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658" w:type="pct"/>
          </w:tcPr>
          <w:p w14:paraId="45E921A7" w14:textId="78F2796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Data Preparation (Feature Engineering</w:t>
            </w:r>
            <w:r w:rsidR="00FA1792" w:rsidRPr="00FA1792">
              <w:rPr>
                <w:rFonts w:ascii="Times New Roman" w:hAnsi="Times New Roman" w:cs="Times New Roman"/>
                <w:sz w:val="21"/>
                <w:szCs w:val="21"/>
              </w:rPr>
              <w:t>,</w:t>
            </w: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 xml:space="preserve"> Missing Data</w:t>
            </w:r>
            <w:r w:rsidR="00FA1792" w:rsidRPr="00FA1792">
              <w:rPr>
                <w:rFonts w:ascii="Times New Roman" w:hAnsi="Times New Roman" w:cs="Times New Roman"/>
                <w:sz w:val="21"/>
                <w:szCs w:val="21"/>
              </w:rPr>
              <w:t>, etc.</w:t>
            </w: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)</w:t>
            </w:r>
          </w:p>
        </w:tc>
        <w:tc>
          <w:tcPr>
            <w:tcW w:w="298" w:type="pct"/>
          </w:tcPr>
          <w:p w14:paraId="1BBCE933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18</w:t>
            </w:r>
          </w:p>
        </w:tc>
        <w:tc>
          <w:tcPr>
            <w:tcW w:w="1884" w:type="pct"/>
          </w:tcPr>
          <w:p w14:paraId="394B01B9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15–18 pts: ≥1 non-trivial new feature (interactions, lags/rolling stats, domain-driven ratios, text-derived signals) with clear rationale; quantifies missingness by feature; justified strategy (drop/impute/advanced) with leakage-safe implementation; demonstrates impact via ablation/CV deltas or sensitivity to imputation choices.</w:t>
            </w:r>
          </w:p>
        </w:tc>
        <w:tc>
          <w:tcPr>
            <w:tcW w:w="920" w:type="pct"/>
          </w:tcPr>
          <w:p w14:paraId="0D8DF8E4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9–14 pts: New feature with partial rationale; identifies missingness and applies a reasonable method; limited evidence of impact or sensitivity analysis.</w:t>
            </w:r>
          </w:p>
        </w:tc>
        <w:tc>
          <w:tcPr>
            <w:tcW w:w="1118" w:type="pct"/>
          </w:tcPr>
          <w:p w14:paraId="1A91FEC6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0–8 pts: No new/trivial feature; missingness unreported or mishandled; unjustified/inappropriate method; no evidence of value.</w:t>
            </w:r>
          </w:p>
        </w:tc>
      </w:tr>
      <w:tr w:rsidR="00E836EF" w:rsidRPr="00FA1792" w14:paraId="64D9BE6F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6C8D43C2" w14:textId="5D562F0E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658" w:type="pct"/>
          </w:tcPr>
          <w:p w14:paraId="026D620A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Baseline Model (Choice, CV, Interpretation)</w:t>
            </w:r>
          </w:p>
        </w:tc>
        <w:tc>
          <w:tcPr>
            <w:tcW w:w="298" w:type="pct"/>
          </w:tcPr>
          <w:p w14:paraId="3956D726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17</w:t>
            </w:r>
          </w:p>
        </w:tc>
        <w:tc>
          <w:tcPr>
            <w:tcW w:w="1884" w:type="pct"/>
          </w:tcPr>
          <w:p w14:paraId="5388AB8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14–17 pts: Appropriate simple baseline (e.g., Linear/Logistic Regression), the incumbent any complex model must beat; pipeline is leakage-safe; k=5/10 CV (time-respecting for forecasting) with a primary metric chosen for the cost of errors; reports the fold scores with their mean and SD (no per-model confidence interval needed); summarizes implications and limitations; proposes concrete next steps.</w:t>
            </w:r>
          </w:p>
        </w:tc>
        <w:tc>
          <w:tcPr>
            <w:tcW w:w="920" w:type="pct"/>
          </w:tcPr>
          <w:p w14:paraId="3D28C836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8–13 pts: Reasonable model; CV present with partial integration/details; metric adequate; interpretation limited or generic.</w:t>
            </w:r>
          </w:p>
        </w:tc>
        <w:tc>
          <w:tcPr>
            <w:tcW w:w="1118" w:type="pct"/>
          </w:tcPr>
          <w:p w14:paraId="6095909D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0–7 pts: Inappropriate/unspecified baseline; no/incorrect CV; unclear metric; raw numbers only; no reflection.</w:t>
            </w:r>
          </w:p>
        </w:tc>
      </w:tr>
      <w:tr w:rsidR="00E836EF" w:rsidRPr="00FA1792" w14:paraId="2F7612DD" w14:textId="77777777" w:rsidTr="00FA179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106B9BA4" w14:textId="218F0AC8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658" w:type="pct"/>
          </w:tcPr>
          <w:p w14:paraId="0B3EAAF6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Model Comparison and Champion Selection (Choice, Tuning, Paired Comparison, Rationale)</w:t>
            </w:r>
          </w:p>
        </w:tc>
        <w:tc>
          <w:tcPr>
            <w:tcW w:w="298" w:type="pct"/>
          </w:tcPr>
          <w:p w14:paraId="7E3164AC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25</w:t>
            </w:r>
          </w:p>
        </w:tc>
        <w:tc>
          <w:tcPr>
            <w:tcW w:w="1884" w:type="pct"/>
          </w:tcPr>
          <w:p w14:paraId="47F01B5C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22–25 pts: Model aligned to data/goal (e.g., RF/GBM/SVM/NN); tuning inside CV with leakage controls. Before comparing: primary metric, margin δ (smallest gain that would change the stakeholder's decision, with its business meaning), and candidate order (simplest first). Identical folds; per-fold differences (positive favors the challenger); the verdict from a rule applied correctly: notebook 08's rule (Fall 2026 note) or, recommended, the interval corrected for fold overlap, mean ± t × SD(differences) × √(1/k + 1/(k−1)), named as worthwhile gain (entirely above δ), worthwhile loss (entirely below −δ), practically equivalent (entirely inside ±δ), or unresolved. One champion (the baseline can win); extra complexity only on a worthwhile gain; rationale in the stakeholder's terms (what the gain means, secondary checks, runner-up, what would change the decision). No model's own interval, interval overlap, or lower bound picks the champion; the test set is not used to select.</w:t>
            </w:r>
          </w:p>
        </w:tc>
        <w:tc>
          <w:tcPr>
            <w:tcW w:w="920" w:type="pct"/>
          </w:tcPr>
          <w:p w14:paraId="61568272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13–21 pts: Plausible model and tuning, but the comparison or decision is incomplete, or misapplies the rule the team used: folds not paired; δ missing, without business meaning, or set after the results without saying so; verdict from means alone, interval overlap, or a model's own interval; with the corrected interval, unresolved called equivalent; or a champion without a rationale tied to the decision.</w:t>
            </w:r>
          </w:p>
        </w:tc>
        <w:tc>
          <w:tcPr>
            <w:tcW w:w="1118" w:type="pct"/>
          </w:tcPr>
          <w:p w14:paraId="4ED72A14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0–12 pts: Misaligned/unspecified model; superficial/absent tuning; incorrect CV; no clear comparison and no justified champion.</w:t>
            </w:r>
          </w:p>
        </w:tc>
      </w:tr>
      <w:tr w:rsidR="00E836EF" w:rsidRPr="00FA1792" w14:paraId="50C16E14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5FBE7AB4" w14:textId="3A9FCAF2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658" w:type="pct"/>
          </w:tcPr>
          <w:p w14:paraId="2976441A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Report Quality &amp; Visual Communication</w:t>
            </w:r>
          </w:p>
        </w:tc>
        <w:tc>
          <w:tcPr>
            <w:tcW w:w="298" w:type="pct"/>
          </w:tcPr>
          <w:p w14:paraId="391F64D3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1884" w:type="pct"/>
          </w:tcPr>
          <w:p w14:paraId="046BC228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9–10 pts: Clear, scannable poster; logical flow (Intro→Methods→Results→Conclusions); the champion and its main reason are easy to find; legible, labeled figures/tables (titles, axes, units, legends); consistent typography/layout; code refs/appendix where appropriate; minimal grammar issues.</w:t>
            </w:r>
          </w:p>
        </w:tc>
        <w:tc>
          <w:tcPr>
            <w:tcW w:w="920" w:type="pct"/>
          </w:tcPr>
          <w:p w14:paraId="3504214B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6–8 pts: Generally readable; minor layout/labeling gaps; some figures under-explained or styling inconsistencies.</w:t>
            </w:r>
          </w:p>
        </w:tc>
        <w:tc>
          <w:tcPr>
            <w:tcW w:w="1118" w:type="pct"/>
          </w:tcPr>
          <w:p w14:paraId="7A7E0CE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0–5 pts: Disorganized; illegible/unlabeled visuals; weak linkage between text and graphics; notable grammar/formatting issues.</w:t>
            </w:r>
          </w:p>
        </w:tc>
      </w:tr>
      <w:tr w:rsidR="00E836EF" w:rsidRPr="00FA1792" w14:paraId="50C16E14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5FBE7AB4" w14:textId="3A9FCAF2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658" w:type="pct"/>
          </w:tcPr>
          <w:p w14:paraId="2976441A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Sources, Acknowledgments, AI Use &amp; Data Privacy</w:t>
            </w:r>
          </w:p>
        </w:tc>
        <w:tc>
          <w:tcPr>
            <w:tcW w:w="298" w:type="pct"/>
          </w:tcPr>
          <w:p w14:paraId="391F64D3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1884" w:type="pct"/>
          </w:tcPr>
          <w:p w14:paraId="046BC228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 pts: Data source cited (provider, URL or DOI, version or access date); references support the business-problem claims and the main software is credited (e.g., scikit-learn, pandas); Acknowledgments section names the Mitch Daniels School of Business, Prof. Moreira, the TAs, and other contributors; AI Use Disclosure names each AI tool and what it was used for and states that the team verified the output (or states that no AI tools were used); only aggregated or anonymized data and examples.</w:t>
            </w:r>
          </w:p>
        </w:tc>
        <w:tc>
          <w:tcPr>
            <w:tcW w:w="920" w:type="pct"/>
          </w:tcPr>
          <w:p w14:paraId="3504214B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3–4 pts: AI Use Disclosure present but vague (names tools without saying what they did), or one other element missing or incomplete (e.g., acknowledgments omit the TAs; data source cited without references or tools). No privacy issue.</w:t>
            </w:r>
          </w:p>
        </w:tc>
        <w:tc>
          <w:tcPr>
            <w:tcW w:w="1118" w:type="pct"/>
          </w:tcPr>
          <w:p w14:paraId="7A7E0CE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0–2 pts: No AI Use Disclosure, or two or more other elements missing. Any personally identifiable or NDA-restricted data on the poster scores 0 here and must be removed before printing.</w:t>
            </w:r>
          </w:p>
        </w:tc>
      </w:tr>
    </w:tbl>
    <w:p w14:paraId="0C3F15E3" w14:textId="77777777" w:rsidR="00E836EF" w:rsidRPr="00FA1792" w:rsidRDefault="00000000" w:rsidP="00FA1792">
      <w:pPr>
        <w:spacing w:before="2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0"/>
          <w:szCs w:val="21"/>
        </w:rPr>
        <w:t>Total:</w:t>
      </w:r>
      <w:r w:rsidRPr="00FA1792">
        <w:rPr>
          <w:rFonts w:ascii="Times New Roman" w:hAnsi="Times New Roman" w:cs="Times New Roman"/>
          <w:bCs/>
          <w:sz w:val="20"/>
          <w:szCs w:val="21"/>
        </w:rPr>
        <w:t xml:space="preserve"> 100 points. This rubric grades M09 (poster first draft), M10 (final poster), and the Instructor/TA evaluation after the conference.</w:t>
      </w:r>
    </w:p>
    <w:p w14:paraId="0C3F15E3" w14:textId="77777777" w:rsidR="00E836EF" w:rsidRPr="00FA1792" w:rsidRDefault="00000000" w:rsidP="00FA1792">
      <w:pPr>
        <w:spacing w:before="2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0"/>
          <w:szCs w:val="21"/>
        </w:rPr>
        <w:t>Criterion 6 at M09 (due Nov 1):</w:t>
      </w:r>
      <w:r w:rsidRPr="00FA1792">
        <w:rPr>
          <w:rFonts w:ascii="Times New Roman" w:hAnsi="Times New Roman" w:cs="Times New Roman"/>
          <w:bCs/>
          <w:sz w:val="20"/>
          <w:szCs w:val="21"/>
        </w:rPr>
        <w:t xml:space="preserve"> the comparison and the champion get feedback, not a deduction, on the first draft; they are scored from M10, under the Fall 2026 note.</w:t>
      </w:r>
    </w:p>
    <w:p w14:paraId="0C3F15E3" w14:textId="77777777" w:rsidR="00E836EF" w:rsidRPr="00FA1792" w:rsidRDefault="00000000" w:rsidP="00FA1792">
      <w:pPr>
        <w:spacing w:before="2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0"/>
          <w:szCs w:val="21"/>
        </w:rPr>
        <w:t>Fall 2026 (this note controls criterion 6):</w:t>
      </w:r>
      <w:r w:rsidRPr="00FA1792">
        <w:rPr>
          <w:rFonts w:ascii="Times New Roman" w:hAnsi="Times New Roman" w:cs="Times New Roman"/>
          <w:bCs/>
          <w:sz w:val="20"/>
          <w:szCs w:val="21"/>
        </w:rPr>
        <w:t xml:space="preserve"> the notebooks still teach notebook 08's three-outcome rule; applying it correctly earns full credit, as does a champion chosen as notebook 14 teaches and explained for the stakeholder. The corrected interval is recommended, not required. If δ or your criteria were set after the M06/M08 results, say so: honest disclosure is not penalized. A baseline champion or an honest “unresolved” verdict can earn full credit. No new model search or test-set opening is required.</w:t>
      </w:r>
    </w:p>
    <w:p w14:paraId="0C3F15E3" w14:textId="77777777" w:rsidR="00E836EF" w:rsidRPr="00FA1792" w:rsidRDefault="00000000" w:rsidP="00FA1792">
      <w:pPr>
        <w:spacing w:before="2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0"/>
          <w:szCs w:val="21"/>
        </w:rPr>
        <w:t>AI use:</w:t>
      </w:r>
      <w:r w:rsidRPr="00FA1792">
        <w:rPr>
          <w:rFonts w:ascii="Times New Roman" w:hAnsi="Times New Roman" w:cs="Times New Roman"/>
          <w:bCs/>
          <w:sz w:val="20"/>
          <w:szCs w:val="21"/>
        </w:rPr>
        <w:t xml:space="preserve"> per the syllabus AI Policy, every poster carries an AI Use Disclosure (the template has a section for it). Errors in AI-assisted work are the team’s responsibility.</w:t>
      </w:r>
    </w:p>
    <w:p w14:paraId="0C3F15E3" w14:textId="77777777" w:rsidR="00E836EF" w:rsidRPr="00FA1792" w:rsidRDefault="00000000" w:rsidP="00FA1792">
      <w:pPr>
        <w:spacing w:before="2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0"/>
          <w:szCs w:val="21"/>
        </w:rPr>
        <w:t>Honors:</w:t>
      </w:r>
      <w:r w:rsidRPr="00FA1792">
        <w:rPr>
          <w:rFonts w:ascii="Times New Roman" w:hAnsi="Times New Roman" w:cs="Times New Roman"/>
          <w:bCs/>
          <w:sz w:val="20"/>
          <w:szCs w:val="21"/>
        </w:rPr>
        <w:t xml:space="preserve"> a labeled honors section, where present, is graded only under the Honors Research Extension and is not scored under this rubric.</w:t>
      </w:r>
    </w:p>
    <w:sectPr w:rsidR="009B3F4C" w:rsidRPr="00FA1792" w:rsidSect="00FA1792">
      <w:pgSz w:w="15840" w:h="12240" w:orient="landscape"/>
      <w:pgMar w:top="693" w:right="720" w:bottom="72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0197840">
    <w:abstractNumId w:val="8"/>
  </w:num>
  <w:num w:numId="2" w16cid:durableId="1809737226">
    <w:abstractNumId w:val="6"/>
  </w:num>
  <w:num w:numId="3" w16cid:durableId="2034990054">
    <w:abstractNumId w:val="5"/>
  </w:num>
  <w:num w:numId="4" w16cid:durableId="509180786">
    <w:abstractNumId w:val="4"/>
  </w:num>
  <w:num w:numId="5" w16cid:durableId="399402960">
    <w:abstractNumId w:val="7"/>
  </w:num>
  <w:num w:numId="6" w16cid:durableId="1419640897">
    <w:abstractNumId w:val="3"/>
  </w:num>
  <w:num w:numId="7" w16cid:durableId="1120414850">
    <w:abstractNumId w:val="2"/>
  </w:num>
  <w:num w:numId="8" w16cid:durableId="731194306">
    <w:abstractNumId w:val="1"/>
  </w:num>
  <w:num w:numId="9" w16cid:durableId="790048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B3F4C"/>
    <w:rsid w:val="00AA1D8D"/>
    <w:rsid w:val="00B47730"/>
    <w:rsid w:val="00CB0664"/>
    <w:rsid w:val="00CC2ECC"/>
    <w:rsid w:val="00E836EF"/>
    <w:rsid w:val="00FA1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1ACF90"/>
  <w14:defaultImageDpi w14:val="300"/>
  <w15:docId w15:val="{ABF22A83-8F69-6B4E-BBFC-925E8DEF0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FA179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 Cordeiro Moreira</cp:lastModifiedBy>
  <cp:revision>2</cp:revision>
  <dcterms:created xsi:type="dcterms:W3CDTF">2013-12-23T23:15:00Z</dcterms:created>
  <dcterms:modified xsi:type="dcterms:W3CDTF">2025-10-17T20:37:00Z</dcterms:modified>
  <cp:category/>
</cp:coreProperties>
</file>