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**Tabela 1 - Distribuição das características dos pacientes e sua associação com o óbito**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3126"/>
        <w:gridCol w:w="3126"/>
        <w:gridCol w:w="3126"/>
        <w:gridCol w:w="1181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Óbito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Regressão Logística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Não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(51, 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(50, 65)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(55, 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tabagismo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creatinine_phosphokinase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(117, 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(109, 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(129, 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ejection_fraction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(30,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(35,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262,000 (212,500, 303,500)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263,000 (219,500, 302,000)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258,500 (197,500, 311,000)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(0.90, 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(0.90, 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(1.08, 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1.60, 3.46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serum_sodium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(134, 140)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(136, 140)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(133, 138)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0.85, 0.96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Mediana (Q1,Q3) ou Frequência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Teste de Wilcoxon ou Teste Qui-Quadrado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95% CI = Intervalo de Confiança 95%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2023-10-22T23:29:42Z</dcterms:modified>
  <cp:category/>
</cp:coreProperties>
</file>