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76" w:lineRule="auto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spacing w:before="0" w:after="40" w:line="276" w:lineRule="auto"/>
        <w:jc w:val="center"/>
      </w:pPr>
      <w:r>
        <w:rPr>
          <w:rFonts w:ascii="Calibri" w:hAnsi="Calibri"/>
          <w:b/>
          <w:color w:val="28466E"/>
          <w:sz w:val="22"/>
        </w:rPr>
        <w:t>PAID SEARCH MANAGER | AGENCY STRATEGY, GOOGLE ADS &amp; CLIENT GROWTH</w:t>
      </w:r>
    </w:p>
    <w:p>
      <w:pPr>
        <w:spacing w:before="0" w:after="60" w:line="276" w:lineRule="auto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Performance-focused paid search leader with 14+ years of experience managing complex Google Ads and Microsoft Ads programs across agency, e-commerce, and multi-channel environments. Experienced owning campaign activation, daily optimization, budget pacing, conversion tracking, attribution, keyword and audience strategy, competitive research, and client-facing performance recommendations. Known for combining rigorous analysis with practical communication, reliable quality control, and a consultative approach that turns business goals into measurable search, shopping, display, video, and remarketing results.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spacing w:before="0" w:after="40" w:line="276" w:lineRule="auto"/>
        <w:jc w:val="left"/>
      </w:pPr>
      <w:r>
        <w:rPr>
          <w:rFonts w:ascii="Calibri" w:hAnsi="Calibri"/>
          <w:b w:val="0"/>
          <w:sz w:val="22"/>
        </w:rPr>
        <w:t>SEO • email • content • reporting • analytics • leadership • management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Marketing Strategist / Analyst | 1-800 Contacts — Draper,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up to $30 million per month in paid media with a four-person team, supporting high-volume account operations and disciplined budget oversight.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Analyzed max CPC versus smart bidding, brand and non-brand target CPA, Performance Max and Shopping mix, audience performance, data-driven attribution, and incremental CPA.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Evaluated customer journeys from reach and micro-conversions through purchase, click-to-call, and lifetime value to identify scalable search and budget opportunities.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Digital Marketing | GRIP6 — Midvale,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12 accounts, 32 campaigns, 110k Ad Groups, 1.6 million keywords, with a $3.6 million/month spend all in one brand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Coordinated search and broader channel strategy with website, SEO, operations, and creative Digital Marketing Manager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Increased monthly volume fourfold while improving ROAS from 1.5 to 3.5 through bidding strategy, audience analysis, campaign testing, budget allocation, and conversion review.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Director of E-Commerce / Marketing | Intercon Inc.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Modernized the company’s digital environment and launched multiple B2C channels while protecting relationships with more than 650 B2B retail partners.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Applied project-by-project cost-benefit analysis to prioritize growth initiatives, marketplace opportunities, product investments, and operational improvements.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SEM Manager / Project Manager | The Infinite Agency — Dallas, TX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with more than $276K in combined monthly spend while advising clients on channel allocation, campaign structure, and growth priorities.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75+ Google Ads accounts and more than $276K in monthly spend across search, display, mobile, remarketing, YouTube, lead generation, and multi-channel client programs.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Built Funnel.io and Looker Studio reporting, created automated monitoring scripts, and developed a repeatable account-management system adopted across the agency.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8208"/>
        <w:gridCol w:w="2592"/>
      </w:tblGrid>
      <w:tr>
        <w:tc>
          <w:tcPr>
            <w:tcW w:type="dxa" w:w="8208"/>
          </w:tcPr>
          <w:p>
            <w:r>
              <w:rPr>
                <w:b/>
              </w:rPr>
              <w:t>E-Commerce Manager | LifeSpan Fitness — Salt Lake City, UT</w:t>
            </w:r>
          </w:p>
        </w:tc>
        <w:tc>
          <w:tcPr>
            <w:tcW w:type="dxa" w:w="2592"/>
          </w:tcPr>
          <w:p>
            <w:r/>
          </w:p>
        </w:tc>
      </w:tr>
    </w:tbl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Managed 150+ campaigns and approximately $400K in monthly spend, generating more than $9 million in revenue and 35% of company sales.</w:t>
      </w:r>
    </w:p>
    <w:p>
      <w:pPr>
        <w:pStyle w:val="ListBullet"/>
        <w:spacing w:before="0" w:after="20" w:line="276" w:lineRule="auto"/>
        <w:ind w:left="259"/>
        <w:jc w:val="left"/>
      </w:pPr>
      <w:r>
        <w:rPr>
          <w:rFonts w:ascii="Calibri" w:hAnsi="Calibri"/>
          <w:b w:val="0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keepNext/>
        <w:spacing w:before="100" w:after="40" w:line="276" w:lineRule="auto"/>
        <w:jc w:val="left"/>
        <w:pBdr>
          <w:bottom w:val="single" w:sz="6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spacing w:before="0" w:after="20" w:line="276" w:lineRule="auto"/>
        <w:jc w:val="left"/>
      </w:pPr>
      <w:r>
        <w:rPr>
          <w:rFonts w:ascii="Calibri" w:hAnsi="Calibri"/>
          <w:b w:val="0"/>
          <w:sz w:val="22"/>
        </w:rPr>
        <w:t>Bachelor of Science, Business Management - Brigham Young University</w:t>
      </w:r>
    </w:p>
    <w:p>
      <w:pPr>
        <w:spacing w:before="0" w:after="0" w:line="276" w:lineRule="auto"/>
        <w:jc w:val="left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91" w:right="720" w:bottom="691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