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content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Scaled monthly marketing volume from approximately $200K to $800K while improving ROAS from 1.5 to 3.5 through budget, bidding, audience, and conversion optimization.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Conducted keyword and competitive research, developed targeting and messaging recommendations, and created conversion, attribution, A/B, and multivariate testing frameworks.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