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Marketing Automation</w:t>
            </w:r>
          </w:p>
        </w:tc>
        <w:tc>
          <w:tcPr>
            <w:tcW w:type="dxa" w:w="5400"/>
          </w:tcPr>
          <w:p>
            <w:pPr>
              <w:pStyle w:val="ListBullet"/>
              <w:spacing w:after="0" w:line="276" w:lineRule="auto"/>
            </w:pPr>
            <w:r/>
            <w:r>
              <w:rPr>
                <w:rFonts w:ascii="EB Garamond" w:hAnsi="EB Garamond"/>
                <w:sz w:val="21"/>
              </w:rPr>
              <w:t>SEO &amp; SEM Strategy</w:t>
            </w:r>
          </w:p>
        </w:tc>
      </w:tr>
      <w:tr>
        <w:tc>
          <w:tcPr>
            <w:tcW w:type="dxa" w:w="5400"/>
          </w:tcPr>
          <w:p>
            <w:pPr>
              <w:pStyle w:val="ListBullet"/>
              <w:spacing w:after="0" w:line="276" w:lineRule="auto"/>
            </w:pPr>
            <w:r/>
            <w:r>
              <w:rPr>
                <w:rFonts w:ascii="EB Garamond" w:hAnsi="EB Garamond"/>
                <w:sz w:val="21"/>
              </w:rPr>
              <w:t>Campaign Optimization</w:t>
            </w:r>
          </w:p>
        </w:tc>
        <w:tc>
          <w:tcPr>
            <w:tcW w:type="dxa" w:w="5400"/>
          </w:tcPr>
          <w:p>
            <w:pPr>
              <w:pStyle w:val="ListBullet"/>
              <w:spacing w:after="0" w:line="276" w:lineRule="auto"/>
            </w:pPr>
            <w:r/>
            <w:r>
              <w:rPr>
                <w:rFonts w:ascii="EB Garamond" w:hAnsi="EB Garamond"/>
                <w:sz w:val="21"/>
              </w:rPr>
              <w:t>Cross-Functional Leadership</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Budget Forecasting</w:t>
            </w:r>
          </w:p>
        </w:tc>
        <w:tc>
          <w:tcPr>
            <w:tcW w:type="dxa" w:w="5400"/>
          </w:tcPr>
          <w:p>
            <w:pPr>
              <w:pStyle w:val="ListBullet"/>
              <w:spacing w:after="0" w:line="276" w:lineRule="auto"/>
            </w:pPr>
            <w:r/>
            <w:r>
              <w:rPr>
                <w:rFonts w:ascii="EB Garamond" w:hAnsi="EB Garamond"/>
                <w:sz w:val="21"/>
              </w:rPr>
              <w:t>Data Visualization</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Tag Manager • Power BI • Amazon Seller Central • Amazon Vendor Central • Google Ads • Microsoft Ads • Google Analytics 4 • Google Search Console</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