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SEO &amp; SEM Strategy</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B2B &amp; B2C Marketing</w:t>
            </w:r>
          </w:p>
        </w:tc>
      </w:tr>
      <w:tr>
        <w:tc>
          <w:tcPr>
            <w:tcW w:type="dxa" w:w="5400"/>
          </w:tcPr>
          <w:p>
            <w:pPr>
              <w:pStyle w:val="ListBullet"/>
              <w:spacing w:after="0" w:line="276" w:lineRule="auto"/>
            </w:pPr>
            <w:r/>
            <w:r>
              <w:rPr>
                <w:rFonts w:ascii="EB Garamond" w:hAnsi="EB Garamond"/>
                <w:sz w:val="21"/>
              </w:rPr>
              <w:t>Marketing Technology</w:t>
            </w:r>
          </w:p>
        </w:tc>
        <w:tc>
          <w:tcPr>
            <w:tcW w:type="dxa" w:w="5400"/>
          </w:tcPr>
          <w:p>
            <w:pPr>
              <w:pStyle w:val="ListBullet"/>
              <w:spacing w:after="0" w:line="276" w:lineRule="auto"/>
            </w:pPr>
            <w:r/>
            <w:r>
              <w:rPr>
                <w:rFonts w:ascii="EB Garamond" w:hAnsi="EB Garamond"/>
                <w:sz w:val="21"/>
              </w:rPr>
              <w:t>Paid Media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