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Budget Forecasting</w:t>
            </w:r>
          </w:p>
        </w:tc>
        <w:tc>
          <w:tcPr>
            <w:tcW w:type="dxa" w:w="5400"/>
          </w:tcPr>
          <w:p>
            <w:pPr>
              <w:pStyle w:val="ListBullet"/>
              <w:spacing w:after="0" w:line="276" w:lineRule="auto"/>
            </w:pPr>
            <w:r/>
            <w:r>
              <w:rPr>
                <w:rFonts w:ascii="EB Garamond" w:hAnsi="EB Garamond"/>
                <w:sz w:val="21"/>
              </w:rPr>
              <w:t>Lead Generation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Search Console • Google Ads • Microsoft Ads • Google Analytics 4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