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Routinely conducted cost/benefit evaluations of marketing initiatives.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