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Digital Marketing Strategy</w:t>
            </w:r>
          </w:p>
        </w:tc>
      </w:tr>
      <w:tr>
        <w:tc>
          <w:tcPr>
            <w:tcW w:type="dxa" w:w="5400"/>
          </w:tcPr>
          <w:p>
            <w:pPr>
              <w:pStyle w:val="ListBullet"/>
              <w:spacing w:after="0" w:line="276" w:lineRule="auto"/>
            </w:pPr>
            <w:r/>
            <w:r>
              <w:rPr>
                <w:rFonts w:ascii="EB Garamond" w:hAnsi="EB Garamond"/>
                <w:sz w:val="21"/>
              </w:rPr>
              <w:t>Marketing Automation</w:t>
            </w:r>
          </w:p>
        </w:tc>
        <w:tc>
          <w:tcPr>
            <w:tcW w:type="dxa" w:w="5400"/>
          </w:tcPr>
          <w:p>
            <w:pPr>
              <w:pStyle w:val="ListBullet"/>
              <w:spacing w:after="0" w:line="276" w:lineRule="auto"/>
            </w:pPr>
            <w:r/>
            <w:r>
              <w:rPr>
                <w:rFonts w:ascii="EB Garamond" w:hAnsi="EB Garamond"/>
                <w:sz w:val="21"/>
              </w:rPr>
              <w:t>Customer Acquisition</w:t>
            </w:r>
          </w:p>
        </w:tc>
      </w:tr>
      <w:tr>
        <w:tc>
          <w:tcPr>
            <w:tcW w:type="dxa" w:w="5400"/>
          </w:tcPr>
          <w:p>
            <w:pPr>
              <w:pStyle w:val="ListBullet"/>
              <w:spacing w:after="0" w:line="276" w:lineRule="auto"/>
            </w:pPr>
            <w:r/>
            <w:r>
              <w:rPr>
                <w:rFonts w:ascii="EB Garamond" w:hAnsi="EB Garamond"/>
                <w:sz w:val="21"/>
              </w:rPr>
              <w:t>SEO &amp; SEM Strategy</w:t>
            </w:r>
          </w:p>
        </w:tc>
        <w:tc>
          <w:tcPr>
            <w:tcW w:type="dxa" w:w="5400"/>
          </w:tcPr>
          <w:p>
            <w:pPr>
              <w:pStyle w:val="ListBullet"/>
              <w:spacing w:after="0" w:line="276" w:lineRule="auto"/>
            </w:pPr>
            <w:r/>
            <w:r>
              <w:rPr>
                <w:rFonts w:ascii="EB Garamond" w:hAnsi="EB Garamond"/>
                <w:sz w:val="21"/>
              </w:rPr>
              <w:t>B2B &amp; B2C Marketing</w:t>
            </w:r>
          </w:p>
        </w:tc>
      </w:tr>
      <w:tr>
        <w:tc>
          <w:tcPr>
            <w:tcW w:type="dxa" w:w="5400"/>
          </w:tcPr>
          <w:p>
            <w:pPr>
              <w:pStyle w:val="ListBullet"/>
              <w:spacing w:after="0" w:line="276" w:lineRule="auto"/>
            </w:pPr>
            <w:r/>
            <w:r>
              <w:rPr>
                <w:rFonts w:ascii="EB Garamond" w:hAnsi="EB Garamond"/>
                <w:sz w:val="21"/>
              </w:rPr>
              <w:t>Campaign Optimization</w:t>
            </w:r>
          </w:p>
        </w:tc>
        <w:tc>
          <w:tcPr>
            <w:tcW w:type="dxa" w:w="5400"/>
          </w:tcPr>
          <w:p>
            <w:pPr>
              <w:pStyle w:val="ListBullet"/>
              <w:spacing w:after="0" w:line="276" w:lineRule="auto"/>
            </w:pPr>
            <w:r/>
            <w:r>
              <w:rPr>
                <w:rFonts w:ascii="EB Garamond" w:hAnsi="EB Garamond"/>
                <w:sz w:val="21"/>
              </w:rPr>
              <w:t>Performance Marketing</w:t>
            </w:r>
          </w:p>
        </w:tc>
      </w:tr>
      <w:tr>
        <w:tc>
          <w:tcPr>
            <w:tcW w:type="dxa" w:w="5400"/>
          </w:tcPr>
          <w:p>
            <w:pPr>
              <w:pStyle w:val="ListBullet"/>
              <w:spacing w:after="0" w:line="276" w:lineRule="auto"/>
            </w:pPr>
            <w:r/>
            <w:r>
              <w:rPr>
                <w:rFonts w:ascii="EB Garamond" w:hAnsi="EB Garamond"/>
                <w:sz w:val="21"/>
              </w:rPr>
              <w:t>Cross-Functional Leadership</w:t>
            </w:r>
          </w:p>
        </w:tc>
        <w:tc>
          <w:tcPr>
            <w:tcW w:type="dxa" w:w="5400"/>
          </w:tcPr>
          <w:p>
            <w:pPr>
              <w:pStyle w:val="ListBullet"/>
              <w:spacing w:after="0" w:line="276" w:lineRule="auto"/>
            </w:pPr>
            <w:r/>
            <w:r>
              <w:rPr>
                <w:rFonts w:ascii="EB Garamond" w:hAnsi="EB Garamond"/>
                <w:sz w:val="21"/>
              </w:rPr>
              <w:t>Operational Efficiency</w:t>
            </w:r>
          </w:p>
        </w:tc>
      </w:tr>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E-Commerce Strategy</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1"/>
        </w:rPr>
        <w:t>Coordinated execution and reporting across marketing environment and helped move the organization from a largely traditional, non-digital B2B model to a functional digital environment.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Developed and managed content strategy covering timing, content type, placement across blogs/mail/email/web, content focus, and personalization.</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Analytics 4 • Power BI • HubSpot • Salesforce • SQL • Google Ads • Google Tag Manager • Google Ads Editor • Google Ads API • Microsoft Ads • Google Search Console • Bing Ads Editor • Meta Ads</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