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Campaign Optimization</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Budget Forecasting</w:t>
            </w:r>
          </w:p>
        </w:tc>
        <w:tc>
          <w:tcPr>
            <w:tcW w:type="dxa" w:w="5400"/>
          </w:tcPr>
          <w:p>
            <w:pPr>
              <w:pStyle w:val="ListBullet"/>
              <w:spacing w:after="0" w:line="276" w:lineRule="auto"/>
            </w:pPr>
            <w:r/>
            <w:r>
              <w:rPr>
                <w:rFonts w:ascii="EB Garamond" w:hAnsi="EB Garamond"/>
                <w:sz w:val="21"/>
              </w:rPr>
              <w:t>Data Visualization</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Google Analytics 4 • Microsoft Ads • Google Tag Manager • Google Ads Editor • Bing Ads Editor • Meta Ads • Google Ads API • Google Search Console • Amazon Seller Central • Amazon Vendor Central • Funnel.io</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