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DIRECTOR OF GROWTH MARKETING | B2B DEMAND GENERATION</w:t>
      </w:r>
    </w:p>
    <w:p>
      <w:pPr>
        <w:keepNext w:val="0"/>
        <w:spacing w:line="276" w:lineRule="auto" w:before="0" w:after="60"/>
        <w:jc w:val="center"/>
      </w:pPr>
      <w:r>
        <w:rPr>
          <w:rFonts w:ascii="Calibri" w:hAnsi="Calibri"/>
          <w:b w:val="0"/>
          <w:color w:val="525252"/>
          <w:sz w:val="19"/>
        </w:rPr>
        <w:t>Lehi, UT 84043   •   (530) 507-8269   •   mdavidcall@gmail.com   •   linkedin.com/in/mdavidcall   •   Spanish: Fluent</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color w:val="262626"/>
          <w:sz w:val="22"/>
        </w:rPr>
        <w:t>Entrepreneurial growth marketing leader with 14+ years of hands-on experience turning customer insight, data, and creative ideas into measurable acquisition and revenue growth. Combines B2B and B2C strategy with direct execution across demand generation, campaign development, positioning, copy and content, email, CRM, segmentation, automation, digital media, testing, and conversion optimization. Proven at leading teams and collaborating with executives while remaining close to campaign setup, analysis, and continuous improvement. Advanced in analytics, automation, and AI-assisted workflows, with a practical focus on qualified opportunities, customer value, and revenue rather than vanity metrics.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Growth &amp; Demand Generation: </w:t>
      </w:r>
      <w:r>
        <w:rPr>
          <w:rFonts w:ascii="Calibri" w:hAnsi="Calibri"/>
          <w:b w:val="0"/>
          <w:color w:val="262626"/>
          <w:sz w:val="22"/>
        </w:rPr>
        <w:t>Customer acquisition, lead generation, campaign strategy and execution, positioning, messaging, offers, copywriting, content strategy, audience research, customer retention, lifecycle marketing, CRO, and A/B/multivariate testing.</w:t>
      </w:r>
    </w:p>
    <w:p>
      <w:pPr>
        <w:keepNext w:val="0"/>
        <w:spacing w:line="276" w:lineRule="auto" w:before="0" w:after="16"/>
        <w:ind w:left="144"/>
      </w:pPr>
      <w:r>
        <w:rPr>
          <w:rFonts w:ascii="Calibri" w:hAnsi="Calibri"/>
          <w:b/>
          <w:color w:val="102C57"/>
          <w:sz w:val="22"/>
        </w:rPr>
        <w:t xml:space="preserve">B2B Leadership &amp; Go-to-Market: </w:t>
      </w:r>
      <w:r>
        <w:rPr>
          <w:rFonts w:ascii="Calibri" w:hAnsi="Calibri"/>
          <w:b w:val="0"/>
          <w:color w:val="262626"/>
          <w:sz w:val="22"/>
        </w:rPr>
        <w:t>B2B and B2C strategy, client consulting, account and relationship management, product/program launches, cross-functional planning, vendor management, financial analysis, project management, and executive communication.</w:t>
      </w:r>
    </w:p>
    <w:p>
      <w:pPr>
        <w:keepNext w:val="0"/>
        <w:spacing w:line="276" w:lineRule="auto" w:before="0" w:after="16"/>
        <w:ind w:left="144"/>
      </w:pPr>
      <w:r>
        <w:rPr>
          <w:rFonts w:ascii="Calibri" w:hAnsi="Calibri"/>
          <w:b/>
          <w:color w:val="102C57"/>
          <w:sz w:val="22"/>
        </w:rPr>
        <w:t xml:space="preserve">CRM, Email &amp; Automation: </w:t>
      </w:r>
      <w:r>
        <w:rPr>
          <w:rFonts w:ascii="Calibri" w:hAnsi="Calibri"/>
          <w:b w:val="0"/>
          <w:color w:val="262626"/>
          <w:sz w:val="22"/>
        </w:rPr>
        <w:t>HubSpot, Salesforce, Marketo, Pardot, Zoho CRM, Salesforce Marketing Cloud, Adobe Campaign, Mailchimp, Klaviyo, Constant Contact, email automation, segmentation, deliverability, retention campaigns, and email A/B testing.</w:t>
      </w:r>
    </w:p>
    <w:p>
      <w:pPr>
        <w:keepNext w:val="0"/>
        <w:spacing w:line="276" w:lineRule="auto" w:before="0" w:after="16"/>
        <w:ind w:left="144"/>
      </w:pPr>
      <w:r>
        <w:rPr>
          <w:rFonts w:ascii="Calibri" w:hAnsi="Calibri"/>
          <w:b/>
          <w:color w:val="102C57"/>
          <w:sz w:val="22"/>
        </w:rPr>
        <w:t xml:space="preserve">Analytics &amp; Optimization: </w:t>
      </w:r>
      <w:r>
        <w:rPr>
          <w:rFonts w:ascii="Calibri" w:hAnsi="Calibri"/>
          <w:b w:val="0"/>
          <w:color w:val="262626"/>
          <w:sz w:val="22"/>
        </w:rPr>
        <w:t>GA4, Google Tag Manager, Tableau, Looker Studio, Adobe Analytics, Funnel.io, SQL, Python, Excel, attribution, regression analysis, LTV, CAC, conversion paths, revenue tracking, dashboards, and forecasting.</w:t>
      </w:r>
    </w:p>
    <w:p>
      <w:pPr>
        <w:keepNext w:val="0"/>
        <w:spacing w:line="276" w:lineRule="auto" w:before="0" w:after="24"/>
        <w:ind w:left="144"/>
      </w:pPr>
      <w:r>
        <w:rPr>
          <w:rFonts w:ascii="Calibri" w:hAnsi="Calibri"/>
          <w:b/>
          <w:color w:val="102C57"/>
          <w:sz w:val="22"/>
        </w:rPr>
        <w:t xml:space="preserve">AI &amp; Digital Tools: </w:t>
      </w:r>
      <w:r>
        <w:rPr>
          <w:rFonts w:ascii="Calibri" w:hAnsi="Calibri"/>
          <w:b w:val="0"/>
          <w:color w:val="262626"/>
          <w:sz w:val="22"/>
        </w:rPr>
        <w:t>ChatGPT, Claude, Perplexity, Codex, Cursor, AntiGravity, Google Ads, Bing Ads, Meta Ads, Amazon, LinkedIn, WordPress, Shopify, Magento, HTML5, CSS3, and JavaScript.</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w:t>
            </w:r>
            <w:r>
              <w:rPr>
                <w:rFonts w:ascii="Calibri" w:hAnsi="Calibri"/>
                <w:b w:val="0"/>
                <w:color w:val="525252"/>
                <w:sz w:val="22"/>
              </w:rPr>
              <w:t xml:space="preserve"> | </w:t>
            </w:r>
            <w:r>
              <w:rPr>
                <w:rFonts w:ascii="Calibri" w:hAnsi="Calibri"/>
                <w:b/>
                <w:color w:val="262626"/>
                <w:sz w:val="22"/>
              </w:rPr>
              <w:t>1-800 Contacts — Draper,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color w:val="262626"/>
          <w:sz w:val="22"/>
        </w:rPr>
        <w:t xml:space="preserve">Portfolio &amp; Team Leadership: </w:t>
      </w:r>
      <w:r>
        <w:rPr>
          <w:rFonts w:ascii="Calibri" w:hAnsi="Calibri"/>
          <w:b w:val="0"/>
          <w:color w:val="262626"/>
          <w:sz w:val="22"/>
        </w:rPr>
        <w:t>Managed $30 million per month with a team of four, using customer, channel, and financial analysis to guide investment and acquisition decisions.</w:t>
      </w:r>
    </w:p>
    <w:p>
      <w:pPr>
        <w:pStyle w:val="ListBullet"/>
        <w:spacing w:line="276" w:lineRule="auto" w:before="0" w:after="4"/>
        <w:ind w:left="259" w:hanging="29"/>
      </w:pPr>
      <w:r>
        <w:rPr>
          <w:rFonts w:ascii="Calibri" w:hAnsi="Calibri"/>
          <w:b/>
          <w:color w:val="262626"/>
          <w:sz w:val="22"/>
        </w:rPr>
        <w:t xml:space="preserve">Growth Planning: </w:t>
      </w:r>
      <w:r>
        <w:rPr>
          <w:rFonts w:ascii="Calibri" w:hAnsi="Calibri"/>
          <w:b w:val="0"/>
          <w:color w:val="262626"/>
          <w:sz w:val="22"/>
        </w:rPr>
        <w:t>Built regression-based scenarios to answer where an additional $10 million should be invested, evaluating holdouts, promotions, scale changes, and cross-channel reallocations.</w:t>
      </w:r>
    </w:p>
    <w:p>
      <w:pPr>
        <w:pStyle w:val="ListBullet"/>
        <w:spacing w:line="276" w:lineRule="auto" w:before="0" w:after="4"/>
        <w:ind w:left="259" w:hanging="29"/>
      </w:pPr>
      <w:r>
        <w:rPr>
          <w:rFonts w:ascii="Calibri" w:hAnsi="Calibri"/>
          <w:b/>
          <w:color w:val="262626"/>
          <w:sz w:val="22"/>
        </w:rPr>
        <w:t xml:space="preserve">Experimentation &amp; Customer Value: </w:t>
      </w:r>
      <w:r>
        <w:rPr>
          <w:rFonts w:ascii="Calibri" w:hAnsi="Calibri"/>
          <w:b w:val="0"/>
          <w:color w:val="262626"/>
          <w:sz w:val="22"/>
        </w:rPr>
        <w:t>Analyzed data-driven attribution, lifetime value, audiences, bidding, brand/non-brand performance, promotions, and full-funnel reach-to-conversion tests.</w:t>
      </w:r>
    </w:p>
    <w:p>
      <w:pPr>
        <w:pStyle w:val="ListBullet"/>
        <w:spacing w:line="276" w:lineRule="auto" w:before="0" w:after="4"/>
        <w:ind w:left="259" w:hanging="29"/>
      </w:pPr>
      <w:r>
        <w:rPr>
          <w:rFonts w:ascii="Calibri" w:hAnsi="Calibri"/>
          <w:b/>
          <w:color w:val="262626"/>
          <w:sz w:val="22"/>
        </w:rPr>
        <w:t xml:space="preserve">Automated Decision Support: </w:t>
      </w:r>
      <w:r>
        <w:rPr>
          <w:rFonts w:ascii="Calibri" w:hAnsi="Calibri"/>
          <w:b w:val="0"/>
          <w:color w:val="262626"/>
          <w:sz w:val="22"/>
        </w:rPr>
        <w:t>Used Python, SQL, Databricks, Excel, Funnel.io, and Tableau to automate accurate weekly reporting across more than 10 marketing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w:t>
            </w:r>
            <w:r>
              <w:rPr>
                <w:rFonts w:ascii="Calibri" w:hAnsi="Calibri"/>
                <w:b w:val="0"/>
                <w:color w:val="525252"/>
                <w:sz w:val="22"/>
              </w:rPr>
              <w:t xml:space="preserve"> | </w:t>
            </w:r>
            <w:r>
              <w:rPr>
                <w:rFonts w:ascii="Calibri" w:hAnsi="Calibri"/>
                <w:b/>
                <w:color w:val="262626"/>
                <w:sz w:val="22"/>
              </w:rPr>
              <w:t>GRIP6 — Midvale,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color w:val="262626"/>
          <w:sz w:val="22"/>
        </w:rPr>
        <w:t xml:space="preserve">Revenue Growth: </w:t>
      </w:r>
      <w:r>
        <w:rPr>
          <w:rFonts w:ascii="Calibri" w:hAnsi="Calibri"/>
          <w:b w:val="0"/>
          <w:color w:val="262626"/>
          <w:sz w:val="22"/>
        </w:rPr>
        <w:t>Increased monthly volume from $200K to $800K while improving ROAS from 1.5 to 3.5 across a $400K monthly marketing budget.</w:t>
      </w:r>
    </w:p>
    <w:p>
      <w:pPr>
        <w:pStyle w:val="ListBullet"/>
        <w:spacing w:line="276" w:lineRule="auto" w:before="0" w:after="4"/>
        <w:ind w:left="259" w:hanging="29"/>
      </w:pPr>
      <w:r>
        <w:rPr>
          <w:rFonts w:ascii="Calibri" w:hAnsi="Calibri"/>
          <w:b/>
          <w:color w:val="262626"/>
          <w:sz w:val="22"/>
        </w:rPr>
        <w:t xml:space="preserve">Hands-On Channel Ownership: </w:t>
      </w:r>
      <w:r>
        <w:rPr>
          <w:rFonts w:ascii="Calibri" w:hAnsi="Calibri"/>
          <w:b w:val="0"/>
          <w:color w:val="262626"/>
          <w:sz w:val="22"/>
        </w:rPr>
        <w:t>Managed Google, Bing, Amazon, Facebook, Instagram, and TikTok while guiding SEO, website optimization, email effectiveness, and cross-platform budget decisions.</w:t>
      </w:r>
    </w:p>
    <w:p>
      <w:pPr>
        <w:pStyle w:val="ListBullet"/>
        <w:spacing w:line="276" w:lineRule="auto" w:before="0" w:after="4"/>
        <w:ind w:left="259" w:hanging="29"/>
      </w:pPr>
      <w:r>
        <w:rPr>
          <w:rFonts w:ascii="Calibri" w:hAnsi="Calibri"/>
          <w:b/>
          <w:color w:val="262626"/>
          <w:sz w:val="22"/>
        </w:rPr>
        <w:t xml:space="preserve">Executive Visibility: </w:t>
      </w:r>
      <w:r>
        <w:rPr>
          <w:rFonts w:ascii="Calibri" w:hAnsi="Calibri"/>
          <w:b w:val="0"/>
          <w:color w:val="262626"/>
          <w:sz w:val="22"/>
        </w:rPr>
        <w:t>Built Looker Studio KPIs that connected marketing results with inventory, engineering, management, web development, and other operating priorities.</w:t>
      </w:r>
    </w:p>
    <w:p>
      <w:pPr>
        <w:pStyle w:val="ListBullet"/>
        <w:spacing w:line="276" w:lineRule="auto" w:before="0" w:after="4"/>
        <w:ind w:left="259" w:hanging="29"/>
      </w:pPr>
      <w:r>
        <w:rPr>
          <w:rFonts w:ascii="Calibri" w:hAnsi="Calibri"/>
          <w:b/>
          <w:color w:val="262626"/>
          <w:sz w:val="22"/>
        </w:rPr>
        <w:t xml:space="preserve">Measurement &amp; Planning: </w:t>
      </w:r>
      <w:r>
        <w:rPr>
          <w:rFonts w:ascii="Calibri" w:hAnsi="Calibri"/>
          <w:b w:val="0"/>
          <w:color w:val="262626"/>
          <w:sz w:val="22"/>
        </w:rPr>
        <w:t>Implemented custom GA4/GTM reporting and created an inventory-planning methodology used across multiple departments.</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&amp; Marketing</w:t>
            </w:r>
            <w:r>
              <w:rPr>
                <w:rFonts w:ascii="Calibri" w:hAnsi="Calibri"/>
                <w:b w:val="0"/>
                <w:color w:val="525252"/>
                <w:sz w:val="22"/>
              </w:rPr>
              <w:t xml:space="preserve"> | </w:t>
            </w:r>
            <w:r>
              <w:rPr>
                <w:rFonts w:ascii="Calibri" w:hAnsi="Calibri"/>
                <w:b/>
                <w:color w:val="262626"/>
                <w:sz w:val="22"/>
              </w:rPr>
              <w:t>Intercon Inc. — Salt Lake City, UT</w:t>
            </w:r>
          </w:p>
        </w:tc>
        <w:tc>
          <w:tcPr>
            <w:tcW w:type="dxa" w:w="2232"/>
            <w:vAlign w:val="center"/>
            <w:tcMar>
              <w:top w:w="0" w:type="dxa"/>
              <w:bottom w:w="0" w:type="dxa"/>
              <w:left w:w="0" w:type="dxa"/>
              <w:right w:w="0" w:type="dxa"/>
            </w:tcMar>
          </w:tcPr>
          <w:p>
            <w:pPr>
              <w:keepNext/>
              <w:spacing w:before="0" w:after="10"/>
            </w:pPr>
          </w:p>
        </w:tc>
      </w:tr>
    </w:tbl>
    <w:p>
      <w:pPr>
        <w:pStyle w:val="ListBullet"/>
        <w:spacing w:line="276" w:lineRule="auto" w:before="0" w:after="4"/>
        <w:ind w:left="259" w:hanging="29"/>
      </w:pPr>
      <w:r>
        <w:rPr>
          <w:rFonts w:ascii="Calibri" w:hAnsi="Calibri"/>
          <w:b/>
          <w:color w:val="262626"/>
          <w:sz w:val="22"/>
        </w:rPr>
        <w:t xml:space="preserve">B2B Growth &amp; Transformation: </w:t>
      </w:r>
      <w:r>
        <w:rPr>
          <w:rFonts w:ascii="Calibri" w:hAnsi="Calibri"/>
          <w:b w:val="0"/>
          <w:color w:val="262626"/>
          <w:sz w:val="22"/>
        </w:rPr>
        <w:t>Led ecommerce and marketing for a large B2B distributor, creating a functional digital environment and expanding into multiple B2C platforms while supporting 650+ retail partners.</w:t>
      </w:r>
    </w:p>
    <w:p>
      <w:pPr>
        <w:pStyle w:val="ListBullet"/>
        <w:spacing w:line="276" w:lineRule="auto" w:before="0" w:after="4"/>
        <w:ind w:left="259" w:hanging="29"/>
      </w:pPr>
      <w:r>
        <w:rPr>
          <w:rFonts w:ascii="Calibri" w:hAnsi="Calibri"/>
          <w:b/>
          <w:color w:val="262626"/>
          <w:sz w:val="22"/>
        </w:rPr>
        <w:t xml:space="preserve">Entrepreneurial Expansion: </w:t>
      </w:r>
      <w:r>
        <w:rPr>
          <w:rFonts w:ascii="Calibri" w:hAnsi="Calibri"/>
          <w:b w:val="0"/>
          <w:color w:val="262626"/>
          <w:sz w:val="22"/>
        </w:rPr>
        <w:t>Developed ecommerce-specific products with manufacturers, improved supply-chain processes, and expanded Amazon operations into CastleGate, Target.com, Costco.com, and other channels.</w:t>
      </w:r>
    </w:p>
    <w:p>
      <w:pPr>
        <w:pStyle w:val="ListBullet"/>
        <w:spacing w:line="276" w:lineRule="auto" w:before="0" w:after="4"/>
        <w:ind w:left="259" w:hanging="29"/>
      </w:pPr>
      <w:r>
        <w:rPr>
          <w:rFonts w:ascii="Calibri" w:hAnsi="Calibri"/>
          <w:b/>
          <w:color w:val="262626"/>
          <w:sz w:val="22"/>
        </w:rPr>
        <w:t xml:space="preserve">Commercial Opportunity Analysis: </w:t>
      </w:r>
      <w:r>
        <w:rPr>
          <w:rFonts w:ascii="Calibri" w:hAnsi="Calibri"/>
          <w:b w:val="0"/>
          <w:color w:val="262626"/>
          <w:sz w:val="22"/>
        </w:rPr>
        <w:t>Performed daily financial analysis to identify market niches, guide product development, and evaluate projects through cost/benefit decisions.</w:t>
      </w:r>
    </w:p>
    <w:p>
      <w:pPr>
        <w:pStyle w:val="ListBullet"/>
        <w:spacing w:line="276" w:lineRule="auto" w:before="0" w:after="4"/>
        <w:ind w:left="259" w:hanging="29"/>
      </w:pPr>
      <w:r>
        <w:rPr>
          <w:rFonts w:ascii="Calibri" w:hAnsi="Calibri"/>
          <w:b/>
          <w:color w:val="262626"/>
          <w:sz w:val="22"/>
        </w:rPr>
        <w:t xml:space="preserve">Cross-Functional Leadership: </w:t>
      </w:r>
      <w:r>
        <w:rPr>
          <w:rFonts w:ascii="Calibri" w:hAnsi="Calibri"/>
          <w:b w:val="0"/>
          <w:color w:val="262626"/>
          <w:sz w:val="22"/>
        </w:rPr>
        <w:t>Worked with IT, operations, finance, product development, HR, and sales leaders to drive technology, process, cultural, and operating change.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w:t>
            </w:r>
            <w:r>
              <w:rPr>
                <w:rFonts w:ascii="Calibri" w:hAnsi="Calibri"/>
                <w:b w:val="0"/>
                <w:color w:val="525252"/>
                <w:sz w:val="22"/>
              </w:rPr>
              <w:t xml:space="preserve"> | </w:t>
            </w:r>
            <w:r>
              <w:rPr>
                <w:rFonts w:ascii="Calibri" w:hAnsi="Calibri"/>
                <w:b/>
                <w:color w:val="262626"/>
                <w:sz w:val="22"/>
              </w:rPr>
              <w:t>The Infinite Agency — Dallas, TX</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color w:val="262626"/>
          <w:sz w:val="22"/>
        </w:rPr>
        <w:t xml:space="preserve">Client Growth Strategy: </w:t>
      </w:r>
      <w:r>
        <w:rPr>
          <w:rFonts w:ascii="Calibri" w:hAnsi="Calibri"/>
          <w:b w:val="0"/>
          <w:color w:val="262626"/>
          <w:sz w:val="22"/>
        </w:rPr>
        <w:t>Advised clients on allocating marketing funds across websites, SEO, email, paid search, display, mobile, remarketing, YouTube, and social based on their business needs.</w:t>
      </w:r>
    </w:p>
    <w:p>
      <w:pPr>
        <w:pStyle w:val="ListBullet"/>
        <w:spacing w:line="276" w:lineRule="auto" w:before="0" w:after="4"/>
        <w:ind w:left="259" w:hanging="29"/>
      </w:pPr>
      <w:r>
        <w:rPr>
          <w:rFonts w:ascii="Calibri" w:hAnsi="Calibri"/>
          <w:b/>
          <w:color w:val="262626"/>
          <w:sz w:val="22"/>
        </w:rPr>
        <w:t xml:space="preserve">Hands-On Campaign Scale: </w:t>
      </w:r>
      <w:r>
        <w:rPr>
          <w:rFonts w:ascii="Calibri" w:hAnsi="Calibri"/>
          <w:b w:val="0"/>
          <w:color w:val="262626"/>
          <w:sz w:val="22"/>
        </w:rPr>
        <w:t>Built and managed 75+ Google Ads accounts totaling more than $276K per month while maintaining a standardized service-quality system adopted agency-wide.</w:t>
      </w:r>
    </w:p>
    <w:p>
      <w:pPr>
        <w:pStyle w:val="ListBullet"/>
        <w:spacing w:line="276" w:lineRule="auto" w:before="0" w:after="4"/>
        <w:ind w:left="259" w:hanging="29"/>
      </w:pPr>
      <w:r>
        <w:rPr>
          <w:rFonts w:ascii="Calibri" w:hAnsi="Calibri"/>
          <w:b/>
          <w:color w:val="262626"/>
          <w:sz w:val="22"/>
        </w:rPr>
        <w:t xml:space="preserve">Testing &amp; Optimization: </w:t>
      </w:r>
      <w:r>
        <w:rPr>
          <w:rFonts w:ascii="Calibri" w:hAnsi="Calibri"/>
          <w:b w:val="0"/>
          <w:color w:val="262626"/>
          <w:sz w:val="22"/>
        </w:rPr>
        <w:t>Created conversion and attribution models and multivariate tests to improve audience, message, channel, and landing-page decisions.</w:t>
      </w:r>
    </w:p>
    <w:p>
      <w:pPr>
        <w:pStyle w:val="ListBullet"/>
        <w:spacing w:line="276" w:lineRule="auto" w:before="0" w:after="4"/>
        <w:ind w:left="259" w:hanging="29"/>
      </w:pPr>
      <w:r>
        <w:rPr>
          <w:rFonts w:ascii="Calibri" w:hAnsi="Calibri"/>
          <w:b/>
          <w:color w:val="262626"/>
          <w:sz w:val="22"/>
        </w:rPr>
        <w:t xml:space="preserve">Marketing Automation: </w:t>
      </w:r>
      <w:r>
        <w:rPr>
          <w:rFonts w:ascii="Calibri" w:hAnsi="Calibri"/>
          <w:b w:val="0"/>
          <w:color w:val="262626"/>
          <w:sz w:val="22"/>
        </w:rPr>
        <w:t>Developed custom scripts for continuous campaign monitoring, budget oversight, and faster performance issue identification.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w:t>
            </w:r>
            <w:r>
              <w:rPr>
                <w:rFonts w:ascii="Calibri" w:hAnsi="Calibri"/>
                <w:b w:val="0"/>
                <w:color w:val="525252"/>
                <w:sz w:val="22"/>
              </w:rPr>
              <w:t xml:space="preserve"> | </w:t>
            </w:r>
            <w:r>
              <w:rPr>
                <w:rFonts w:ascii="Calibri" w:hAnsi="Calibri"/>
                <w:b/>
                <w:color w:val="262626"/>
                <w:sz w:val="22"/>
              </w:rPr>
              <w:t>LifeSpan Fitness — Salt Lake City,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color w:val="262626"/>
          <w:sz w:val="22"/>
        </w:rPr>
        <w:t xml:space="preserve">Department Leadership: </w:t>
      </w:r>
      <w:r>
        <w:rPr>
          <w:rFonts w:ascii="Calibri" w:hAnsi="Calibri"/>
          <w:b w:val="0"/>
          <w:color w:val="262626"/>
          <w:sz w:val="22"/>
        </w:rPr>
        <w:t>Led an eight-person ecommerce team responsible for paid search, outreach, lead generation, and customer acquisition in the United States, Canada, and the UK.</w:t>
      </w:r>
    </w:p>
    <w:p>
      <w:pPr>
        <w:pStyle w:val="ListBullet"/>
        <w:spacing w:line="276" w:lineRule="auto" w:before="0" w:after="4"/>
        <w:ind w:left="259" w:hanging="29"/>
      </w:pPr>
      <w:r>
        <w:rPr>
          <w:rFonts w:ascii="Calibri" w:hAnsi="Calibri"/>
          <w:b/>
          <w:color w:val="262626"/>
          <w:sz w:val="22"/>
        </w:rPr>
        <w:t xml:space="preserve">Revenue Impact: </w:t>
      </w:r>
      <w:r>
        <w:rPr>
          <w:rFonts w:ascii="Calibri" w:hAnsi="Calibri"/>
          <w:b w:val="0"/>
          <w:color w:val="262626"/>
          <w:sz w:val="22"/>
        </w:rPr>
        <w:t>Managed 150+ campaigns and a $400K budget across Google, Bing, Gemini, and Amazon, producing more than $9M in revenue—35% of company revenue.</w:t>
      </w:r>
    </w:p>
    <w:p>
      <w:pPr>
        <w:pStyle w:val="ListBullet"/>
        <w:spacing w:line="276" w:lineRule="auto" w:before="0" w:after="4"/>
        <w:ind w:left="259" w:hanging="29"/>
      </w:pPr>
      <w:r>
        <w:rPr>
          <w:rFonts w:ascii="Calibri" w:hAnsi="Calibri"/>
          <w:b/>
          <w:color w:val="262626"/>
          <w:sz w:val="22"/>
        </w:rPr>
        <w:t xml:space="preserve">Campaign Development: </w:t>
      </w:r>
      <w:r>
        <w:rPr>
          <w:rFonts w:ascii="Calibri" w:hAnsi="Calibri"/>
          <w:b w:val="0"/>
          <w:color w:val="262626"/>
          <w:sz w:val="22"/>
        </w:rPr>
        <w:t>Performed keyword, channel, and competitive research; created search and display ad copy and creative; and managed email, shopping, video, social, local, and remarketing programs.</w:t>
      </w:r>
    </w:p>
    <w:p>
      <w:pPr>
        <w:pStyle w:val="ListBullet"/>
        <w:spacing w:line="276" w:lineRule="auto" w:before="0" w:after="4"/>
        <w:ind w:left="259" w:hanging="29"/>
      </w:pPr>
      <w:r>
        <w:rPr>
          <w:rFonts w:ascii="Calibri" w:hAnsi="Calibri"/>
          <w:b/>
          <w:color w:val="262626"/>
          <w:sz w:val="22"/>
        </w:rPr>
        <w:t xml:space="preserve">Testing &amp; Conversion: </w:t>
      </w:r>
      <w:r>
        <w:rPr>
          <w:rFonts w:ascii="Calibri" w:hAnsi="Calibri"/>
          <w:b w:val="0"/>
          <w:color w:val="262626"/>
          <w:sz w:val="22"/>
        </w:rPr>
        <w:t>Built attribution models, analyzed funnels and conversion paths, optimized landing pages, and ran A/B and multivariate tests to improve acquisition performance.</w:t>
      </w:r>
    </w:p>
    <w:p>
      <w:pPr>
        <w:pStyle w:val="ListBullet"/>
        <w:spacing w:line="276" w:lineRule="auto" w:before="0" w:after="4"/>
        <w:ind w:left="259" w:hanging="29"/>
      </w:pPr>
      <w:r>
        <w:rPr>
          <w:rFonts w:ascii="Calibri" w:hAnsi="Calibri"/>
          <w:b/>
          <w:color w:val="262626"/>
          <w:sz w:val="22"/>
        </w:rPr>
        <w:t xml:space="preserve">Executive Planning: </w:t>
      </w:r>
      <w:r>
        <w:rPr>
          <w:rFonts w:ascii="Calibri" w:hAnsi="Calibri"/>
          <w:b w:val="0"/>
          <w:color w:val="262626"/>
          <w:sz w:val="22"/>
        </w:rPr>
        <w:t>Established annual goals, projections, and KPIs with senior management and reported business performance using Magento, Google Analytics, ACCTivate, and QuickBooks.</w:t>
      </w:r>
    </w:p>
    <w:p>
      <w:pPr>
        <w:keepNext/>
        <w:spacing w:line="276" w:lineRule="auto" w:before="30" w:after="30"/>
        <w:pBdr>
          <w:bottom w:val="single" w:sz="6" w:space="1" w:color="102C57"/>
        </w:pBdr>
      </w:pPr>
      <w:r>
        <w:rPr>
          <w:rFonts w:ascii="Calibri" w:hAnsi="Calibri"/>
          <w:b/>
          <w:color w:val="102C57"/>
          <w:sz w:val="22"/>
        </w:rPr>
        <w:t>EDUCATION, LANGUAGES &amp; CERTIFICATIONS</w:t>
      </w:r>
    </w:p>
    <w:p>
      <w:pPr>
        <w:keepNext w:val="0"/>
        <w:spacing w:line="276" w:lineRule="auto" w:before="0" w:after="12"/>
      </w:pPr>
      <w:r>
        <w:rPr>
          <w:rFonts w:ascii="Calibri" w:hAnsi="Calibri"/>
          <w:b/>
          <w:color w:val="262626"/>
          <w:sz w:val="22"/>
        </w:rPr>
        <w:t>Brigham Young University — Bachelor of Science in Business Management (2008)</w:t>
      </w:r>
      <w:r>
        <w:rPr>
          <w:rFonts w:ascii="Calibri" w:hAnsi="Calibri"/>
          <w:b w:val="0"/>
          <w:color w:val="525252"/>
          <w:sz w:val="22"/>
        </w:rPr>
        <w:t xml:space="preserve">  |  Entrepreneur of the Year team; Regional Business Plan Competition winner, two consecutive years</w:t>
      </w:r>
    </w:p>
    <w:p>
      <w:pPr>
        <w:keepNext w:val="0"/>
        <w:spacing w:line="276" w:lineRule="auto" w:before="0" w:after="12"/>
      </w:pPr>
      <w:r>
        <w:rPr>
          <w:rFonts w:ascii="Calibri" w:hAnsi="Calibri"/>
          <w:b/>
          <w:color w:val="102C57"/>
          <w:sz w:val="22"/>
        </w:rPr>
        <w:t xml:space="preserve">Languages: </w:t>
      </w:r>
      <w:r>
        <w:rPr>
          <w:rFonts w:ascii="Calibri" w:hAnsi="Calibri"/>
          <w:b w:val="0"/>
          <w:color w:val="262626"/>
          <w:sz w:val="22"/>
        </w:rPr>
        <w:t>English (Native)  •  Spanish (Fluent)</w:t>
      </w:r>
    </w:p>
    <w:p>
      <w:pPr>
        <w:keepNext w:val="0"/>
        <w:spacing w:line="276" w:lineRule="auto" w:before="0" w:after="0"/>
      </w:pPr>
      <w:r>
        <w:rPr>
          <w:rFonts w:ascii="Calibri" w:hAnsi="Calibri"/>
          <w:b/>
          <w:color w:val="102C57"/>
          <w:sz w:val="22"/>
        </w:rPr>
        <w:t xml:space="preserve">Certifications: </w:t>
      </w:r>
      <w:r>
        <w:rPr>
          <w:rFonts w:ascii="Calibri" w:hAnsi="Calibri"/>
          <w:b w:val="0"/>
          <w:color w:val="262626"/>
          <w:sz w:val="22"/>
        </w:rPr>
        <w:t>Google Ads  •  Google Analytics  •  Facebook Blueprint  •  Bing Ads  •  Amazon Marketing Services</w:t>
      </w:r>
    </w:p>
    <w:sectPr w:rsidR="00FC693F" w:rsidRPr="0006063C" w:rsidSect="00034616">
      <w:pgSz w:w="12240" w:h="15840"/>
      <w:pgMar w:top="490" w:right="691" w:bottom="490"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