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CRM</w:t>
            </w:r>
          </w:p>
        </w:tc>
        <w:tc>
          <w:tcPr>
            <w:tcW w:type="dxa" w:w="5400"/>
          </w:tcPr>
          <w:p>
            <w:pPr>
              <w:pStyle w:val="ListBullet"/>
              <w:spacing w:after="0" w:line="276" w:lineRule="auto"/>
            </w:pPr>
            <w:r/>
            <w:r>
              <w:rPr>
                <w:rFonts w:ascii="EB Garamond" w:hAnsi="EB Garamond"/>
                <w:sz w:val="21"/>
              </w:rPr>
              <w:t>email</w:t>
            </w:r>
          </w:p>
        </w:tc>
      </w:tr>
      <w:tr>
        <w:tc>
          <w:tcPr>
            <w:tcW w:type="dxa" w:w="5400"/>
          </w:tcPr>
          <w:p>
            <w:pPr>
              <w:pStyle w:val="ListBullet"/>
              <w:spacing w:after="0" w:line="276" w:lineRule="auto"/>
            </w:pPr>
            <w:r/>
            <w:r>
              <w:rPr>
                <w:rFonts w:ascii="EB Garamond" w:hAnsi="EB Garamond"/>
                <w:sz w:val="21"/>
              </w:rPr>
              <w:t>automation</w:t>
            </w:r>
          </w:p>
        </w:tc>
        <w:tc>
          <w:tcPr>
            <w:tcW w:type="dxa" w:w="5400"/>
          </w:tcPr>
          <w:p>
            <w:pPr>
              <w:pStyle w:val="ListBullet"/>
              <w:spacing w:after="0" w:line="276" w:lineRule="auto"/>
            </w:pPr>
            <w:r/>
            <w:r>
              <w:rPr>
                <w:rFonts w:ascii="EB Garamond" w:hAnsi="EB Garamond"/>
                <w:sz w:val="21"/>
              </w:rPr>
              <w:t>content</w:t>
            </w:r>
          </w:p>
        </w:tc>
      </w:tr>
      <w:tr>
        <w:tc>
          <w:tcPr>
            <w:tcW w:type="dxa" w:w="5400"/>
          </w:tcPr>
          <w:p>
            <w:pPr>
              <w:pStyle w:val="ListBullet"/>
              <w:spacing w:after="0" w:line="276" w:lineRule="auto"/>
            </w:pPr>
            <w:r/>
            <w:r>
              <w:rPr>
                <w:rFonts w:ascii="EB Garamond" w:hAnsi="EB Garamond"/>
                <w:sz w:val="21"/>
              </w:rPr>
              <w:t>B2B</w:t>
            </w:r>
          </w:p>
        </w:tc>
        <w:tc>
          <w:tcPr>
            <w:tcW w:type="dxa" w:w="5400"/>
          </w:tcPr>
          <w:p>
            <w:pPr>
              <w:pStyle w:val="ListBullet"/>
              <w:spacing w:after="0" w:line="276" w:lineRule="auto"/>
            </w:pPr>
            <w:r/>
            <w:r>
              <w:rPr>
                <w:rFonts w:ascii="EB Garamond" w:hAnsi="EB Garamond"/>
                <w:sz w:val="21"/>
              </w:rPr>
              <w:t>reporting</w:t>
            </w:r>
          </w:p>
        </w:tc>
      </w:tr>
      <w:tr>
        <w:tc>
          <w:tcPr>
            <w:tcW w:type="dxa" w:w="5400"/>
          </w:tcPr>
          <w:p>
            <w:pPr>
              <w:pStyle w:val="ListBullet"/>
              <w:spacing w:after="0" w:line="276" w:lineRule="auto"/>
            </w:pPr>
            <w:r/>
            <w:r>
              <w:rPr>
                <w:rFonts w:ascii="EB Garamond" w:hAnsi="EB Garamond"/>
                <w:sz w:val="21"/>
              </w:rPr>
              <w:t>leadership</w:t>
            </w:r>
          </w:p>
        </w:tc>
        <w:tc>
          <w:tcPr>
            <w:tcW w:type="dxa" w:w="5400"/>
          </w:tcPr>
          <w:p>
            <w:pPr>
              <w:pStyle w:val="ListBullet"/>
              <w:spacing w:after="0" w:line="276" w:lineRule="auto"/>
            </w:pPr>
            <w:r/>
            <w:r>
              <w:rPr>
                <w:rFonts w:ascii="EB Garamond" w:hAnsi="EB Garamond"/>
                <w:sz w:val="21"/>
              </w:rPr>
              <w:t>management</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CRM • email • automation • content • B2B • reporting • leadership • management • Salesforce</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