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w:t>
            </w:r>
          </w:p>
        </w:tc>
        <w:tc>
          <w:tcPr>
            <w:tcW w:type="dxa" w:w="5400"/>
          </w:tcPr>
          <w:p>
            <w:pPr>
              <w:pStyle w:val="ListBullet"/>
              <w:spacing w:after="0" w:line="276" w:lineRule="auto"/>
            </w:pPr>
            <w:r/>
            <w:r>
              <w:rPr>
                <w:rFonts w:ascii="EB Garamond" w:hAnsi="EB Garamond"/>
                <w:sz w:val="21"/>
              </w:rPr>
              <w:t>Google Analytics</w:t>
            </w:r>
          </w:p>
        </w:tc>
      </w:tr>
      <w:tr>
        <w:tc>
          <w:tcPr>
            <w:tcW w:type="dxa" w:w="5400"/>
          </w:tcPr>
          <w:p>
            <w:pPr>
              <w:pStyle w:val="ListBullet"/>
              <w:spacing w:after="0" w:line="276" w:lineRule="auto"/>
            </w:pPr>
            <w:r/>
            <w:r>
              <w:rPr>
                <w:rFonts w:ascii="EB Garamond" w:hAnsi="EB Garamond"/>
                <w:sz w:val="21"/>
              </w:rPr>
              <w:t>SQL</w:t>
            </w:r>
          </w:p>
        </w:tc>
        <w:tc>
          <w:tcPr>
            <w:tcW w:type="dxa" w:w="5400"/>
          </w:tcPr>
          <w:p>
            <w:pPr>
              <w:pStyle w:val="ListBullet"/>
              <w:spacing w:after="0" w:line="276" w:lineRule="auto"/>
            </w:pPr>
            <w:r/>
            <w:r>
              <w:rPr>
                <w:rFonts w:ascii="EB Garamond" w:hAnsi="EB Garamond"/>
                <w:sz w:val="21"/>
              </w:rPr>
              <w:t>HubSpot</w:t>
            </w:r>
          </w:p>
        </w:tc>
      </w:tr>
      <w:tr>
        <w:tc>
          <w:tcPr>
            <w:tcW w:type="dxa" w:w="5400"/>
          </w:tcPr>
          <w:p>
            <w:pPr>
              <w:pStyle w:val="ListBullet"/>
              <w:spacing w:after="0" w:line="276" w:lineRule="auto"/>
            </w:pPr>
            <w:r/>
            <w:r>
              <w:rPr>
                <w:rFonts w:ascii="EB Garamond" w:hAnsi="EB Garamond"/>
                <w:sz w:val="21"/>
              </w:rPr>
              <w:t>automation</w:t>
            </w:r>
          </w:p>
        </w:tc>
        <w:tc>
          <w:tcPr>
            <w:tcW w:type="dxa" w:w="5400"/>
          </w:tcPr>
          <w:p>
            <w:pPr>
              <w:pStyle w:val="ListBullet"/>
              <w:spacing w:after="0" w:line="276" w:lineRule="auto"/>
            </w:pPr>
            <w:r/>
            <w:r>
              <w:rPr>
                <w:rFonts w:ascii="EB Garamond" w:hAnsi="EB Garamond"/>
                <w:sz w:val="21"/>
              </w:rPr>
              <w:t>content</w:t>
            </w:r>
          </w:p>
        </w:tc>
      </w:tr>
      <w:tr>
        <w:tc>
          <w:tcPr>
            <w:tcW w:type="dxa" w:w="5400"/>
          </w:tcPr>
          <w:p>
            <w:pPr>
              <w:pStyle w:val="ListBullet"/>
              <w:spacing w:after="0" w:line="276" w:lineRule="auto"/>
            </w:pPr>
            <w:r/>
            <w:r>
              <w:rPr>
                <w:rFonts w:ascii="EB Garamond" w:hAnsi="EB Garamond"/>
                <w:sz w:val="21"/>
              </w:rPr>
              <w:t>B2B</w:t>
            </w:r>
          </w:p>
        </w:tc>
        <w:tc>
          <w:tcPr>
            <w:tcW w:type="dxa" w:w="5400"/>
          </w:tcPr>
          <w:p>
            <w:pPr>
              <w:pStyle w:val="ListBullet"/>
              <w:spacing w:after="0" w:line="276" w:lineRule="auto"/>
            </w:pPr>
            <w:r/>
            <w:r>
              <w:rPr>
                <w:rFonts w:ascii="EB Garamond" w:hAnsi="EB Garamond"/>
                <w:sz w:val="21"/>
              </w:rPr>
              <w:t>reporting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SEO • Google Analytics • SQL • HubSpot • automation • content • B2B • reporting • analytics • leadership • management • customer acquisition • AI • Power BI • Salesforce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