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search</w:t>
            </w:r>
          </w:p>
        </w:tc>
        <w:tc>
          <w:tcPr>
            <w:tcW w:type="dxa" w:w="5400"/>
          </w:tcPr>
          <w:p>
            <w:pPr>
              <w:pStyle w:val="ListBullet"/>
              <w:spacing w:after="0" w:line="276" w:lineRule="auto"/>
            </w:pPr>
            <w:r/>
            <w:r>
              <w:rPr>
                <w:rFonts w:ascii="EB Garamond" w:hAnsi="EB Garamond"/>
                <w:sz w:val="21"/>
              </w:rPr>
              <w:t>email</w:t>
            </w:r>
          </w:p>
        </w:tc>
      </w:tr>
      <w:tr>
        <w:tc>
          <w:tcPr>
            <w:tcW w:type="dxa" w:w="5400"/>
          </w:tcPr>
          <w:p>
            <w:pPr>
              <w:pStyle w:val="ListBullet"/>
              <w:spacing w:after="0" w:line="276" w:lineRule="auto"/>
            </w:pPr>
            <w:r/>
            <w:r>
              <w:rPr>
                <w:rFonts w:ascii="EB Garamond" w:hAnsi="EB Garamond"/>
                <w:sz w:val="21"/>
              </w:rPr>
              <w:t>budget</w:t>
            </w:r>
          </w:p>
        </w:tc>
        <w:tc>
          <w:tcPr>
            <w:tcW w:type="dxa" w:w="5400"/>
          </w:tcPr>
          <w:p>
            <w:pPr>
              <w:pStyle w:val="ListBullet"/>
              <w:spacing w:after="0" w:line="276" w:lineRule="auto"/>
            </w:pPr>
            <w:r/>
            <w:r>
              <w:rPr>
                <w:rFonts w:ascii="EB Garamond" w:hAnsi="EB Garamond"/>
                <w:sz w:val="21"/>
              </w:rPr>
              <w:t>reporting</w:t>
            </w:r>
          </w:p>
        </w:tc>
      </w:tr>
      <w:tr>
        <w:tc>
          <w:tcPr>
            <w:tcW w:type="dxa" w:w="5400"/>
          </w:tcPr>
          <w:p>
            <w:pPr>
              <w:pStyle w:val="ListBullet"/>
              <w:spacing w:after="0" w:line="276" w:lineRule="auto"/>
            </w:pPr>
            <w:r/>
            <w:r>
              <w:rPr>
                <w:rFonts w:ascii="EB Garamond" w:hAnsi="EB Garamond"/>
                <w:sz w:val="21"/>
              </w:rPr>
              <w:t>analytics</w:t>
            </w:r>
          </w:p>
        </w:tc>
        <w:tc>
          <w:tcPr>
            <w:tcW w:type="dxa" w:w="5400"/>
          </w:tcPr>
          <w:p>
            <w:pPr>
              <w:pStyle w:val="ListBullet"/>
              <w:spacing w:after="0" w:line="276" w:lineRule="auto"/>
            </w:pPr>
            <w:r/>
            <w:r>
              <w:rPr>
                <w:rFonts w:ascii="EB Garamond" w:hAnsi="EB Garamond"/>
                <w:sz w:val="21"/>
              </w:rPr>
              <w:t>leadership</w:t>
            </w:r>
          </w:p>
        </w:tc>
      </w:tr>
      <w:tr>
        <w:tc>
          <w:tcPr>
            <w:tcW w:type="dxa" w:w="5400"/>
          </w:tcPr>
          <w:p>
            <w:pPr>
              <w:pStyle w:val="ListBullet"/>
              <w:spacing w:after="0" w:line="276" w:lineRule="auto"/>
            </w:pPr>
            <w:r/>
            <w:r>
              <w:rPr>
                <w:rFonts w:ascii="EB Garamond" w:hAnsi="EB Garamond"/>
                <w:sz w:val="21"/>
              </w:rPr>
              <w:t>management</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paid search • email • budget • reporting • analytics • leadership • management</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