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w:t>
            </w:r>
          </w:p>
        </w:tc>
        <w:tc>
          <w:tcPr>
            <w:tcW w:type="dxa" w:w="5400"/>
          </w:tcPr>
          <w:p>
            <w:pPr>
              <w:pStyle w:val="ListBullet"/>
              <w:spacing w:after="0" w:line="276" w:lineRule="auto"/>
            </w:pPr>
            <w:r/>
            <w:r>
              <w:rPr>
                <w:rFonts w:ascii="EB Garamond" w:hAnsi="EB Garamond"/>
                <w:sz w:val="21"/>
              </w:rPr>
              <w:t>paid search</w:t>
            </w:r>
          </w:p>
        </w:tc>
      </w:tr>
      <w:tr>
        <w:tc>
          <w:tcPr>
            <w:tcW w:type="dxa" w:w="5400"/>
          </w:tcPr>
          <w:p>
            <w:pPr>
              <w:pStyle w:val="ListBullet"/>
              <w:spacing w:after="0" w:line="276" w:lineRule="auto"/>
            </w:pPr>
            <w:r/>
            <w:r>
              <w:rPr>
                <w:rFonts w:ascii="EB Garamond" w:hAnsi="EB Garamond"/>
                <w:sz w:val="21"/>
              </w:rPr>
              <w:t>email</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SEO • paid search • email</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