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pPr>
              <w:pStyle w:val="ListBullet"/>
              <w:spacing w:after="0" w:line="276" w:lineRule="auto"/>
            </w:pPr>
            <w:r/>
            <w:r>
              <w:rPr>
                <w:rFonts w:ascii="EB Garamond" w:hAnsi="EB Garamond"/>
                <w:sz w:val="21"/>
              </w:rPr>
              <w:t>paid search</w:t>
            </w:r>
          </w:p>
        </w:tc>
      </w:tr>
      <w:tr>
        <w:tc>
          <w:tcPr>
            <w:tcW w:type="dxa" w:w="5400"/>
          </w:tcPr>
          <w:p>
            <w:pPr>
              <w:pStyle w:val="ListBullet"/>
              <w:spacing w:after="0" w:line="276" w:lineRule="auto"/>
            </w:pPr>
            <w:r/>
            <w:r>
              <w:rPr>
                <w:rFonts w:ascii="EB Garamond" w:hAnsi="EB Garamond"/>
                <w:sz w:val="21"/>
              </w:rPr>
              <w:t>content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 • paid search • 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